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§1.5.b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BNF obligations,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Treaty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Redistricting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§3.4.d  </w:t>
      </w:r>
      <w:r>
        <w:rPr>
          <w:rFonts w:ascii="Garamond" w:cs="Garamond" w:eastAsia="Garamond" w:hAnsi="Garamond"/>
          <w:b/>
          <w:bCs/>
          <w:i w:val="false"/>
          <w:iCs w:val="false"/>
          <w:color w:val="1B2A4A"/>
          <w:sz w:val="22"/>
          <w:szCs w:val="22"/>
        </w:rPr>
        <w:t xml:space="preserve">Drawing Authority — Federal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Seats are allocated by the Webster method under §3.1.a, with a minimum of one seat per State. All members serve 2-year terms. The House originates all legislation and fiscal measures and elects the Prime Minister.</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§3.5.c  </w:t>
      </w:r>
      <w:r>
        <w:rPr>
          <w:rFonts w:ascii="Garamond" w:cs="Garamond" w:eastAsia="Garamond" w:hAnsi="Garamond"/>
          <w:b/>
          <w:bCs/>
          <w:i w:val="false"/>
          <w:iCs w:val="false"/>
          <w:color w:val="1B2A4A"/>
          <w:sz w:val="22"/>
          <w:szCs w:val="22"/>
        </w:rPr>
        <w:t xml:space="preserve">House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circumstances of ratification require a transitional citizenship grant for those who held voting rights at the moment of founding.</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2026-05-21T04:51:33.016Z</dcterms:created>
  <dcterms:modified xsi:type="dcterms:W3CDTF">2026-05-21T04:51:33.026Z</dcterms:modified>
</cp:coreProperties>
</file>

<file path=docProps/custom.xml><?xml version="1.0" encoding="utf-8"?>
<Properties xmlns="http://schemas.openxmlformats.org/officeDocument/2006/custom-properties" xmlns:vt="http://schemas.openxmlformats.org/officeDocument/2006/docPropsVTypes"/>
</file>