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spacing ns0:after="0" ns0:before="2400"/>
      </ns0:pPr>
      <ns0:r>
        <ns0:t xml:space="preserve"/>
      </ns0:r>
    </ns0:p>
    <ns0:p>
      <ns0:pPr>
        <ns0:spacing ns0:after="600" ns0:before="0"/>
        <ns0:jc ns0:val="center"/>
      </ns0:pPr>
      <ns0:r>
        <ns0:drawing>
          <ns2:inline distT="0" distB="0" distL="0" distR="0">
            <ns2:extent cx="1000125" cy="1000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1000125" cy="1000125"/>
                    </ns3:xfrm>
                    <ns3:prstGeom prst="rect">
                      <ns3:avLst/>
                    </ns3:prstGeom>
                  </ns4:spPr>
                </ns4:pic>
              </ns3:graphicData>
            </ns3:graphic>
          </ns2:inline>
        </ns0:drawing>
      </ns0:r>
    </ns0:p>
    <ns0:p>
      <ns0:pPr>
        <ns0:spacing ns0:after="200" ns0:before="0"/>
        <ns0:jc ns0:val="center"/>
      </ns0:pPr>
      <ns0:r>
        <ns0:rPr>
          <ns0:rFonts ns0:ascii="Garamond" ns0:cs="Garamond" ns0:eastAsia="Garamond" ns0:hAnsi="Garamond"/>
          <ns0:b/>
          <ns0:bCs/>
          <ns0:i ns0:val="false"/>
          <ns0:iCs ns0:val="false"/>
          <ns0:color ns0:val="1B2A4A"/>
          <ns0:sz ns0:val="44"/>
          <ns0:szCs ns0:val="44"/>
        </ns0:rPr>
        <ns0:t xml:space="preserve">THE FEDERATED REPUBLIC</ns0:t>
      </ns0:r>
    </ns0:p>
    <ns0:p>
      <ns0:pPr>
        <ns0:spacing ns0:after="200" ns0:before="0"/>
        <ns0:jc ns0:val="center"/>
      </ns0:pPr>
      <ns0:r>
        <ns0:rPr>
          <ns0:rFonts ns0:ascii="Garamond" ns0:cs="Garamond" ns0:eastAsia="Garamond" ns0:hAnsi="Garamond"/>
          <ns0:b ns0:val="false"/>
          <ns0:bCs ns0:val="false"/>
          <ns0:i ns0:val="false"/>
          <ns0:iCs ns0:val="false"/>
          <ns0:color ns0:val="C9A84C"/>
          <ns0:sz ns0:val="32"/>
          <ns0:szCs ns0:val="32"/>
        </ns0:rPr>
        <ns0:t xml:space="preserve">Constitution</ns0:t>
      </ns0:r>
    </ns0:p>
    <ns0:p>
      <ns0:pPr>
        <ns0:pBdr>
          <ns0:bottom ns0:val="single" ns0:color="C9A84C" ns0:sz="6" ns0:space="1"/>
        </ns0:pBdr>
        <ns0:spacing ns0:after="400" ns0:before="0"/>
        <ns0:jc ns0:val="center"/>
      </ns0:pPr>
      <ns0:r>
        <ns0:t xml:space="preserve"/>
      </ns0:r>
    </ns0:p>
    <ns0:p>
      <ns0:pPr>
        <ns0:spacing ns0:after="800" ns0:before="0"/>
        <ns0:jc ns0:val="center"/>
      </ns0:pPr>
      <ns0:r>
        <ns0:rPr>
          <ns0:rFonts ns0:ascii="Garamond" ns0:cs="Garamond" ns0:eastAsia="Garamond" ns0:hAnsi="Garamond"/>
          <ns0:b ns0:val="false"/>
          <ns0:bCs ns0:val="false"/>
          <ns0:i ns0:val="false"/>
          <ns0:iCs ns0:val="false"/>
          <ns0:color ns0:val="7a7060"/>
          <ns0:sz ns0:val="22"/>
          <ns0:szCs ns0:val="22"/>
        </ns0:rPr>
        <ns0:t xml:space="preserve">May 2026</ns0:t>
      </ns0:r>
    </ns0:p>
    <ns0:p>
      <ns0:pPr>
        <ns0:spacing ns0:after="200" ns0:before="0"/>
        <ns0:jc ns0:val="center"/>
      </ns0:pPr>
      <ns0:r>
        <ns0:rPr>
          <ns0:rFonts ns0:ascii="Courier New" ns0:cs="Courier New" ns0:eastAsia="Courier New" ns0:hAnsi="Courier New"/>
          <ns0:b ns0:val="false"/>
          <ns0:bCs ns0:val="false"/>
          <ns0:color ns0:val="7a7060"/>
          <ns0:sz ns0:val="18"/>
          <ns0:szCs ns0:val="18"/>
        </ns0:rPr>
        <ns0:t xml:space="preserve">thefederatedrepublic.org</ns0:t>
      </ns0:r>
    </ns0:p>
    <ns0:p>
      <ns0:pPr>
        <ns0:spacing ns0:after="0" ns0:before="0"/>
      </ns0:pPr>
      <ns0:r>
        <ns0:br/>
        <ns0:t xml:space="preserve"/>
      </ns0:r>
    </ns0:p>
    <ns0:p>
      <ns0:pPr>
        <ns0:spacing ns0:after="240" ns0:before="480"/>
      </ns0:pPr>
      <ns0:r>
        <ns0:rPr>
          <ns0:rFonts ns0:ascii="Garamond" ns0:cs="Garamond" ns0:eastAsia="Garamond" ns0:hAnsi="Garamond"/>
          <ns0:b/>
          <ns0:bCs/>
          <ns0:i ns0:val="false"/>
          <ns0:iCs ns0:val="false"/>
          <ns0:color ns0:val="1B2A4A"/>
          <ns0:sz ns0:val="32"/>
          <ns0:szCs ns0:val="32"/>
        </ns0:rPr>
        <ns0:t xml:space="preserve">Preamble</ns0:t>
      </ns0:r>
    </ns0:p>
    <ns0:p>
      <ns0:pPr>
        <ns0:spacing ns0:after="480" ns0:before="0"/>
        <ns0:jc ns0:val="both"/>
      </ns0:pPr>
      <ns0:r>
        <ns0:rPr>
          <ns0:rFonts ns0:ascii="Garamond" ns0:cs="Garamond" ns0:eastAsia="Garamond" ns0:hAnsi="Garamond"/>
          <ns0:b ns0:val="false"/>
          <ns0:bCs ns0:val="false"/>
          <ns0:i/>
          <ns0:iCs/>
          <ns0:color ns0:val="2a2520"/>
          <ns0:sz ns0:val="24"/>
          <ns0:szCs ns0:val="24"/>
        </ns0:rPr>
        <ns0: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 — Individual Sovereignty and Rights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  </ns0:t>
      </ns0:r>
      <ns0:r>
        <ns0:rPr>
          <ns0:rFonts ns0:ascii="Garamond" ns0:cs="Garamond" ns0:eastAsia="Garamond" ns0:hAnsi="Garamond"/>
          <ns0:b/>
          <ns0:bCs/>
          <ns0:i ns0:val="false"/>
          <ns0:iCs ns0:val="false"/>
          <ns0:color ns0:val="1B2A4A"/>
          <ns0:sz ns0:val="22"/>
          <ns0:szCs ns0:val="22"/>
        </ns0:rPr>
        <ns0:t xml:space="preserve">Right to Courts and Legal Remedy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  </ns0:t>
      </ns0:r>
      <ns0:r>
        <ns0:rPr>
          <ns0:rFonts ns0:ascii="Garamond" ns0:cs="Garamond" ns0:eastAsia="Garamond" ns0:hAnsi="Garamond"/>
          <ns0:b/>
          <ns0:bCs/>
          <ns0:i ns0:val="false"/>
          <ns0:iCs ns0:val="false"/>
          <ns0:color ns0:val="1B2A4A"/>
          <ns0:sz ns0:val="22"/>
          <ns0:szCs ns0:val="22"/>
        </ns0:rPr>
        <ns0:t xml:space="preserve">Individual Sovereignty Floor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  </ns0:t>
      </ns0:r>
      <ns0:r>
        <ns0:rPr>
          <ns0:rFonts ns0:ascii="Garamond" ns0:cs="Garamond" ns0:eastAsia="Garamond" ns0:hAnsi="Garamond"/>
          <ns0:b/>
          <ns0:bCs/>
          <ns0:i ns0:val="false"/>
          <ns0:iCs ns0:val="false"/>
          <ns0:color ns0:val="1B2A4A"/>
          <ns0:sz ns0:val="22"/>
          <ns0:szCs ns0:val="22"/>
        </ns0:rPr>
        <ns0:t xml:space="preserve">Prohibition of Torture and Cruel Treatment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Torture and cruel, inhuman, or degrading treatment are absolutely prohibited. No person within the Republic's jurisdiction may be subjected to any such treatment under any circumstances. This right is non-derogable under §1.26.b.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  </ns0:t>
      </ns0:r>
      <ns0:r>
        <ns0:rPr>
          <ns0:rFonts ns0:ascii="Garamond" ns0:cs="Garamond" ns0:eastAsia="Garamond" ns0:hAnsi="Garamond"/>
          <ns0:b/>
          <ns0:bCs/>
          <ns0:i ns0:val="false"/>
          <ns0:iCs ns0:val="false"/>
          <ns0:color ns0:val="1B2A4A"/>
          <ns0:sz ns0:val="22"/>
          <ns0:szCs ns0:val="22"/>
        </ns0:rPr>
        <ns0:t xml:space="preserve">Prohibition of Slavery and Forced Labour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  </ns0:t>
      </ns0:r>
      <ns0:r>
        <ns0:rPr>
          <ns0:rFonts ns0:ascii="Garamond" ns0:cs="Garamond" ns0:eastAsia="Garamond" ns0:hAnsi="Garamond"/>
          <ns0:b/>
          <ns0:bCs/>
          <ns0:i ns0:val="false"/>
          <ns0:iCs ns0:val="false"/>
          <ns0:color ns0:val="1B2A4A"/>
          <ns0:sz ns0:val="22"/>
          <ns0:szCs ns0:val="22"/>
        </ns0:rPr>
        <ns0:t xml:space="preserve">Civil and Political Liberties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  </ns0:t>
      </ns0:r>
      <ns0:r>
        <ns0:rPr>
          <ns0:rFonts ns0:ascii="Garamond" ns0:cs="Garamond" ns0:eastAsia="Garamond" ns0:hAnsi="Garamond"/>
          <ns0:b/>
          <ns0:bCs/>
          <ns0:i ns0:val="false"/>
          <ns0:iCs ns0:val="false"/>
          <ns0:color ns0:val="1B2A4A"/>
          <ns0:sz ns0:val="22"/>
          <ns0:szCs ns0:val="22"/>
        </ns0:rPr>
        <ns0:t xml:space="preserve">Equality and Non-Discrimination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  </ns0:t>
      </ns0:r>
      <ns0:r>
        <ns0:rPr>
          <ns0:rFonts ns0:ascii="Garamond" ns0:cs="Garamond" ns0:eastAsia="Garamond" ns0:hAnsi="Garamond"/>
          <ns0:b/>
          <ns0:bCs/>
          <ns0:i ns0:val="false"/>
          <ns0:iCs ns0:val="false"/>
          <ns0:color ns0:val="1B2A4A"/>
          <ns0:sz ns0:val="22"/>
          <ns0:szCs ns0:val="22"/>
        </ns0:rPr>
        <ns0:t xml:space="preserve">Bodily Sovereignty and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  </ns0:t>
      </ns0:r>
      <ns0:r>
        <ns0:rPr>
          <ns0:rFonts ns0:ascii="Garamond" ns0:cs="Garamond" ns0:eastAsia="Garamond" ns0:hAnsi="Garamond"/>
          <ns0:b/>
          <ns0:bCs/>
          <ns0:i ns0:val="false"/>
          <ns0:iCs ns0:val="false"/>
          <ns0:color ns0:val="1B2A4A"/>
          <ns0:sz ns0:val="22"/>
          <ns0:szCs ns0:val="22"/>
        </ns0:rPr>
        <ns0:t xml:space="preserve">Property and Security of the Home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  </ns0:t>
      </ns0:r>
      <ns0:r>
        <ns0:rPr>
          <ns0:rFonts ns0:ascii="Garamond" ns0:cs="Garamond" ns0:eastAsia="Garamond" ns0:hAnsi="Garamond"/>
          <ns0:b/>
          <ns0:bCs/>
          <ns0:i ns0:val="false"/>
          <ns0:iCs ns0:val="false"/>
          <ns0:color ns0:val="1B2A4A"/>
          <ns0:sz ns0:val="22"/>
          <ns0:szCs ns0:val="22"/>
        </ns0:rPr>
        <ns0:t xml:space="preserve">Democratic Participation and Family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§1.10  </ns0:t>
      </ns0:r>
      <ns0:r>
        <ns0:rPr>
          <ns0:rFonts ns0:ascii="Garamond" ns0:cs="Garamond" ns0:eastAsia="Garamond" ns0:hAnsi="Garamond"/>
          <ns0:b/>
          <ns0:bCs/>
          <ns0:i ns0:val="false"/>
          <ns0:iCs ns0:val="false"/>
          <ns0:color ns0:val="1B2A4A"/>
          <ns0:sz ns0:val="22"/>
          <ns0:szCs ns0:val="22"/>
        </ns0:rPr>
        <ns0:t xml:space="preserve">Right to Bear Arms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  </ns0:t>
      </ns0:r>
      <ns0:r>
        <ns0:rPr>
          <ns0:rFonts ns0:ascii="Garamond" ns0:cs="Garamond" ns0:eastAsia="Garamond" ns0:hAnsi="Garamond"/>
          <ns0:b/>
          <ns0:bCs/>
          <ns0:i ns0:val="false"/>
          <ns0:iCs ns0:val="false"/>
          <ns0:color ns0:val="1B2A4A"/>
          <ns0:sz ns0:val="22"/>
          <ns0:szCs ns0:val="22"/>
        </ns0:rPr>
        <ns0:t xml:space="preserve">Habeas Corpus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§1.13  </ns0:t>
      </ns0:r>
      <ns0:r>
        <ns0:rPr>
          <ns0:rFonts ns0:ascii="Garamond" ns0:cs="Garamond" ns0:eastAsia="Garamond" ns0:hAnsi="Garamond"/>
          <ns0:b/>
          <ns0:bCs/>
          <ns0:i ns0:val="false"/>
          <ns0:iCs ns0:val="false"/>
          <ns0:color ns0:val="1B2A4A"/>
          <ns0:sz ns0:val="22"/>
          <ns0:szCs ns0:val="22"/>
        </ns0:rPr>
        <ns0:t xml:space="preserve">Rights of the Accused and Fair Trial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§1.16  </ns0:t>
      </ns0:r>
      <ns0:r>
        <ns0:rPr>
          <ns0:rFonts ns0:ascii="Garamond" ns0:cs="Garamond" ns0:eastAsia="Garamond" ns0:hAnsi="Garamond"/>
          <ns0:b/>
          <ns0:bCs/>
          <ns0:i ns0:val="false"/>
          <ns0:iCs ns0:val="false"/>
          <ns0:color ns0:val="1B2A4A"/>
          <ns0:sz ns0:val="22"/>
          <ns0:szCs ns0:val="22"/>
        </ns0:rPr>
        <ns0:t xml:space="preserve">Right to a Public Trial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§1.19  </ns0:t>
      </ns0:r>
      <ns0:r>
        <ns0:rPr>
          <ns0:rFonts ns0:ascii="Garamond" ns0:cs="Garamond" ns0:eastAsia="Garamond" ns0:hAnsi="Garamond"/>
          <ns0:b/>
          <ns0:bCs/>
          <ns0:i ns0:val="false"/>
          <ns0:iCs ns0:val="false"/>
          <ns0:color ns0:val="1B2A4A"/>
          <ns0:sz ns0:val="22"/>
          <ns0:szCs ns0:val="22"/>
        </ns0:rPr>
        <ns0:t xml:space="preserve">Freedom from Retroactive Criminal Law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§1.20  </ns0:t>
      </ns0:r>
      <ns0:r>
        <ns0:rPr>
          <ns0:rFonts ns0:ascii="Garamond" ns0:cs="Garamond" ns0:eastAsia="Garamond" ns0:hAnsi="Garamond"/>
          <ns0:b/>
          <ns0:bCs/>
          <ns0:i ns0:val="false"/>
          <ns0:iCs ns0:val="false"/>
          <ns0:color ns0:val="1B2A4A"/>
          <ns0:sz ns0:val="22"/>
          <ns0:szCs ns0:val="22"/>
        </ns0:rPr>
        <ns0:t xml:space="preserve">Double Jeopardy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may be tried or punished twice for the same offence following a final acquittal or conviction. The Legislature defines by statute the scope of this protection, including its application across jurisdictions.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§1.21  </ns0:t>
      </ns0:r>
      <ns0:r>
        <ns0:rPr>
          <ns0:rFonts ns0:ascii="Garamond" ns0:cs="Garamond" ns0:eastAsia="Garamond" ns0:hAnsi="Garamond"/>
          <ns0:b/>
          <ns0:bCs/>
          <ns0:i ns0:val="false"/>
          <ns0:iCs ns0:val="false"/>
          <ns0:color ns0:val="1B2A4A"/>
          <ns0:sz ns0:val="22"/>
          <ns0:szCs ns0:val="22"/>
        </ns0:rPr>
        <ns0:t xml:space="preserve">Social Assistance Floor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  </ns0:t>
      </ns0:r>
      <ns0:r>
        <ns0:rPr>
          <ns0:rFonts ns0:ascii="Garamond" ns0:cs="Garamond" ns0:eastAsia="Garamond" ns0:hAnsi="Garamond"/>
          <ns0:b/>
          <ns0:bCs/>
          <ns0:i ns0:val="false"/>
          <ns0:iCs ns0:val="false"/>
          <ns0:color ns0:val="1B2A4A"/>
          <ns0:sz ns0:val="22"/>
          <ns0:szCs ns0:val="22"/>
        </ns0:rPr>
        <ns0:t xml:space="preserve">Education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§1.23  </ns0:t>
      </ns0:r>
      <ns0:r>
        <ns0:rPr>
          <ns0:rFonts ns0:ascii="Garamond" ns0:cs="Garamond" ns0:eastAsia="Garamond" ns0:hAnsi="Garamond"/>
          <ns0:b/>
          <ns0:bCs/>
          <ns0:i ns0:val="false"/>
          <ns0:iCs ns0:val="false"/>
          <ns0:color ns0:val="1B2A4A"/>
          <ns0:sz ns0:val="22"/>
          <ns0:szCs ns0:val="22"/>
        </ns0:rPr>
        <ns0:t xml:space="preserve">Environmental Obligations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§1.27  </ns0:t>
      </ns0:r>
      <ns0:r>
        <ns0:rPr>
          <ns0:rFonts ns0:ascii="Garamond" ns0:cs="Garamond" ns0:eastAsia="Garamond" ns0:hAnsi="Garamond"/>
          <ns0:b/>
          <ns0:bCs/>
          <ns0:i ns0:val="false"/>
          <ns0:iCs ns0:val="false"/>
          <ns0:color ns0:val="1B2A4A"/>
          <ns0:sz ns0:val="22"/>
          <ns0:szCs ns0:val="22"/>
        </ns0:rPr>
        <ns0:t xml:space="preserve">Right to Seek Asylum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§1.28  </ns0:t>
      </ns0:r>
      <ns0:r>
        <ns0:rPr>
          <ns0:rFonts ns0:ascii="Garamond" ns0:cs="Garamond" ns0:eastAsia="Garamond" ns0:hAnsi="Garamond"/>
          <ns0:b/>
          <ns0:bCs/>
          <ns0:i ns0:val="false"/>
          <ns0:iCs ns0:val="false"/>
          <ns0:color ns0:val="1B2A4A"/>
          <ns0:sz ns0:val="22"/>
          <ns0:szCs ns0:val="22"/>
        </ns0:rPr>
        <ns0:t xml:space="preserve">Non-Refoulement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  </ns0:t>
      </ns0:r>
      <ns0:r>
        <ns0:rPr>
          <ns0:rFonts ns0:ascii="Garamond" ns0:cs="Garamond" ns0:eastAsia="Garamond" ns0:hAnsi="Garamond"/>
          <ns0:b/>
          <ns0:bCs/>
          <ns0:i ns0:val="false"/>
          <ns0:iCs ns0:val="false"/>
          <ns0:color ns0:val="1B2A4A"/>
          <ns0:sz ns0:val="22"/>
          <ns0:szCs ns0:val="22"/>
        </ns0:rPr>
        <ns0:t xml:space="preserve">Emergency Derogation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emergency — however severe — suspends the Individual Sovereignty Floor in full. Temporary derogation of certain rights is permitted only under the strict conditions of this section; the rights enumerated in §1.26.b may not be derogated under any circumstances.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§1.26.a  </ns0:t>
      </ns0:r>
      <ns0:r>
        <ns0:rPr>
          <ns0:rFonts ns0:ascii="Garamond" ns0:cs="Garamond" ns0:eastAsia="Garamond" ns0:hAnsi="Garamond"/>
          <ns0:b/>
          <ns0:bCs/>
          <ns0:i ns0:val="false"/>
          <ns0:iCs ns0:val="false"/>
          <ns0:color ns0:val="1B2A4A"/>
          <ns0:sz ns0:val="22"/>
          <ns0:szCs ns0:val="22"/>
        </ns0:rPr>
        <ns0:t xml:space="preserve">Emergency Derogation — Declaration Requirements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§1.26.b  </ns0:t>
      </ns0:r>
      <ns0:r>
        <ns0:rPr>
          <ns0:rFonts ns0:ascii="Garamond" ns0:cs="Garamond" ns0:eastAsia="Garamond" ns0:hAnsi="Garamond"/>
          <ns0:b/>
          <ns0:bCs/>
          <ns0:i ns0:val="false"/>
          <ns0:iCs ns0:val="false"/>
          <ns0:color ns0:val="1B2A4A"/>
          <ns0:sz ns0:val="22"/>
          <ns0:szCs ns0:val="22"/>
        </ns0:rPr>
        <ns0:t xml:space="preserve">Non-Derogable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§1.26.c  </ns0:t>
      </ns0:r>
      <ns0:r>
        <ns0:rPr>
          <ns0:rFonts ns0:ascii="Garamond" ns0:cs="Garamond" ns0:eastAsia="Garamond" ns0:hAnsi="Garamond"/>
          <ns0:b/>
          <ns0:bCs/>
          <ns0:i ns0:val="false"/>
          <ns0:iCs ns0:val="false"/>
          <ns0:color ns0:val="1B2A4A"/>
          <ns0:sz ns0:val="22"/>
          <ns0:szCs ns0:val="22"/>
        </ns0:rPr>
        <ns0:t xml:space="preserve">Inspectorate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§1.26.d  </ns0:t>
      </ns0:r>
      <ns0:r>
        <ns0:rPr>
          <ns0:rFonts ns0:ascii="Garamond" ns0:cs="Garamond" ns0:eastAsia="Garamond" ns0:hAnsi="Garamond"/>
          <ns0:b/>
          <ns0:bCs/>
          <ns0:i ns0:val="false"/>
          <ns0:iCs ns0:val="false"/>
          <ns0:color ns0:val="1B2A4A"/>
          <ns0:sz ns0:val="22"/>
          <ns0:szCs ns0:val="22"/>
        </ns0:rPr>
        <ns0:t xml:space="preserve">Automatic Expiry and Judicial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Emergency measures lapse automatically at the expiry of the Declaration. Judicial review of any emergency measure is available to any citizen at any time, and courts may rule during the emergency that a specific measure is unconstitutional.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§1.26.e  </ns0:t>
      </ns0:r>
      <ns0:r>
        <ns0:rPr>
          <ns0:rFonts ns0:ascii="Garamond" ns0:cs="Garamond" ns0:eastAsia="Garamond" ns0:hAnsi="Garamond"/>
          <ns0:b/>
          <ns0:bCs/>
          <ns0:i ns0:val="false"/>
          <ns0:iCs ns0:val="false"/>
          <ns0:color ns0:val="1B2A4A"/>
          <ns0:sz ns0:val="22"/>
          <ns0:szCs ns0:val="22"/>
        </ns0:rPr>
        <ns0:t xml:space="preserve">No Permanent Emergency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II — The Dual Executive</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  </ns0:t>
      </ns0:r>
      <ns0:r>
        <ns0:rPr>
          <ns0:rFonts ns0:ascii="Garamond" ns0:cs="Garamond" ns0:eastAsia="Garamond" ns0:hAnsi="Garamond"/>
          <ns0:b/>
          <ns0:bCs/>
          <ns0:i ns0:val="false"/>
          <ns0:iCs ns0:val="false"/>
          <ns0:color ns0:val="1B2A4A"/>
          <ns0:sz ns0:val="22"/>
          <ns0:szCs ns0:val="22"/>
        </ns0:rPr>
        <ns0:t xml:space="preserve">The President — Domain and Term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  </ns0:t>
      </ns0:r>
      <ns0:r>
        <ns0:rPr>
          <ns0:rFonts ns0:ascii="Garamond" ns0:cs="Garamond" ns0:eastAsia="Garamond" ns0:hAnsi="Garamond"/>
          <ns0:b/>
          <ns0:bCs/>
          <ns0:i ns0:val="false"/>
          <ns0:iCs ns0:val="false"/>
          <ns0:color ns0:val="1B2A4A"/>
          <ns0:sz ns0:val="22"/>
          <ns0:szCs ns0:val="22"/>
        </ns0:rPr>
        <ns0:t xml:space="preserve">Military Authorization Framework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§2.3  </ns0:t>
      </ns0:r>
      <ns0:r>
        <ns0:rPr>
          <ns0:rFonts ns0:ascii="Garamond" ns0:cs="Garamond" ns0:eastAsia="Garamond" ns0:hAnsi="Garamond"/>
          <ns0:b/>
          <ns0:bCs/>
          <ns0:i ns0:val="false"/>
          <ns0:iCs ns0:val="false"/>
          <ns0:color ns0:val="1B2A4A"/>
          <ns0:sz ns0:val="22"/>
          <ns0:szCs ns0:val="22"/>
        </ns0:rPr>
        <ns0:t xml:space="preserve">Presidential Intelligence and Veto</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Intelligence: 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Veto: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§2.4  </ns0:t>
      </ns0:r>
      <ns0:r>
        <ns0:rPr>
          <ns0:rFonts ns0:ascii="Garamond" ns0:cs="Garamond" ns0:eastAsia="Garamond" ns0:hAnsi="Garamond"/>
          <ns0:b/>
          <ns0:bCs/>
          <ns0:i ns0:val="false"/>
          <ns0:iCs ns0:val="false"/>
          <ns0:color ns0:val="1B2A4A"/>
          <ns0:sz ns0:val="22"/>
          <ns0:szCs ns0:val="22"/>
        </ns0:rPr>
        <ns0:t xml:space="preserve">Presidential Domain Operations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Trade: 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Appointments: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Domain conflict: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§2.5  </ns0:t>
      </ns0:r>
      <ns0:r>
        <ns0:rPr>
          <ns0:rFonts ns0:ascii="Garamond" ns0:cs="Garamond" ns0:eastAsia="Garamond" ns0:hAnsi="Garamond"/>
          <ns0:b/>
          <ns0:bCs/>
          <ns0:i ns0:val="false"/>
          <ns0:iCs ns0:val="false"/>
          <ns0:color ns0:val="1B2A4A"/>
          <ns0:sz ns0:val="22"/>
          <ns0:szCs ns0:val="22"/>
        </ns0:rPr>
        <ns0:t xml:space="preserve">The Prime Minister — Domestic Executive Domain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§2.6  </ns0:t>
      </ns0:r>
      <ns0:r>
        <ns0:rPr>
          <ns0:rFonts ns0:ascii="Garamond" ns0:cs="Garamond" ns0:eastAsia="Garamond" ns0:hAnsi="Garamond"/>
          <ns0:b/>
          <ns0:bCs/>
          <ns0:i ns0:val="false"/>
          <ns0:iCs ns0:val="false"/>
          <ns0:color ns0:val="1B2A4A"/>
          <ns0:sz ns0:val="22"/>
          <ns0:szCs ns0:val="22"/>
        </ns0:rPr>
        <ns0:t xml:space="preserve">PM Accountability and Formation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Term limits: no person may serve more than 8 consecutive years as PM, and no more than 12 years in total across all periods of service. Both limits operate simultaneously; the stricter governs at any given moment. Formation: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§2.7  </ns0:t>
      </ns0:r>
      <ns0:r>
        <ns0:rPr>
          <ns0:rFonts ns0:ascii="Garamond" ns0:cs="Garamond" ns0:eastAsia="Garamond" ns0:hAnsi="Garamond"/>
          <ns0:b/>
          <ns0:bCs/>
          <ns0:i ns0:val="false"/>
          <ns0:iCs ns0:val="false"/>
          <ns0:color ns0:val="1B2A4A"/>
          <ns0:sz ns0:val="22"/>
          <ns0:szCs ns0:val="22"/>
        </ns0:rPr>
        <ns0:t xml:space="preserve">PM Legislative Instruments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holds two instruments for engaging the Legislature on enacted bills. Suspensive Veto: 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Fiscal Objection: the PM may object on specific solvency grounds — the bill would cause or materially worsen a structural deficit. Requires MA assessment; the House may override by simple majority after receiving the assessment. Silence: if the PM neither signs nor objects within the legislative review period, the bill is enacted. Silence is not a veto. Review period: both executives review legislation concurrently from the date of final passage; periods and procedures are defined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§2.8  </ns0:t>
      </ns0:r>
      <ns0:r>
        <ns0:rPr>
          <ns0:rFonts ns0:ascii="Garamond" ns0:cs="Garamond" ns0:eastAsia="Garamond" ns0:hAnsi="Garamond"/>
          <ns0:b/>
          <ns0:bCs/>
          <ns0:i ns0:val="false"/>
          <ns0:iCs ns0:val="false"/>
          <ns0:color ns0:val="1B2A4A"/>
          <ns0:sz ns0:val="22"/>
          <ns0:szCs ns0:val="22"/>
        </ns0:rPr>
        <ns0:t xml:space="preserve">Duty of Refusal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§2.9  </ns0:t>
      </ns0:r>
      <ns0:r>
        <ns0:rPr>
          <ns0:rFonts ns0:ascii="Garamond" ns0:cs="Garamond" ns0:eastAsia="Garamond" ns0:hAnsi="Garamond"/>
          <ns0:b/>
          <ns0:bCs/>
          <ns0:i ns0:val="false"/>
          <ns0:iCs ns0:val="false"/>
          <ns0:color ns0:val="1B2A4A"/>
          <ns0:sz ns0:val="22"/>
          <ns0:szCs ns0:val="22"/>
        </ns0:rPr>
        <ns0:t xml:space="preserve">Presidential Succession and Incapacity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Full succession activates on Presidential death, resignation, removal, or certified permanent incapacity. Authority transfers in order: (1) Senate Speaker; (2) Senate Deputy Speaker; (3) most senior member of the Senate Armed Services Committee. A successor serves the remainder of the current presidential term; service by succession does not consume the successor's own eligibility to stand at the next election. Temporary incapacity: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§2.10  </ns0:t>
      </ns0:r>
      <ns0:r>
        <ns0:rPr>
          <ns0:rFonts ns0:ascii="Garamond" ns0:cs="Garamond" ns0:eastAsia="Garamond" ns0:hAnsi="Garamond"/>
          <ns0:b/>
          <ns0:bCs/>
          <ns0:i ns0:val="false"/>
          <ns0:iCs ns0:val="false"/>
          <ns0:color ns0:val="1B2A4A"/>
          <ns0:sz ns0:val="22"/>
          <ns0:szCs ns0:val="22"/>
        </ns0:rPr>
        <ns0:t xml:space="preserve">Executive Transparency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§2.11  </ns0:t>
      </ns0:r>
      <ns0:r>
        <ns0:rPr>
          <ns0:rFonts ns0:ascii="Garamond" ns0:cs="Garamond" ns0:eastAsia="Garamond" ns0:hAnsi="Garamond"/>
          <ns0:b/>
          <ns0:bCs/>
          <ns0:i ns0:val="false"/>
          <ns0:iCs ns0:val="false"/>
          <ns0:color ns0:val="1B2A4A"/>
          <ns0:sz ns0:val="22"/>
          <ns0:szCs ns0:val="22"/>
        </ns0:rPr>
        <ns0:t xml:space="preserve">Emergency Governance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most senior available SC justice published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§2.12  </ns0:t>
      </ns0:r>
      <ns0:r>
        <ns0:rPr>
          <ns0:rFonts ns0:ascii="Garamond" ns0:cs="Garamond" ns0:eastAsia="Garamond" ns0:hAnsi="Garamond"/>
          <ns0:b/>
          <ns0:bCs/>
          <ns0:i ns0:val="false"/>
          <ns0:iCs ns0:val="false"/>
          <ns0:color ns0:val="1B2A4A"/>
          <ns0:sz ns0:val="22"/>
          <ns0:szCs ns0:val="22"/>
        </ns0:rPr>
        <ns0:t xml:space="preserve">Clemency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Every petition, report, and grant or decline is published permanently to the NRS. Every grant is subject to cross-chamber transparency review. Group amnesty requires legislative action; no executive may grant group amnesty.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§2.13  </ns0:t>
      </ns0:r>
      <ns0:r>
        <ns0:rPr>
          <ns0:rFonts ns0:ascii="Garamond" ns0:cs="Garamond" ns0:eastAsia="Garamond" ns0:hAnsi="Garamond"/>
          <ns0:b/>
          <ns0:bCs/>
          <ns0:i ns0:val="false"/>
          <ns0:iCs ns0:val="false"/>
          <ns0:color ns0:val="1B2A4A"/>
          <ns0:sz ns0:val="22"/>
          <ns0:szCs ns0:val="22"/>
        </ns0:rPr>
        <ns0:t xml:space="preserve">Presidential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be removed on two independent tracks. Legislative track: 2/3 of both chambers simultaneously, following joint LI and EI certification of constitutional breach, demonstrated permanent incapacity, or conviction for a disqualifying offense. Popular track: a Senate majority may refer the question to a national recall referendum administered within the period defined by statute. The President is removed if the referendum achieves the affirmative threshold and participation level defined by statute. A failed referendum may not be re-initiated within the same presidential term. The Senate Speaker holds Acting Presidential Authority from the date of Senate referral until referendum certification, without vacating their Senate seat.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§2.14  </ns0:t>
      </ns0:r>
      <ns0:r>
        <ns0:rPr>
          <ns0:rFonts ns0:ascii="Garamond" ns0:cs="Garamond" ns0:eastAsia="Garamond" ns0:hAnsi="Garamond"/>
          <ns0:b/>
          <ns0:bCs/>
          <ns0:i ns0:val="false"/>
          <ns0:iCs ns0:val="false"/>
          <ns0:color ns0:val="1B2A4A"/>
          <ns0:sz ns0:val="22"/>
          <ns0:szCs ns0:val="22"/>
        </ns0:rPr>
        <ns0:t xml:space="preserve">Joint Executive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Joint Executive Council comprises the President's domain officers and the PM's Cabinet ministers meeting jointly as a standing cross-executive coordination body. The Council is the primary forum for matters that cross executive domains. Both executives must attend at least one session per quarter.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§2.14.a  </ns0:t>
      </ns0:r>
      <ns0:r>
        <ns0:rPr>
          <ns0:rFonts ns0:ascii="Garamond" ns0:cs="Garamond" ns0:eastAsia="Garamond" ns0:hAnsi="Garamond"/>
          <ns0:b/>
          <ns0:bCs/>
          <ns0:i ns0:val="false"/>
          <ns0:iCs ns0:val="false"/>
          <ns0:color ns0:val="1B2A4A"/>
          <ns0:sz ns0:val="22"/>
          <ns0:szCs ns0:val="22"/>
        </ns0:rPr>
        <ns0:t xml:space="preserve">Coordination Failure Protocol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The JEC has 14 days to produce a joint resolution. Where no joint resolution is published within 14 days, the matter is transmitted to the House Speaker and Senate Speaker jointly. The Legislature may resolve the deadlock by concurrent resolution of both chambers within 30 days — a concurrent resolution under this provision binds both executives to its terms for the duration of the impasse only and does not alter permanent domain boundaries. Where the Legislature does not act within 30 days, the PM's residual authority governs until either the executives reach agreement or the Legislature acts. A coordination failure declaration and all resolution steps are published to the NRS as permanent records.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§2.15  </ns0:t>
      </ns0:r>
      <ns0:r>
        <ns0:rPr>
          <ns0:rFonts ns0:ascii="Garamond" ns0:cs="Garamond" ns0:eastAsia="Garamond" ns0:hAnsi="Garamond"/>
          <ns0:b/>
          <ns0:bCs/>
          <ns0:i ns0:val="false"/>
          <ns0:iCs ns0:val="false"/>
          <ns0:color ns0:val="1B2A4A"/>
          <ns0:sz ns0:val="22"/>
          <ns0:szCs ns0:val="22"/>
        </ns0:rPr>
        <ns0:t xml:space="preserve">Constitutional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III — The Legislature</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  </ns0:t>
      </ns0:r>
      <ns0:r>
        <ns0:rPr>
          <ns0:rFonts ns0:ascii="Garamond" ns0:cs="Garamond" ns0:eastAsia="Garamond" ns0:hAnsi="Garamond"/>
          <ns0:b/>
          <ns0:bCs/>
          <ns0:i ns0:val="false"/>
          <ns0:iCs ns0:val="false"/>
          <ns0:color ns0:val="1B2A4A"/>
          <ns0:sz ns0:val="22"/>
          <ns0:szCs ns0:val="22"/>
        </ns0:rPr>
        <ns0:t xml:space="preserve">The Legislature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  </ns0:t>
      </ns0:r>
      <ns0:r>
        <ns0:rPr>
          <ns0:rFonts ns0:ascii="Garamond" ns0:cs="Garamond" ns0:eastAsia="Garamond" ns0:hAnsi="Garamond"/>
          <ns0:b/>
          <ns0:bCs/>
          <ns0:i ns0:val="false"/>
          <ns0:iCs ns0:val="false"/>
          <ns0:color ns0:val="1B2A4A"/>
          <ns0:sz ns0:val="22"/>
          <ns0:szCs ns0:val="22"/>
        </ns0:rPr>
        <ns0:t xml:space="preserve">The House of Representatives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§3.3  </ns0:t>
      </ns0:r>
      <ns0:r>
        <ns0:rPr>
          <ns0:rFonts ns0:ascii="Garamond" ns0:cs="Garamond" ns0:eastAsia="Garamond" ns0:hAnsi="Garamond"/>
          <ns0:b/>
          <ns0:bCs/>
          <ns0:i ns0:val="false"/>
          <ns0:iCs ns0:val="false"/>
          <ns0:color ns0:val="1B2A4A"/>
          <ns0:sz ns0:val="22"/>
          <ns0:szCs ns0:val="22"/>
        </ns0:rPr>
        <ns0:t xml:space="preserve">Electoral Districts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  </ns0:t>
      </ns0:r>
      <ns0:r>
        <ns0:rPr>
          <ns0:rFonts ns0:ascii="Garamond" ns0:cs="Garamond" ns0:eastAsia="Garamond" ns0:hAnsi="Garamond"/>
          <ns0:b/>
          <ns0:bCs/>
          <ns0:i ns0:val="false"/>
          <ns0:iCs ns0:val="false"/>
          <ns0:color ns0:val="1B2A4A"/>
          <ns0:sz ns0:val="22"/>
          <ns0:szCs ns0:val="22"/>
        </ns0:rPr>
        <ns0:t xml:space="preserve">Legislative Standards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Single-subject rule: every bill must address a single, clearly defined subject. A court finding that a bill addresses multiple unrelated subjects voids the act. Bill exposure: the full text of every bill must be published to the NRS for a minimum period defined by statute before any final passage vote; a substantially amended bill resets the clock. Session: the Legislature must sit for a minimum number of days per year defined by statute; emergency sessions may be called by the PM or by petition of 1/3 of either chamber. Ethics: members must disclose all financial interests to the EI. The Legislature may establish a joint ethics committee with authority to sanction and refer members; removal requires 2/3 of the relevant chamber following a published EI finding.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§3.5  </ns0:t>
      </ns0:r>
      <ns0:r>
        <ns0:rPr>
          <ns0:rFonts ns0:ascii="Garamond" ns0:cs="Garamond" ns0:eastAsia="Garamond" ns0:hAnsi="Garamond"/>
          <ns0:b/>
          <ns0:bCs/>
          <ns0:i ns0:val="false"/>
          <ns0:iCs ns0:val="false"/>
          <ns0:color ns0:val="1B2A4A"/>
          <ns0:sz ns0:val="22"/>
          <ns0:szCs ns0:val="22"/>
        </ns0:rPr>
        <ns0:t xml:space="preserve">The Senate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  </ns0:t>
      </ns0:r>
      <ns0:r>
        <ns0:rPr>
          <ns0:rFonts ns0:ascii="Garamond" ns0:cs="Garamond" ns0:eastAsia="Garamond" ns0:hAnsi="Garamond"/>
          <ns0:b/>
          <ns0:bCs/>
          <ns0:i ns0:val="false"/>
          <ns0:iCs ns0:val="false"/>
          <ns0:color ns0:val="1B2A4A"/>
          <ns0:sz ns0:val="22"/>
          <ns0:szCs ns0:val="22"/>
        </ns0:rPr>
        <ns0:t xml:space="preserve">Treaty Ratification and Withdrawal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Treaty withdrawal: the President initiates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  </ns0:t>
      </ns0:r>
      <ns0:r>
        <ns0:rPr>
          <ns0:rFonts ns0:ascii="Garamond" ns0:cs="Garamond" ns0:eastAsia="Garamond" ns0:hAnsi="Garamond"/>
          <ns0:b/>
          <ns0:bCs/>
          <ns0:i ns0:val="false"/>
          <ns0:iCs ns0:val="false"/>
          <ns0:color ns0:val="1B2A4A"/>
          <ns0:sz ns0:val="22"/>
          <ns0:szCs ns0:val="22"/>
        </ns0:rPr>
        <ns0:t xml:space="preserve">Legislative Process and Passage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§3.8  </ns0:t>
      </ns0:r>
      <ns0:r>
        <ns0:rPr>
          <ns0:rFonts ns0:ascii="Garamond" ns0:cs="Garamond" ns0:eastAsia="Garamond" ns0:hAnsi="Garamond"/>
          <ns0:b/>
          <ns0:bCs/>
          <ns0:i ns0:val="false"/>
          <ns0:iCs ns0:val="false"/>
          <ns0:color ns0:val="1B2A4A"/>
          <ns0:sz ns0:val="22"/>
          <ns0:szCs ns0:val="22"/>
        </ns0:rPr>
        <ns0:t xml:space="preserve">Legislative Oversight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§3.9  </ns0:t>
      </ns0:r>
      <ns0:r>
        <ns0:rPr>
          <ns0:rFonts ns0:ascii="Garamond" ns0:cs="Garamond" ns0:eastAsia="Garamond" ns0:hAnsi="Garamond"/>
          <ns0:b/>
          <ns0:bCs/>
          <ns0:i ns0:val="false"/>
          <ns0:iCs ns0:val="false"/>
          <ns0:color ns0:val="1B2A4A"/>
          <ns0:sz ns0:val="22"/>
          <ns0:szCs ns0:val="22"/>
        </ns0:rPr>
        <ns0:t xml:space="preserve">Independent Statutory Agencies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§3.9.a  </ns0:t>
      </ns0:r>
      <ns0:r>
        <ns0:rPr>
          <ns0:rFonts ns0:ascii="Garamond" ns0:cs="Garamond" ns0:eastAsia="Garamond" ns0:hAnsi="Garamond"/>
          <ns0:b/>
          <ns0:bCs/>
          <ns0:i ns0:val="false"/>
          <ns0:iCs ns0:val="false"/>
          <ns0:color ns0:val="1B2A4A"/>
          <ns0:sz ns0:val="22"/>
          <ns0:szCs ns0:val="22"/>
        </ns0:rPr>
        <ns0:t xml:space="preserve">Independent Officer Removal — Judicial Track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then has 60 days to hold a removal vote; a 3/5 majority removes the officer permanently. A vote that fails to reach 3/5 reinstates the officer and closes the process. Where the Senate fails to vote within 60 days: if the next federal electoral period falls within 6 months, the matter is placed on that ballot; otherwise the Legislature may set a special election by concurrent resolution with a minimum 90-day notice period — failure to set a date within 30 days defaults the matter to the next federal electoral period. Removal by election requires 60% of votes cast. All steps are published to the NRS as permanent records.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§3.10  </ns0:t>
      </ns0:r>
      <ns0:r>
        <ns0:rPr>
          <ns0:rFonts ns0:ascii="Garamond" ns0:cs="Garamond" ns0:eastAsia="Garamond" ns0:hAnsi="Garamond"/>
          <ns0:b/>
          <ns0:bCs/>
          <ns0:i ns0:val="false"/>
          <ns0:iCs ns0:val="false"/>
          <ns0:color ns0:val="1B2A4A"/>
          <ns0:sz ns0:val="22"/>
          <ns0:szCs ns0:val="22"/>
        </ns0:rPr>
        <ns0:t xml:space="preserve">Impeachment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IV — The Judicial Architecture</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  </ns0:t>
      </ns0:r>
      <ns0:r>
        <ns0:rPr>
          <ns0:rFonts ns0:ascii="Garamond" ns0:cs="Garamond" ns0:eastAsia="Garamond" ns0:hAnsi="Garamond"/>
          <ns0:b/>
          <ns0:bCs/>
          <ns0:i ns0:val="false"/>
          <ns0:iCs ns0:val="false"/>
          <ns0:color ns0:val="1B2A4A"/>
          <ns0:sz ns0:val="22"/>
          <ns0:szCs ns0:val="22"/>
        </ns0:rPr>
        <ns0:t xml:space="preserve">Court Structure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  </ns0:t>
      </ns0:r>
      <ns0:r>
        <ns0:rPr>
          <ns0:rFonts ns0:ascii="Garamond" ns0:cs="Garamond" ns0:eastAsia="Garamond" ns0:hAnsi="Garamond"/>
          <ns0:b/>
          <ns0:bCs/>
          <ns0:i ns0:val="false"/>
          <ns0:iCs ns0:val="false"/>
          <ns0:color ns0:val="1B2A4A"/>
          <ns0:sz ns0:val="22"/>
          <ns0:szCs ns0:val="22"/>
        </ns0:rPr>
        <ns0:t xml:space="preserve">Judicial Appointments and Independence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  </ns0:t>
      </ns0:r>
      <ns0:r>
        <ns0:rPr>
          <ns0:rFonts ns0:ascii="Garamond" ns0:cs="Garamond" ns0:eastAsia="Garamond" ns0:hAnsi="Garamond"/>
          <ns0:b/>
          <ns0:bCs/>
          <ns0:i ns0:val="false"/>
          <ns0:iCs ns0:val="false"/>
          <ns0:color ns0:val="1B2A4A"/>
          <ns0:sz ns0:val="22"/>
          <ns0:szCs ns0:val="22"/>
        </ns0:rPr>
        <ns0:t xml:space="preserve">The Supreme Court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§4.3.a  </ns0:t>
      </ns0:r>
      <ns0:r>
        <ns0:rPr>
          <ns0:rFonts ns0:ascii="Garamond" ns0:cs="Garamond" ns0:eastAsia="Garamond" ns0:hAnsi="Garamond"/>
          <ns0:b/>
          <ns0:bCs/>
          <ns0:i ns0:val="false"/>
          <ns0:iCs ns0:val="false"/>
          <ns0:color ns0:val="1B2A4A"/>
          <ns0:sz ns0:val="22"/>
          <ns0:szCs ns0:val="22"/>
        </ns0:rPr>
        <ns0:t xml:space="preserve">Supreme Court Quorum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  </ns0:t>
      </ns0:r>
      <ns0:r>
        <ns0:rPr>
          <ns0:rFonts ns0:ascii="Garamond" ns0:cs="Garamond" ns0:eastAsia="Garamond" ns0:hAnsi="Garamond"/>
          <ns0:b/>
          <ns0:bCs/>
          <ns0:i ns0:val="false"/>
          <ns0:iCs ns0:val="false"/>
          <ns0:color ns0:val="1B2A4A"/>
          <ns0:sz ns0:val="22"/>
          <ns0:szCs ns0:val="22"/>
        </ns0:rPr>
        <ns0:t xml:space="preserve">Supreme Court Selection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§4.4.a  </ns0:t>
      </ns0:r>
      <ns0:r>
        <ns0:rPr>
          <ns0:rFonts ns0:ascii="Garamond" ns0:cs="Garamond" ns0:eastAsia="Garamond" ns0:hAnsi="Garamond"/>
          <ns0:b/>
          <ns0:bCs/>
          <ns0:i ns0:val="false"/>
          <ns0:iCs ns0:val="false"/>
          <ns0:color ns0:val="1B2A4A"/>
          <ns0:sz ns0:val="22"/>
          <ns0:szCs ns0:val="22"/>
        </ns0:rPr>
        <ns0:t xml:space="preserve">Senate Bypass — Public Confirmation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§4.5  </ns0:t>
      </ns0:r>
      <ns0:r>
        <ns0:rPr>
          <ns0:rFonts ns0:ascii="Garamond" ns0:cs="Garamond" ns0:eastAsia="Garamond" ns0:hAnsi="Garamond"/>
          <ns0:b/>
          <ns0:bCs/>
          <ns0:i ns0:val="false"/>
          <ns0:iCs ns0:val="false"/>
          <ns0:color ns0:val="1B2A4A"/>
          <ns0:sz ns0:val="22"/>
          <ns0:szCs ns0:val="22"/>
        </ns0:rPr>
        <ns0:t xml:space="preserve">Judicial Review and Scope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§4.6  </ns0:t>
      </ns0:r>
      <ns0:r>
        <ns0:rPr>
          <ns0:rFonts ns0:ascii="Garamond" ns0:cs="Garamond" ns0:eastAsia="Garamond" ns0:hAnsi="Garamond"/>
          <ns0:b/>
          <ns0:bCs/>
          <ns0:i ns0:val="false"/>
          <ns0:iCs ns0:val="false"/>
          <ns0:color ns0:val="1B2A4A"/>
          <ns0:sz ns0:val="22"/>
          <ns0:szCs ns0:val="22"/>
        </ns0:rPr>
        <ns0:t xml:space="preserve">Judgment Recognition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§4.7  </ns0:t>
      </ns0:r>
      <ns0:r>
        <ns0:rPr>
          <ns0:rFonts ns0:ascii="Garamond" ns0:cs="Garamond" ns0:eastAsia="Garamond" ns0:hAnsi="Garamond"/>
          <ns0:b/>
          <ns0:bCs/>
          <ns0:i ns0:val="false"/>
          <ns0:iCs ns0:val="false"/>
          <ns0:color ns0:val="1B2A4A"/>
          <ns0:sz ns0:val="22"/>
          <ns0:szCs ns0:val="22"/>
        </ns0:rPr>
        <ns0:t xml:space="preserve">Jury Service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 are required to serve on juries when called. Jury service is compensated at a rate the Legislature defines by statute. Unexcused refusal is subject to civil consequences the Legislature defines. Jury service does not constitute forced labour under §1.4.</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 — Citizenship and National Identity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  </ns0:t>
      </ns0:r>
      <ns0:r>
        <ns0:rPr>
          <ns0:rFonts ns0:ascii="Garamond" ns0:cs="Garamond" ns0:eastAsia="Garamond" ns0:hAnsi="Garamond"/>
          <ns0:b/>
          <ns0:bCs/>
          <ns0:i ns0:val="false"/>
          <ns0:iCs ns0:val="false"/>
          <ns0:color ns0:val="1B2A4A"/>
          <ns0:sz ns0:val="22"/>
          <ns0:szCs ns0:val="22"/>
        </ns0:rPr>
        <ns0:t xml:space="preserve">Citizenship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§5.1.c  </ns0:t>
      </ns0:r>
      <ns0:r>
        <ns0:rPr>
          <ns0:rFonts ns0:ascii="Garamond" ns0:cs="Garamond" ns0:eastAsia="Garamond" ns0:hAnsi="Garamond"/>
          <ns0:b/>
          <ns0:bCs/>
          <ns0:i ns0:val="false"/>
          <ns0:iCs ns0:val="false"/>
          <ns0:color ns0:val="1B2A4A"/>
          <ns0:sz ns0:val="22"/>
          <ns0:szCs ns0:val="22"/>
        </ns0:rPr>
        <ns0:t xml:space="preserve">Naturalization and Service Path</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§5.1.f  </ns0:t>
      </ns0:r>
      <ns0:r>
        <ns0:rPr>
          <ns0:rFonts ns0:ascii="Garamond" ns0:cs="Garamond" ns0:eastAsia="Garamond" ns0:hAnsi="Garamond"/>
          <ns0:b/>
          <ns0:bCs/>
          <ns0:i ns0:val="false"/>
          <ns0:iCs ns0:val="false"/>
          <ns0:color ns0:val="1B2A4A"/>
          <ns0:sz ns0:val="22"/>
          <ns0:szCs ns0:val="22"/>
        </ns0:rPr>
        <ns0:t xml:space="preserve">Derivative and Founding Status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§5.2  </ns0:t>
      </ns0:r>
      <ns0:r>
        <ns0:rPr>
          <ns0:rFonts ns0:ascii="Garamond" ns0:cs="Garamond" ns0:eastAsia="Garamond" ns0:hAnsi="Garamond"/>
          <ns0:b/>
          <ns0:bCs/>
          <ns0:i ns0:val="false"/>
          <ns0:iCs ns0:val="false"/>
          <ns0:color ns0:val="1B2A4A"/>
          <ns0:sz ns0:val="22"/>
          <ns0:szCs ns0:val="22"/>
        </ns0:rPr>
        <ns0:t xml:space="preserve">Legal Resident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§5.3  </ns0:t>
      </ns0:r>
      <ns0:r>
        <ns0:rPr>
          <ns0:rFonts ns0:ascii="Garamond" ns0:cs="Garamond" ns0:eastAsia="Garamond" ns0:hAnsi="Garamond"/>
          <ns0:b/>
          <ns0:bCs/>
          <ns0:i ns0:val="false"/>
          <ns0:iCs ns0:val="false"/>
          <ns0:color ns0:val="1B2A4A"/>
          <ns0:sz ns0:val="22"/>
          <ns0:szCs ns0:val="22"/>
        </ns0:rPr>
        <ns0:t xml:space="preserve">Custodial Care of Citizen Children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VI — Immigration and Residency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§6.1  </ns0:t>
      </ns0:r>
      <ns0:r>
        <ns0:rPr>
          <ns0:rFonts ns0:ascii="Garamond" ns0:cs="Garamond" ns0:eastAsia="Garamond" ns0:hAnsi="Garamond"/>
          <ns0:b/>
          <ns0:bCs/>
          <ns0:i ns0:val="false"/>
          <ns0:iCs ns0:val="false"/>
          <ns0:color ns0:val="1B2A4A"/>
          <ns0:sz ns0:val="22"/>
          <ns0:szCs ns0:val="22"/>
        </ns0:rPr>
        <ns0:t xml:space="preserve">The Dual-Gate System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§6.2  </ns0:t>
      </ns0:r>
      <ns0:r>
        <ns0:rPr>
          <ns0:rFonts ns0:ascii="Garamond" ns0:cs="Garamond" ns0:eastAsia="Garamond" ns0:hAnsi="Garamond"/>
          <ns0:b/>
          <ns0:bCs/>
          <ns0:i ns0:val="false"/>
          <ns0:iCs ns0:val="false"/>
          <ns0:color ns0:val="1B2A4A"/>
          <ns0:sz ns0:val="22"/>
          <ns0:szCs ns0:val="22"/>
        </ns0:rPr>
        <ns0:t xml:space="preserve">Enforcement, Removal, and Appeals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  </ns0:t>
      </ns0:r>
      <ns0:r>
        <ns0:rPr>
          <ns0:rFonts ns0:ascii="Garamond" ns0:cs="Garamond" ns0:eastAsia="Garamond" ns0:hAnsi="Garamond"/>
          <ns0:b/>
          <ns0:bCs/>
          <ns0:i ns0:val="false"/>
          <ns0:iCs ns0:val="false"/>
          <ns0:color ns0:val="1B2A4A"/>
          <ns0:sz ns0:val="22"/>
          <ns0:szCs ns0:val="22"/>
        </ns0:rPr>
        <ns0:t xml:space="preserve">Asylum and Protection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§6.4.c  </ns0:t>
      </ns0:r>
      <ns0:r>
        <ns0:rPr>
          <ns0:rFonts ns0:ascii="Garamond" ns0:cs="Garamond" ns0:eastAsia="Garamond" ns0:hAnsi="Garamond"/>
          <ns0:b/>
          <ns0:bCs/>
          <ns0:i ns0:val="false"/>
          <ns0:iCs ns0:val="false"/>
          <ns0:color ns0:val="1B2A4A"/>
          <ns0:sz ns0:val="22"/>
          <ns0:szCs ns0:val="22"/>
        </ns0:rPr>
        <ns0:t xml:space="preserve">Asylum Court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§6.4.e  </ns0:t>
      </ns0:r>
      <ns0:r>
        <ns0:rPr>
          <ns0:rFonts ns0:ascii="Garamond" ns0:cs="Garamond" ns0:eastAsia="Garamond" ns0:hAnsi="Garamond"/>
          <ns0:b/>
          <ns0:bCs/>
          <ns0:i ns0:val="false"/>
          <ns0:iCs ns0:val="false"/>
          <ns0:color ns0:val="1B2A4A"/>
          <ns0:sz ns0:val="22"/>
          <ns0:szCs ns0:val="22"/>
        </ns0:rPr>
        <ns0:t xml:space="preserve">Unresolvable and Security Cases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§6.4.h  </ns0:t>
      </ns0:r>
      <ns0:r>
        <ns0:rPr>
          <ns0:rFonts ns0:ascii="Garamond" ns0:cs="Garamond" ns0:eastAsia="Garamond" ns0:hAnsi="Garamond"/>
          <ns0:b/>
          <ns0:bCs/>
          <ns0:i ns0:val="false"/>
          <ns0:iCs ns0:val="false"/>
          <ns0:color ns0:val="1B2A4A"/>
          <ns0:sz ns0:val="22"/>
          <ns0:szCs ns0:val="22"/>
        </ns0:rPr>
        <ns0:t xml:space="preserve">Unaccompanied Minors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VII — Elections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§7.1  </ns0:t>
      </ns0:r>
      <ns0:r>
        <ns0:rPr>
          <ns0:rFonts ns0:ascii="Garamond" ns0:cs="Garamond" ns0:eastAsia="Garamond" ns0:hAnsi="Garamond"/>
          <ns0:b/>
          <ns0:bCs/>
          <ns0:i ns0:val="false"/>
          <ns0:iCs ns0:val="false"/>
          <ns0:color ns0:val="1B2A4A"/>
          <ns0:sz ns0:val="22"/>
          <ns0:szCs ns0:val="22"/>
        </ns0:rPr>
        <ns0:t xml:space="preserve">The Right to Vote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  </ns0:t>
      </ns0:r>
      <ns0:r>
        <ns0:rPr>
          <ns0:rFonts ns0:ascii="Garamond" ns0:cs="Garamond" ns0:eastAsia="Garamond" ns0:hAnsi="Garamond"/>
          <ns0:b/>
          <ns0:bCs/>
          <ns0:i ns0:val="false"/>
          <ns0:iCs ns0:val="false"/>
          <ns0:color ns0:val="1B2A4A"/>
          <ns0:sz ns0:val="22"/>
          <ns0:szCs ns0:val="22"/>
        </ns0:rPr>
        <ns0:t xml:space="preserve">Presidential Election System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§7.2.b  </ns0:t>
      </ns0:r>
      <ns0:r>
        <ns0:rPr>
          <ns0:rFonts ns0:ascii="Garamond" ns0:cs="Garamond" ns0:eastAsia="Garamond" ns0:hAnsi="Garamond"/>
          <ns0:b/>
          <ns0:bCs/>
          <ns0:i ns0:val="false"/>
          <ns0:iCs ns0:val="false"/>
          <ns0:color ns0:val="1B2A4A"/>
          <ns0:sz ns0:val="22"/>
          <ns0:szCs ns0:val="22"/>
        </ns0:rPr>
        <ns0:t xml:space="preserve">State Plurality Requirement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§7.3  </ns0:t>
      </ns0:r>
      <ns0:r>
        <ns0:rPr>
          <ns0:rFonts ns0:ascii="Garamond" ns0:cs="Garamond" ns0:eastAsia="Garamond" ns0:hAnsi="Garamond"/>
          <ns0:b/>
          <ns0:bCs/>
          <ns0:i ns0:val="false"/>
          <ns0:iCs ns0:val="false"/>
          <ns0:color ns0:val="1B2A4A"/>
          <ns0:sz ns0:val="22"/>
          <ns0:szCs ns0:val="22"/>
        </ns0:rPr>
        <ns0:t xml:space="preserve">Federal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VIII — Inspectorates and the State Designee Panel</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  </ns0:t>
      </ns0:r>
      <ns0:r>
        <ns0:rPr>
          <ns0:rFonts ns0:ascii="Garamond" ns0:cs="Garamond" ns0:eastAsia="Garamond" ns0:hAnsi="Garamond"/>
          <ns0:b/>
          <ns0:bCs/>
          <ns0:i ns0:val="false"/>
          <ns0:iCs ns0:val="false"/>
          <ns0:color ns0:val="1B2A4A"/>
          <ns0:sz ns0:val="22"/>
          <ns0:szCs ns0:val="22"/>
        </ns0:rPr>
        <ns0:t xml:space="preserve">Three Inspectorates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§8.1.a  </ns0:t>
      </ns0:r>
      <ns0:r>
        <ns0:rPr>
          <ns0:rFonts ns0:ascii="Garamond" ns0:cs="Garamond" ns0:eastAsia="Garamond" ns0:hAnsi="Garamond"/>
          <ns0:b/>
          <ns0:bCs/>
          <ns0:i ns0:val="false"/>
          <ns0:iCs ns0:val="false"/>
          <ns0:color ns0:val="1B2A4A"/>
          <ns0:sz ns0:val="22"/>
          <ns0:szCs ns0:val="22"/>
        </ns0:rPr>
        <ns0:t xml:space="preserve">The Legislative Inspectorate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audits the Legislature for fiscal accuracy,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§8.1.b  </ns0:t>
      </ns0:r>
      <ns0:r>
        <ns0:rPr>
          <ns0:rFonts ns0:ascii="Garamond" ns0:cs="Garamond" ns0:eastAsia="Garamond" ns0:hAnsi="Garamond"/>
          <ns0:b/>
          <ns0:bCs/>
          <ns0:i ns0:val="false"/>
          <ns0:iCs ns0:val="false"/>
          <ns0:color ns0:val="1B2A4A"/>
          <ns0:sz ns0:val="22"/>
          <ns0:szCs ns0:val="22"/>
        </ns0:rPr>
        <ns0:t xml:space="preserve">The Executive Inspectorate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§8.1.c  </ns0:t>
      </ns0:r>
      <ns0:r>
        <ns0:rPr>
          <ns0:rFonts ns0:ascii="Garamond" ns0:cs="Garamond" ns0:eastAsia="Garamond" ns0:hAnsi="Garamond"/>
          <ns0:b/>
          <ns0:bCs/>
          <ns0:i ns0:val="false"/>
          <ns0:iCs ns0:val="false"/>
          <ns0:color ns0:val="1B2A4A"/>
          <ns0:sz ns0:val="22"/>
          <ns0:szCs ns0:val="22"/>
        </ns0:rPr>
        <ns0:t xml:space="preserve">The Judicial Inspectorate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§8.1.d  </ns0:t>
      </ns0:r>
      <ns0:r>
        <ns0:rPr>
          <ns0:rFonts ns0:ascii="Garamond" ns0:cs="Garamond" ns0:eastAsia="Garamond" ns0:hAnsi="Garamond"/>
          <ns0:b/>
          <ns0:bCs/>
          <ns0:i ns0:val="false"/>
          <ns0:iCs ns0:val="false"/>
          <ns0:color ns0:val="1B2A4A"/>
          <ns0:sz ns0:val="22"/>
          <ns0:szCs ns0:val="22"/>
        </ns0:rPr>
        <ns0:t xml:space="preserve">IG Term Expiry and Incapacity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IG's constitutional authority terminates automatically at the moment their term expires — no further act or proceeding is required. Any official act taken after term expiry is constitutionally void. Where a successor has not yet been confirmed at term expiry, the most senior deputy within the Inspectorate holds full IG authority on an acting basis until the successor is confirmed; acting authority under this provision may not exceed 90 days without LI certification of the delay as a constitutional compliance breach. Where an IG is certified incapacitated by the other two Inspectorates jointly, the most senior deputy assumes acting authority immediately pending either recovery or a new selection under §8.3; the incapacitated IG's authority is suspended from the moment of joint certification.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§8.2  </ns0:t>
      </ns0:r>
      <ns0:r>
        <ns0:rPr>
          <ns0:rFonts ns0:ascii="Garamond" ns0:cs="Garamond" ns0:eastAsia="Garamond" ns0:hAnsi="Garamond"/>
          <ns0:b/>
          <ns0:bCs/>
          <ns0:i ns0:val="false"/>
          <ns0:iCs ns0:val="false"/>
          <ns0:color ns0:val="1B2A4A"/>
          <ns0:sz ns0:val="22"/>
          <ns0:szCs ns0:val="22"/>
        </ns0:rPr>
        <ns0:t xml:space="preserve">Selection and Independence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§8.3  </ns0:t>
      </ns0:r>
      <ns0:r>
        <ns0:rPr>
          <ns0:rFonts ns0:ascii="Garamond" ns0:cs="Garamond" ns0:eastAsia="Garamond" ns0:hAnsi="Garamond"/>
          <ns0:b/>
          <ns0:bCs/>
          <ns0:i ns0:val="false"/>
          <ns0:iCs ns0:val="false"/>
          <ns0:color ns0:val="1B2A4A"/>
          <ns0:sz ns0:val="22"/>
          <ns0:szCs ns0:val="22"/>
        </ns0:rPr>
        <ns0:t xml:space="preserve">Inspector General Selection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LI IG: nominated by the SC from a pool of qualified candidates maintained by the Elections Panel; confirmed by national popular vote at the next the federal electoral period following nomination, by simple majority of votes cast. The nominee takes office in an acting capacity immediately on nomination and exercises full IG authority pending confirmation. If the confirmation vote fails, the acting IG completes any open findings within 60 days and the SC initiates a new nomination from the pool. EI IG: nominated by the House from a pool of qualified candidates maintained by the Elections Panel; confirmed by national popular vote at the next the federal electoral period following nomination, by simple majority of votes cast, with JI vetting of the nominee's disclosure record published before the vote. The same acting-capacity and failed-vote provisions apply. JI IG: selected by public lottery under §8.13 from the JI Candidate Pool under §8.4.a maintained by the Elections Panel; no confirmation. All IGs serve 10-year non-renewable terms. No two IG terms may begin within 18 months of each other, ensuring continuous institutional knowledge across offices. All pool records and certifications are published to the NRS. The Elections Panel administers all IG confirmation votes as part of the regular the federal electoral period ballot.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  </ns0:t>
      </ns0:r>
      <ns0:r>
        <ns0:rPr>
          <ns0:rFonts ns0:ascii="Garamond" ns0:cs="Garamond" ns0:eastAsia="Garamond" ns0:hAnsi="Garamond"/>
          <ns0:b/>
          <ns0:bCs/>
          <ns0:i ns0:val="false"/>
          <ns0:iCs ns0:val="false"/>
          <ns0:color ns0:val="1B2A4A"/>
          <ns0:sz ns0:val="22"/>
          <ns0:szCs ns0:val="22"/>
        </ns0:rPr>
        <ns0:t xml:space="preserve">JI Audit and Certification Mandate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§8.4.a  </ns0:t>
      </ns0:r>
      <ns0:r>
        <ns0:rPr>
          <ns0:rFonts ns0:ascii="Garamond" ns0:cs="Garamond" ns0:eastAsia="Garamond" ns0:hAnsi="Garamond"/>
          <ns0:b/>
          <ns0:bCs/>
          <ns0:i ns0:val="false"/>
          <ns0:iCs ns0:val="false"/>
          <ns0:color ns0:val="1B2A4A"/>
          <ns0:sz ns0:val="22"/>
          <ns0:szCs ns0:val="22"/>
        </ns0:rPr>
        <ns0:t xml:space="preserve">Judicial IG Candidate Pool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§8.4.e  </ns0:t>
      </ns0:r>
      <ns0:r>
        <ns0:rPr>
          <ns0:rFonts ns0:ascii="Garamond" ns0:cs="Garamond" ns0:eastAsia="Garamond" ns0:hAnsi="Garamond"/>
          <ns0:b/>
          <ns0:bCs/>
          <ns0:i ns0:val="false"/>
          <ns0:iCs ns0:val="false"/>
          <ns0:color ns0:val="1B2A4A"/>
          <ns0:sz ns0:val="22"/>
          <ns0:szCs ns0:val="22"/>
        </ns0:rPr>
        <ns0:t xml:space="preserve">Supreme Court Candidate Registry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§8.5  </ns0:t>
      </ns0:r>
      <ns0:r>
        <ns0:rPr>
          <ns0:rFonts ns0:ascii="Garamond" ns0:cs="Garamond" ns0:eastAsia="Garamond" ns0:hAnsi="Garamond"/>
          <ns0:b/>
          <ns0:bCs/>
          <ns0:i ns0:val="false"/>
          <ns0:iCs ns0:val="false"/>
          <ns0:color ns0:val="1B2A4A"/>
          <ns0:sz ns0:val="22"/>
          <ns0:szCs ns0:val="22"/>
        </ns0:rPr>
        <ns0:t xml:space="preserve">Inspector General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For-cause removal of any IG requires: a substantiated finding from a State Designee Panel under §8.9; a 14-day SC appeal window from publication of the finding; and a 2/3 vote of both chambers simultaneously. Duty suspension triggers upon publication of a substantiated Panel finding, pending the vote and any SC review. Any IG may additionally be removed without cause by 3/4 of both chambers simultaneously, except the JI IG — whose lottery-based selection makes no-cause removal equivalent to a political veto over the draw result — who may be removed for cause only.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  </ns0:t>
      </ns0:r>
      <ns0:r>
        <ns0:rPr>
          <ns0:rFonts ns0:ascii="Garamond" ns0:cs="Garamond" ns0:eastAsia="Garamond" ns0:hAnsi="Garamond"/>
          <ns0:b/>
          <ns0:bCs/>
          <ns0:i ns0:val="false"/>
          <ns0:iCs ns0:val="false"/>
          <ns0:color ns0:val="1B2A4A"/>
          <ns0:sz ns0:val="22"/>
          <ns0:szCs ns0:val="22"/>
        </ns0:rPr>
        <ns0:t xml:space="preserve">Inspectorate Operations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§8.7  </ns0:t>
      </ns0:r>
      <ns0:r>
        <ns0:rPr>
          <ns0:rFonts ns0:ascii="Garamond" ns0:cs="Garamond" ns0:eastAsia="Garamond" ns0:hAnsi="Garamond"/>
          <ns0:b/>
          <ns0:bCs/>
          <ns0:i ns0:val="false"/>
          <ns0:iCs ns0:val="false"/>
          <ns0:color ns0:val="1B2A4A"/>
          <ns0:sz ns0:val="22"/>
          <ns0:szCs ns0:val="22"/>
        </ns0:rPr>
        <ns0:t xml:space="preserve">Triggered Investigations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§8.8  </ns0:t>
      </ns0:r>
      <ns0:r>
        <ns0:rPr>
          <ns0:rFonts ns0:ascii="Garamond" ns0:cs="Garamond" ns0:eastAsia="Garamond" ns0:hAnsi="Garamond"/>
          <ns0:b/>
          <ns0:bCs/>
          <ns0:i ns0:val="false"/>
          <ns0:iCs ns0:val="false"/>
          <ns0:color ns0:val="1B2A4A"/>
          <ns0:sz ns0:val="22"/>
          <ns0:szCs ns0:val="22"/>
        </ns0:rPr>
        <ns0:t xml:space="preserve">EI Annual Military Assessment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  </ns0:t>
      </ns0:r>
      <ns0:r>
        <ns0:rPr>
          <ns0:rFonts ns0:ascii="Garamond" ns0:cs="Garamond" ns0:eastAsia="Garamond" ns0:hAnsi="Garamond"/>
          <ns0:b/>
          <ns0:bCs/>
          <ns0:i ns0:val="false"/>
          <ns0:iCs ns0:val="false"/>
          <ns0:color ns0:val="1B2A4A"/>
          <ns0:sz ns0:val="22"/>
          <ns0:szCs ns0:val="22"/>
        </ns0:rPr>
        <ns0:t xml:space="preserve">State Designee Panel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State Designee Panel is constituted per proceeding to determine, before any qualifying for-cause removal vote, whether the stated grounds are substantiated within the enumerated constitutional categories for the relevant office. The Panel publishes a binary finding only — grounds substantiated or unsubstantiated. Each State maintains a standing State Designee Pool; eligibility requires at least five years of citizenship, no current or recent federal office, and no pending federal criminal proceedings. Pool membership is a public NRS record maintained by the LI. Upon activation, the JIC constitutes a Panel of five members by lottery within five days from the combined national pool. The Panel has 21 days from full constitution to review. The Panel determines only whether the stated grounds, as documented in the submitted record, constitute at least one enumerated constitutional category for the subject office — it does not independently investigate or assess credibility. A substantiated finding authorises the Legislature to proceed to a removal vote and triggers applicable duty suspension. Either finding is published permanently to the NRS. The subject officer may petition the SC within 14 days; the Court reviews only whether constitutional categories were correctly applied and must rule within 21 days; a petition does not automatically stay duty suspension.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§8.10  </ns0:t>
      </ns0:r>
      <ns0:r>
        <ns0:rPr>
          <ns0:rFonts ns0:ascii="Garamond" ns0:cs="Garamond" ns0:eastAsia="Garamond" ns0:hAnsi="Garamond"/>
          <ns0:b/>
          <ns0:bCs/>
          <ns0:i ns0:val="false"/>
          <ns0:iCs ns0:val="false"/>
          <ns0:color ns0:val="1B2A4A"/>
          <ns0:sz ns0:val="22"/>
          <ns0:szCs ns0:val="22"/>
        </ns0:rPr>
        <ns0:t xml:space="preserve">Inspectorate Minimum Funding Guarantee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§8.11  </ns0:t>
      </ns0:r>
      <ns0:r>
        <ns0:rPr>
          <ns0:rFonts ns0:ascii="Garamond" ns0:cs="Garamond" ns0:eastAsia="Garamond" ns0:hAnsi="Garamond"/>
          <ns0:b/>
          <ns0:bCs/>
          <ns0:i ns0:val="false"/>
          <ns0:iCs ns0:val="false"/>
          <ns0:color ns0:val="1B2A4A"/>
          <ns0:sz ns0:val="22"/>
          <ns0:szCs ns0:val="22"/>
        </ns0:rPr>
        <ns0:t xml:space="preserve">Eight-Year Assessment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eight years from the date of full constitutional operation, the three Inspectorates jointly assess constitutional framework performance across: Article I rights enforcement across all jurisdictions; Inspectorate functioning and mandate adequacy; social state obligation compliance including healthcare solvency and universal access; military subordination to constitutional authority; NRS coverage and integrity; and constitutional pool and lottery mechanism health. The assessment is published to the NRS and transmitted to both chambers. Findings are classified by severity: No Finding, Deficiency, or Critical Failure. For No Finding: acknowledgment is sufficient. For Deficiency: the Legislature must publish a remediation plan with actions and timelines; acknowledgment without a plan is a constitutional compliance breach certified by the LI. For Critical Failure: the Legislature must publish a remediation plan and any member may petition the SC to determine whether judicial remedy is required.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§8.12  </ns0:t>
      </ns0:r>
      <ns0:r>
        <ns0:rPr>
          <ns0:rFonts ns0:ascii="Garamond" ns0:cs="Garamond" ns0:eastAsia="Garamond" ns0:hAnsi="Garamond"/>
          <ns0:b/>
          <ns0:bCs/>
          <ns0:i ns0:val="false"/>
          <ns0:iCs ns0:val="false"/>
          <ns0:color ns0:val="1B2A4A"/>
          <ns0:sz ns0:val="22"/>
          <ns0:szCs ns0:val="22"/>
        </ns0:rPr>
        <ns0:t xml:space="preserve">Joint Inspectorate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three Inspector Generals jointly constitute the JIC as the standing coordination body for matters crossing Inspectorate jurisdictions. The JIC formally houses all jointly certified constitutional functions — including the Eight-Year Assessment,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§8.12.a  </ns0:t>
      </ns0:r>
      <ns0:r>
        <ns0:rPr>
          <ns0:rFonts ns0:ascii="Garamond" ns0:cs="Garamond" ns0:eastAsia="Garamond" ns0:hAnsi="Garamond"/>
          <ns0:b/>
          <ns0:bCs/>
          <ns0:i ns0:val="false"/>
          <ns0:iCs ns0:val="false"/>
          <ns0:color ns0:val="1B2A4A"/>
          <ns0:sz ns0:val="22"/>
          <ns0:szCs ns0:val="22"/>
        </ns0:rPr>
        <ns0:t xml:space="preserve">Institutional Compromise Protocol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the longest-tenured member of the affected Inspectorate's candidate pool who accepts the designation and is approved by both executives.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 All designations, approvals, findings, and SC rulings are published permanently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§8.13  </ns0:t>
      </ns0:r>
      <ns0:r>
        <ns0:rPr>
          <ns0:rFonts ns0:ascii="Garamond" ns0:cs="Garamond" ns0:eastAsia="Garamond" ns0:hAnsi="Garamond"/>
          <ns0:b/>
          <ns0:bCs/>
          <ns0:i ns0:val="false"/>
          <ns0:iCs ns0:val="false"/>
          <ns0:color ns0:val="1B2A4A"/>
          <ns0:sz ns0:val="22"/>
          <ns0:szCs ns0:val="22"/>
        </ns0:rPr>
        <ns0:t xml:space="preserve">Constitutional Pool Framework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Certification: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Selection by lottery: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Pool health: the JI monitors all constitutional pools annually and publishes a status report; where a pool falls below its constitutional minimum, the relevant nominating bodies must respond within 30 days.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§8.14  </ns0:t>
      </ns0:r>
      <ns0:r>
        <ns0:rPr>
          <ns0:rFonts ns0:ascii="Garamond" ns0:cs="Garamond" ns0:eastAsia="Garamond" ns0:hAnsi="Garamond"/>
          <ns0:b/>
          <ns0:bCs/>
          <ns0:i ns0:val="false"/>
          <ns0:iCs ns0:val="false"/>
          <ns0:color ns0:val="1B2A4A"/>
          <ns0:sz ns0:val="22"/>
          <ns0:szCs ns0:val="22"/>
        </ns0:rPr>
        <ns0:t xml:space="preserve">Registry Integrity Standards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§8.11 eight-year assessment must evaluate each registry for pool depth, distribution, and patterns in exclusion decisions.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IX — The National Record System</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  </ns0:t>
      </ns0:r>
      <ns0:r>
        <ns0:rPr>
          <ns0:rFonts ns0:ascii="Garamond" ns0:cs="Garamond" ns0:eastAsia="Garamond" ns0:hAnsi="Garamond"/>
          <ns0:b/>
          <ns0:bCs/>
          <ns0:i ns0:val="false"/>
          <ns0:iCs ns0:val="false"/>
          <ns0:color ns0:val="1B2A4A"/>
          <ns0:sz ns0:val="22"/>
          <ns0:szCs ns0:val="22"/>
        </ns0:rPr>
        <ns0:t xml:space="preserve">National Record System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Record System is the permanent, tamper-evident public record of the Republic — freely accessible to every Inhabitant at no cost.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  </ns0:t>
      </ns0:r>
      <ns0:r>
        <ns0:rPr>
          <ns0:rFonts ns0:ascii="Garamond" ns0:cs="Garamond" ns0:eastAsia="Garamond" ns0:hAnsi="Garamond"/>
          <ns0:b/>
          <ns0:bCs/>
          <ns0:i ns0:val="false"/>
          <ns0:iCs ns0:val="false"/>
          <ns0:color ns0:val="1B2A4A"/>
          <ns0:sz ns0:val="22"/>
          <ns0:szCs ns0:val="22"/>
        </ns0:rPr>
        <ns0:t xml:space="preserve">Digital Infrastructure Advisory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NRS and NVS are reviewed decennially by the Digital Infrastructure Advisory Council — an independent expert body that publishes advisory findings and recommendations to the Digital Infrastructure Commission. The Council convenes every ten years from the date of the first Legislature convening; the Legislature may not adjust the decennial trigger by statute. Each State may nominate qualified persons to the Advisory Pool at any time; pool entry and certification follow §8.13. The JIC constitutes the Council by public lottery drawing five members from the eligible pool when a decennial review is triggered. Advisory Council findings are published jointly by all three Inspectorates to the NRS and transmitted to the Commission Director and both panel chairs simultaneously. The Commission must publish its response — accepting, modifying, or declining each recommendation with published reasons — within 90 days of findings publication. The Senate must hold a mandatory public session at which Advisory Council members present their findings and respond to questions within 90 days of publication; failure to schedule within 30 days is a constitutional compliance breach certified by the LI.</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§9.4  </ns0:t>
      </ns0:r>
      <ns0:r>
        <ns0:rPr>
          <ns0:rFonts ns0:ascii="Garamond" ns0:cs="Garamond" ns0:eastAsia="Garamond" ns0:hAnsi="Garamond"/>
          <ns0:b/>
          <ns0:bCs/>
          <ns0:i ns0:val="false"/>
          <ns0:iCs ns0:val="false"/>
          <ns0:color ns0:val="1B2A4A"/>
          <ns0:sz ns0:val="22"/>
          <ns0:szCs ns0:val="22"/>
        </ns0:rPr>
        <ns0:t xml:space="preserve">NRS and Electoral Integrity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  </ns0:t>
      </ns0:r>
      <ns0:r>
        <ns0:rPr>
          <ns0:rFonts ns0:ascii="Garamond" ns0:cs="Garamond" ns0:eastAsia="Garamond" ns0:hAnsi="Garamond"/>
          <ns0:b/>
          <ns0:bCs/>
          <ns0:i ns0:val="false"/>
          <ns0:iCs ns0:val="false"/>
          <ns0:color ns0:val="1B2A4A"/>
          <ns0:sz ns0:val="22"/>
          <ns0:szCs ns0:val="22"/>
        </ns0:rPr>
        <ns0:t xml:space="preserve">Classification Criteria</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Government records may be classified only on grounds the Legislature defines by statute. Classification to conceal a constitutional violation, policy disagreement, or political embarrassment is prohibited. The classifying authority must state the statutory ground at the time of classification.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§9.5.a  </ns0:t>
      </ns0:r>
      <ns0:r>
        <ns0:rPr>
          <ns0:rFonts ns0:ascii="Garamond" ns0:cs="Garamond" ns0:eastAsia="Garamond" ns0:hAnsi="Garamond"/>
          <ns0:b/>
          <ns0:bCs/>
          <ns0:i ns0:val="false"/>
          <ns0:iCs ns0:val="false"/>
          <ns0:color ns0:val="1B2A4A"/>
          <ns0:sz ns0:val="22"/>
          <ns0:szCs ns0:val="22"/>
        </ns0:rPr>
        <ns0:t xml:space="preserve">Duration Framework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 — Economic Provisions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  </ns0:t>
      </ns0:r>
      <ns0:r>
        <ns0:rPr>
          <ns0:rFonts ns0:ascii="Garamond" ns0:cs="Garamond" ns0:eastAsia="Garamond" ns0:hAnsi="Garamond"/>
          <ns0:b/>
          <ns0:bCs/>
          <ns0:i ns0:val="false"/>
          <ns0:iCs ns0:val="false"/>
          <ns0:color ns0:val="1B2A4A"/>
          <ns0:sz ns0:val="22"/>
          <ns0:szCs ns0:val="22"/>
        </ns0:rPr>
        <ns0:t xml:space="preserve">The Social State and Monetary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is a social state. Every Inhabitant is entitled to conditions of life consistent with human dignity, which the Republic fulfils through: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§10.2  </ns0:t>
      </ns0:r>
      <ns0:r>
        <ns0:rPr>
          <ns0:rFonts ns0:ascii="Garamond" ns0:cs="Garamond" ns0:eastAsia="Garamond" ns0:hAnsi="Garamond"/>
          <ns0:b/>
          <ns0:bCs/>
          <ns0:i ns0:val="false"/>
          <ns0:iCs ns0:val="false"/>
          <ns0:color ns0:val="1B2A4A"/>
          <ns0:sz ns0:val="22"/>
          <ns0:szCs ns0:val="22"/>
        </ns0:rPr>
        <ns0:t xml:space="preserve">Fiscal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§10.3  </ns0:t>
      </ns0:r>
      <ns0:r>
        <ns0:rPr>
          <ns0:rFonts ns0:ascii="Garamond" ns0:cs="Garamond" ns0:eastAsia="Garamond" ns0:hAnsi="Garamond"/>
          <ns0:b/>
          <ns0:bCs/>
          <ns0:i ns0:val="false"/>
          <ns0:iCs ns0:val="false"/>
          <ns0:color ns0:val="1B2A4A"/>
          <ns0:sz ns0:val="22"/>
          <ns0:szCs ns0:val="22"/>
        </ns0:rPr>
        <ns0:t xml:space="preserve">Public Campaign Financing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  </ns0:t>
      </ns0:r>
      <ns0:r>
        <ns0:rPr>
          <ns0:rFonts ns0:ascii="Garamond" ns0:cs="Garamond" ns0:eastAsia="Garamond" ns0:hAnsi="Garamond"/>
          <ns0:b/>
          <ns0:bCs/>
          <ns0:i ns0:val="false"/>
          <ns0:iCs ns0:val="false"/>
          <ns0:color ns0:val="1B2A4A"/>
          <ns0:sz ns0:val="22"/>
          <ns0:szCs ns0:val="22"/>
        </ns0:rPr>
        <ns0:t xml:space="preserve">Ethics and Conflict of Interest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§10.6  </ns0:t>
      </ns0:r>
      <ns0:r>
        <ns0:rPr>
          <ns0:rFonts ns0:ascii="Garamond" ns0:cs="Garamond" ns0:eastAsia="Garamond" ns0:hAnsi="Garamond"/>
          <ns0:b/>
          <ns0:bCs/>
          <ns0:i ns0:val="false"/>
          <ns0:iCs ns0:val="false"/>
          <ns0:color ns0:val="1B2A4A"/>
          <ns0:sz ns0:val="22"/>
          <ns0:szCs ns0:val="22"/>
        </ns0:rPr>
        <ns0:t xml:space="preserve">National Endowment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§10.7  </ns0:t>
      </ns0:r>
      <ns0:r>
        <ns0:rPr>
          <ns0:rFonts ns0:ascii="Garamond" ns0:cs="Garamond" ns0:eastAsia="Garamond" ns0:hAnsi="Garamond"/>
          <ns0:b/>
          <ns0:bCs/>
          <ns0:i ns0:val="false"/>
          <ns0:iCs ns0:val="false"/>
          <ns0:color ns0:val="1B2A4A"/>
          <ns0:sz ns0:val="22"/>
          <ns0:szCs ns0:val="22"/>
        </ns0:rPr>
        <ns0:t xml:space="preserve">Compensation of Public Officials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 — Direct Democracy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  </ns0:t>
      </ns0:r>
      <ns0:r>
        <ns0:rPr>
          <ns0:rFonts ns0:ascii="Garamond" ns0:cs="Garamond" ns0:eastAsia="Garamond" ns0:hAnsi="Garamond"/>
          <ns0:b/>
          <ns0:bCs/>
          <ns0:i ns0:val="false"/>
          <ns0:iCs ns0:val="false"/>
          <ns0:color ns0:val="1B2A4A"/>
          <ns0:sz ns0:val="22"/>
          <ns0:szCs ns0:val="22"/>
        </ns0:rPr>
        <ns0:t xml:space="preserve">Optional Referendum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  </ns0:t>
      </ns0:r>
      <ns0:r>
        <ns0:rPr>
          <ns0:rFonts ns0:ascii="Garamond" ns0:cs="Garamond" ns0:eastAsia="Garamond" ns0:hAnsi="Garamond"/>
          <ns0:b/>
          <ns0:bCs/>
          <ns0:i ns0:val="false"/>
          <ns0:iCs ns0:val="false"/>
          <ns0:color ns0:val="1B2A4A"/>
          <ns0:sz ns0:val="22"/>
          <ns0:szCs ns0:val="22"/>
        </ns0:rPr>
        <ns0:t xml:space="preserve">Citizen Legislative Initiative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 may propose legislation directly to the Legislature by petition of 10% of eligible voters. The Legislature must vote on the proposal within 90 days; if it fails or is not voted on, the proposal proceeds to a national referendum at the §15.1 Path C thresholds. Citizen-initiated legislation that bypasses the Legislature requires the higher democratic mandate of the citizen-led amendment threshold.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§11.3  </ns0:t>
      </ns0:r>
      <ns0:r>
        <ns0:rPr>
          <ns0:rFonts ns0:ascii="Garamond" ns0:cs="Garamond" ns0:eastAsia="Garamond" ns0:hAnsi="Garamond"/>
          <ns0:b/>
          <ns0:bCs/>
          <ns0:i ns0:val="false"/>
          <ns0:iCs ns0:val="false"/>
          <ns0:color ns0:val="1B2A4A"/>
          <ns0:sz ns0:val="22"/>
          <ns0:szCs ns0:val="22"/>
        </ns0:rPr>
        <ns0:t xml:space="preserve">Local Government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XII — Military Authorization and Accountability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§12.1  </ns0:t>
      </ns0:r>
      <ns0:r>
        <ns0:rPr>
          <ns0:rFonts ns0:ascii="Garamond" ns0:cs="Garamond" ns0:eastAsia="Garamond" ns0:hAnsi="Garamond"/>
          <ns0:b/>
          <ns0:bCs/>
          <ns0:i ns0:val="false"/>
          <ns0:iCs ns0:val="false"/>
          <ns0:color ns0:val="1B2A4A"/>
          <ns0:sz ns0:val="22"/>
          <ns0:szCs ns0:val="22"/>
        </ns0:rPr>
        <ns0:t xml:space="preserve">Authorized Purposes for Military Force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  </ns0:t>
      </ns0:r>
      <ns0:r>
        <ns0:rPr>
          <ns0:rFonts ns0:ascii="Garamond" ns0:cs="Garamond" ns0:eastAsia="Garamond" ns0:hAnsi="Garamond"/>
          <ns0:b/>
          <ns0:bCs/>
          <ns0:i ns0:val="false"/>
          <ns0:iCs ns0:val="false"/>
          <ns0:color ns0:val="1B2A4A"/>
          <ns0:sz ns0:val="22"/>
          <ns0:szCs ns0:val="22"/>
        </ns0:rPr>
        <ns0:t xml:space="preserve">Defense Authorization and Allocation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§12.3  </ns0:t>
      </ns0:r>
      <ns0:r>
        <ns0:rPr>
          <ns0:rFonts ns0:ascii="Garamond" ns0:cs="Garamond" ns0:eastAsia="Garamond" ns0:hAnsi="Garamond"/>
          <ns0:b/>
          <ns0:bCs/>
          <ns0:i ns0:val="false"/>
          <ns0:iCs ns0:val="false"/>
          <ns0:color ns0:val="1B2A4A"/>
          <ns0:sz ns0:val="22"/>
          <ns0:szCs ns0:val="22"/>
        </ns0:rPr>
        <ns0:t xml:space="preserve">Military Intelligence Operations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  </ns0:t>
      </ns0:r>
      <ns0:r>
        <ns0:rPr>
          <ns0:rFonts ns0:ascii="Garamond" ns0:cs="Garamond" ns0:eastAsia="Garamond" ns0:hAnsi="Garamond"/>
          <ns0:b/>
          <ns0:bCs/>
          <ns0:i ns0:val="false"/>
          <ns0:iCs ns0:val="false"/>
          <ns0:color ns0:val="1B2A4A"/>
          <ns0:sz ns0:val="22"/>
          <ns0:szCs ns0:val="22"/>
        </ns0:rPr>
        <ns0:t xml:space="preserve">Military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  </ns0:t>
      </ns0:r>
      <ns0:r>
        <ns0:rPr>
          <ns0:rFonts ns0:ascii="Garamond" ns0:cs="Garamond" ns0:eastAsia="Garamond" ns0:hAnsi="Garamond"/>
          <ns0:b/>
          <ns0:bCs/>
          <ns0:i ns0:val="false"/>
          <ns0:iCs ns0:val="false"/>
          <ns0:color ns0:val="1B2A4A"/>
          <ns0:sz ns0:val="22"/>
          <ns0:szCs ns0:val="22"/>
        </ns0:rPr>
        <ns0:t xml:space="preserve">Treaty-Based Military Authorization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XIII — Territorial Structure and Statehood</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§13.1  </ns0:t>
      </ns0:r>
      <ns0:r>
        <ns0:rPr>
          <ns0:rFonts ns0:ascii="Garamond" ns0:cs="Garamond" ns0:eastAsia="Garamond" ns0:hAnsi="Garamond"/>
          <ns0:b/>
          <ns0:bCs/>
          <ns0:i ns0:val="false"/>
          <ns0:iCs ns0:val="false"/>
          <ns0:color ns0:val="1B2A4A"/>
          <ns0:sz ns0:val="22"/>
          <ns0:szCs ns0:val="22"/>
        </ns0:rPr>
        <ns0:t xml:space="preserve">Territorial Compact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  </ns0:t>
      </ns0:r>
      <ns0:r>
        <ns0:rPr>
          <ns0:rFonts ns0:ascii="Garamond" ns0:cs="Garamond" ns0:eastAsia="Garamond" ns0:hAnsi="Garamond"/>
          <ns0:b/>
          <ns0:bCs/>
          <ns0:i ns0:val="false"/>
          <ns0:iCs ns0:val="false"/>
          <ns0:color ns0:val="1B2A4A"/>
          <ns0:sz ns0:val="22"/>
          <ns0:szCs ns0:val="22"/>
        </ns0:rPr>
        <ns0:t xml:space="preserve">The Statehood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§13.3  </ns0:t>
      </ns0:r>
      <ns0:r>
        <ns0:rPr>
          <ns0:rFonts ns0:ascii="Garamond" ns0:cs="Garamond" ns0:eastAsia="Garamond" ns0:hAnsi="Garamond"/>
          <ns0:b/>
          <ns0:bCs/>
          <ns0:i ns0:val="false"/>
          <ns0:iCs ns0:val="false"/>
          <ns0:color ns0:val="1B2A4A"/>
          <ns0:sz ns0:val="22"/>
          <ns0:szCs ns0:val="22"/>
        </ns0:rPr>
        <ns0:t xml:space="preserve">Mandatory Devolution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Consequences: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§13.4  </ns0:t>
      </ns0:r>
      <ns0:r>
        <ns0:rPr>
          <ns0:rFonts ns0:ascii="Garamond" ns0:cs="Garamond" ns0:eastAsia="Garamond" ns0:hAnsi="Garamond"/>
          <ns0:b/>
          <ns0:bCs/>
          <ns0:i ns0:val="false"/>
          <ns0:iCs ns0:val="false"/>
          <ns0:color ns0:val="1B2A4A"/>
          <ns0:sz ns0:val="22"/>
          <ns0:szCs ns0:val="22"/>
        </ns0:rPr>
        <ns0:t xml:space="preserve">Voluntary Devolution and Merger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§13.5  </ns0:t>
      </ns0:r>
      <ns0:r>
        <ns0:rPr>
          <ns0:rFonts ns0:ascii="Garamond" ns0:cs="Garamond" ns0:eastAsia="Garamond" ns0:hAnsi="Garamond"/>
          <ns0:b/>
          <ns0:bCs/>
          <ns0:i ns0:val="false"/>
          <ns0:iCs ns0:val="false"/>
          <ns0:color ns0:val="1B2A4A"/>
          <ns0:sz ns0:val="22"/>
          <ns0:szCs ns0:val="22"/>
        </ns0:rPr>
        <ns0:t xml:space="preserve">Re-Qualification Pathway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Territory resulting from mandatory or voluntary devolution enters the Statehood re-qualification pathway under §13.2 immediately upon the effective date of devolution. No additional political vote is required to begin the pathway.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§13.6  </ns0:t>
      </ns0:r>
      <ns0:r>
        <ns0:rPr>
          <ns0:rFonts ns0:ascii="Garamond" ns0:cs="Garamond" ns0:eastAsia="Garamond" ns0:hAnsi="Garamond"/>
          <ns0:b/>
          <ns0:bCs/>
          <ns0:i ns0:val="false"/>
          <ns0:iCs ns0:val="false"/>
          <ns0:color ns0:val="1B2A4A"/>
          <ns0:sz ns0:val="22"/>
          <ns0:szCs ns0:val="22"/>
        </ns0:rPr>
        <ns0:t xml:space="preserve">Voluntary Incorporation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§13.7  </ns0:t>
      </ns0:r>
      <ns0:r>
        <ns0:rPr>
          <ns0:rFonts ns0:ascii="Garamond" ns0:cs="Garamond" ns0:eastAsia="Garamond" ns0:hAnsi="Garamond"/>
          <ns0:b/>
          <ns0:bCs/>
          <ns0:i ns0:val="false"/>
          <ns0:iCs ns0:val="false"/>
          <ns0:color ns0:val="1B2A4A"/>
          <ns0:sz ns0:val="22"/>
          <ns0:szCs ns0:val="22"/>
        </ns0:rPr>
        <ns0:t xml:space="preserve">State Immutability and Territorial Integrity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Path B or Path C constitutional amendment — Path A alone is insufficient. A State may not secede by ordinary statute or State referendum alone. No executive action may alter the Republic's territorial extent.</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XIV — Indigenous Sovereignty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§14.1  </ns0:t>
      </ns0:r>
      <ns0:r>
        <ns0:rPr>
          <ns0:rFonts ns0:ascii="Garamond" ns0:cs="Garamond" ns0:eastAsia="Garamond" ns0:hAnsi="Garamond"/>
          <ns0:b/>
          <ns0:bCs/>
          <ns0:i ns0:val="false"/>
          <ns0:iCs ns0:val="false"/>
          <ns0:color ns0:val="1B2A4A"/>
          <ns0:sz ns0:val="22"/>
          <ns0:szCs ns0:val="22"/>
        </ns0:rPr>
        <ns0:t xml:space="preserve">Acknowledgment of Prior Sovereignty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§14.2  </ns0:t>
      </ns0:r>
      <ns0:r>
        <ns0:rPr>
          <ns0:rFonts ns0:ascii="Garamond" ns0:cs="Garamond" ns0:eastAsia="Garamond" ns0:hAnsi="Garamond"/>
          <ns0:b/>
          <ns0:bCs/>
          <ns0:i ns0:val="false"/>
          <ns0:iCs ns0:val="false"/>
          <ns0:color ns0:val="1B2A4A"/>
          <ns0:sz ns0:val="22"/>
          <ns0:szCs ns0:val="22"/>
        </ns0:rPr>
        <ns0:t xml:space="preserve">Compact Formation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  </ns0:t>
      </ns0:r>
      <ns0:r>
        <ns0:rPr>
          <ns0:rFonts ns0:ascii="Garamond" ns0:cs="Garamond" ns0:eastAsia="Garamond" ns0:hAnsi="Garamond"/>
          <ns0:b/>
          <ns0:bCs/>
          <ns0:i ns0:val="false"/>
          <ns0:iCs ns0:val="false"/>
          <ns0:color ns0:val="1B2A4A"/>
          <ns0:sz ns0:val="22"/>
          <ns0:szCs ns0:val="22"/>
        </ns0:rPr>
        <ns0:t xml:space="preserve">Rights and Governance in Compact Territories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§14.4  </ns0:t>
      </ns0:r>
      <ns0:r>
        <ns0:rPr>
          <ns0:rFonts ns0:ascii="Garamond" ns0:cs="Garamond" ns0:eastAsia="Garamond" ns0:hAnsi="Garamond"/>
          <ns0:b/>
          <ns0:bCs/>
          <ns0:i ns0:val="false"/>
          <ns0:iCs ns0:val="false"/>
          <ns0:color ns0:val="1B2A4A"/>
          <ns0:sz ns0:val="22"/>
          <ns0:szCs ns0:val="22"/>
        </ns0:rPr>
        <ns0:t xml:space="preserve">Compact Administration and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§14.5  </ns0:t>
      </ns0:r>
      <ns0:r>
        <ns0:rPr>
          <ns0:rFonts ns0:ascii="Garamond" ns0:cs="Garamond" ns0:eastAsia="Garamond" ns0:hAnsi="Garamond"/>
          <ns0:b/>
          <ns0:bCs/>
          <ns0:i ns0:val="false"/>
          <ns0:iCs ns0:val="false"/>
          <ns0:color ns0:val="1B2A4A"/>
          <ns0:sz ns0:val="22"/>
          <ns0:szCs ns0:val="22"/>
        </ns0:rPr>
        <ns0:t xml:space="preserve">Federal Obligations and New Compact Petitions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§14.6  </ns0:t>
      </ns0:r>
      <ns0:r>
        <ns0:rPr>
          <ns0:rFonts ns0:ascii="Garamond" ns0:cs="Garamond" ns0:eastAsia="Garamond" ns0:hAnsi="Garamond"/>
          <ns0:b/>
          <ns0:bCs/>
          <ns0:i ns0:val="false"/>
          <ns0:iCs ns0:val="false"/>
          <ns0:color ns0:val="1B2A4A"/>
          <ns0:sz ns0:val="22"/>
          <ns0:szCs ns0:val="22"/>
        </ns0:rPr>
        <ns0:t xml:space="preserve">Treaty Supremacy and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§14.7  </ns0:t>
      </ns0:r>
      <ns0:r>
        <ns0:rPr>
          <ns0:rFonts ns0:ascii="Garamond" ns0:cs="Garamond" ns0:eastAsia="Garamond" ns0:hAnsi="Garamond"/>
          <ns0:b/>
          <ns0:bCs/>
          <ns0:i ns0:val="false"/>
          <ns0:iCs ns0:val="false"/>
          <ns0:color ns0:val="1B2A4A"/>
          <ns0:sz ns0:val="22"/>
          <ns0:szCs ns0:val="22"/>
        </ns0:rPr>
        <ns0:t xml:space="preserve">Indigenous Nation Status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§14.7.a  </ns0:t>
      </ns0:r>
      <ns0:r>
        <ns0:rPr>
          <ns0:rFonts ns0:ascii="Garamond" ns0:cs="Garamond" ns0:eastAsia="Garamond" ns0:hAnsi="Garamond"/>
          <ns0:b/>
          <ns0:bCs/>
          <ns0:i ns0:val="false"/>
          <ns0:iCs ns0:val="false"/>
          <ns0:color ns0:val="1B2A4A"/>
          <ns0:sz ns0:val="22"/>
          <ns0:szCs ns0:val="22"/>
        </ns0:rPr>
        <ns0:t xml:space="preserve">Status Election Process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 — Constitutional Amendments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§15.1  </ns0:t>
      </ns0:r>
      <ns0:r>
        <ns0:rPr>
          <ns0:rFonts ns0:ascii="Garamond" ns0:cs="Garamond" ns0:eastAsia="Garamond" ns0:hAnsi="Garamond"/>
          <ns0:b/>
          <ns0:bCs/>
          <ns0:i ns0:val="false"/>
          <ns0:iCs ns0:val="false"/>
          <ns0:color ns0:val="1B2A4A"/>
          <ns0:sz ns0:val="22"/>
          <ns0:szCs ns0:val="22"/>
        </ns0:rPr>
        <ns0:t xml:space="preserve">Two Amendment Paths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This Constitution may be amended through two paths, both requiring a 2/3 supermajority of the full seated membership of both chambers as the legislative threshold. No executive signature is required; no executive veto applies. Every member's vote on any amendment is published to the NRS. 
Path A — Legislative and State Ratification: A 2/3 supermajority of both chambers, followed by ratification by 2/3 of States. The Legislature defines the ratification period by statute. 
Path B — Legislative and Popular Ratification: A 2/3 supermajority of both chambers, followed by a national popular referendum achieving 2/3 affirmative support with at least 55% citizen participation. The Legislature defines the referendum window by statute. 
Both paths are available for any amendment. The proposing body specifies which path applies at the time of proposal. A proposed amendment may be withdrawn at any point before ratification is certified. Two amendments may be simultaneously in ratification; where they conflict, the one ratified later in time prevails.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§15.2  </ns0:t>
      </ns0:r>
      <ns0:r>
        <ns0:rPr>
          <ns0:rFonts ns0:ascii="Garamond" ns0:cs="Garamond" ns0:eastAsia="Garamond" ns0:hAnsi="Garamond"/>
          <ns0:b/>
          <ns0:bCs/>
          <ns0:i ns0:val="false"/>
          <ns0:iCs ns0:val="false"/>
          <ns0:color ns0:val="1B2A4A"/>
          <ns0:sz ns0:val="22"/>
          <ns0:szCs ns0:val="22"/>
        </ns0:rPr>
        <ns0:t xml:space="preserve">No Executive Veto; Amendment Takes Effect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  </ns0:t>
      </ns0:r>
      <ns0:r>
        <ns0:rPr>
          <ns0:rFonts ns0:ascii="Garamond" ns0:cs="Garamond" ns0:eastAsia="Garamond" ns0:hAnsi="Garamond"/>
          <ns0:b/>
          <ns0:bCs/>
          <ns0:i ns0:val="false"/>
          <ns0:iCs ns0:val="false"/>
          <ns0:color ns0:val="1B2A4A"/>
          <ns0:sz ns0:val="22"/>
          <ns0:szCs ns0:val="22"/>
        </ns0:rPr>
        <ns0:t xml:space="preserve">Amendment Consistency and Supremacy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§15.6  </ns0:t>
      </ns0:r>
      <ns0:r>
        <ns0:rPr>
          <ns0:rFonts ns0:ascii="Garamond" ns0:cs="Garamond" ns0:eastAsia="Garamond" ns0:hAnsi="Garamond"/>
          <ns0:b/>
          <ns0:bCs/>
          <ns0:i ns0:val="false"/>
          <ns0:iCs ns0:val="false"/>
          <ns0:color ns0:val="1B2A4A"/>
          <ns0:sz ns0:val="22"/>
          <ns0:szCs ns0:val="22"/>
        </ns0:rPr>
        <ns0:t xml:space="preserve">Supremacy of This Constitution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XVI — The Electoral Commission</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  </ns0:t>
      </ns0:r>
      <ns0:r>
        <ns0:rPr>
          <ns0:rFonts ns0:ascii="Garamond" ns0:cs="Garamond" ns0:eastAsia="Garamond" ns0:hAnsi="Garamond"/>
          <ns0:b/>
          <ns0:bCs/>
          <ns0:i ns0:val="false"/>
          <ns0:iCs ns0:val="false"/>
          <ns0:color ns0:val="1B2A4A"/>
          <ns0:sz ns0:val="22"/>
          <ns0:szCs ns0:val="22"/>
        </ns0:rPr>
        <ns0:t xml:space="preserve">Digital Infrastructure Commission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Digital Infrastructure Commission is a constitutionally independent body responsible for operating the National Record System, the National Voting System, and maintaining all constitutional candidate registries and pools as the administrative keeper of record. The Commission comprises two panels of three administrators each — the NRS Panel and the Elections Panel. Each panel governs its own system independently in day-to-day operations; neither panel may direct the other. Both panels sitting together constitute the full Commission for joint decisions on architecture standards, technical policy, budget, and any matter crossing both systems. Joint decisions require a majority of the full six-member Commission; where the Commission is equally divided, the Director casts a deciding vote. The Commission is independent of both executives and the Legislature in the exercise of its administrative and certification functions.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§16.1.a  </ns0:t>
      </ns0:r>
      <ns0:r>
        <ns0:rPr>
          <ns0:rFonts ns0:ascii="Garamond" ns0:cs="Garamond" ns0:eastAsia="Garamond" ns0:hAnsi="Garamond"/>
          <ns0:b/>
          <ns0:bCs/>
          <ns0:i ns0:val="false"/>
          <ns0:iCs ns0:val="false"/>
          <ns0:color ns0:val="1B2A4A"/>
          <ns0:sz ns0:val="22"/>
          <ns0:szCs ns0:val="22"/>
        </ns0:rPr>
        <ns0:t xml:space="preserve">DIC Administrator Appointment and Terms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Terms are staggered so that no more than two seats across both panels expire within any two-year window.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 and must pass the CLT.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§16.1.b  </ns0:t>
      </ns0:r>
      <ns0:r>
        <ns0:rPr>
          <ns0:rFonts ns0:ascii="Garamond" ns0:cs="Garamond" ns0:eastAsia="Garamond" ns0:hAnsi="Garamond"/>
          <ns0:b/>
          <ns0:bCs/>
          <ns0:i ns0:val="false"/>
          <ns0:iCs ns0:val="false"/>
          <ns0:color ns0:val="1B2A4A"/>
          <ns0:sz ns0:val="22"/>
          <ns0:szCs ns0:val="22"/>
        </ns0:rPr>
        <ns0:t xml:space="preserve">The Director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Commission elects its Director from among the six administrators by majority vote of the full Commission. The Director serves in that role for not more than 4 years and may not serve consecutive Director terms — after serving as Director a person must serve at least one full Director term as a panel member before standing again. The Director remains a full panel member throughout their Director service and retains their panel vote. As Director, they chair joint Commission sessions, cast deciding votes when the Commission is equally divided, and serve as the Commission's constitutional representative for external matters. The Director may not direct either panel in operational matters within that panel's independent domain. Where the Director role is vacant, the Commission elects an Acting Director from among its members within 7 days.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§16.1.c  </ns0:t>
      </ns0:r>
      <ns0:r>
        <ns0:rPr>
          <ns0:rFonts ns0:ascii="Garamond" ns0:cs="Garamond" ns0:eastAsia="Garamond" ns0:hAnsi="Garamond"/>
          <ns0:b/>
          <ns0:bCs/>
          <ns0:i ns0:val="false"/>
          <ns0:iCs ns0:val="false"/>
          <ns0:color ns0:val="1B2A4A"/>
          <ns0:sz ns0:val="22"/>
          <ns0:szCs ns0:val="22"/>
        </ns0:rPr>
        <ns0:t xml:space="preserve">Removal and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For-cause removal of any DIC administrator requires: a substantiated finding from a State Designee Panel under §8.9; a 14-day SC appeal window from publication of the finding; and a 2/3 vote of both chambers simultaneously. Duty suspension triggers upon publication of a substantiated Panel finding. Any removal vote within 180 days of a major national election is automatically suspended pending SC review within 48 hours. The EI oversees the Commission as a whole for executive accountability purposes. The JIC audits NRS operation and integrity compliance annually under §8.12; the JI audits Elections Panel operations and electoral integrity annually. All findings are published to the NRS and transmitted to both chambers.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§16.3  </ns0:t>
      </ns0:r>
      <ns0:r>
        <ns0:rPr>
          <ns0:rFonts ns0:ascii="Garamond" ns0:cs="Garamond" ns0:eastAsia="Garamond" ns0:hAnsi="Garamond"/>
          <ns0:b/>
          <ns0:bCs/>
          <ns0:i ns0:val="false"/>
          <ns0:iCs ns0:val="false"/>
          <ns0:color ns0:val="1B2A4A"/>
          <ns0:sz ns0:val="22"/>
          <ns0:szCs ns0:val="22"/>
        </ns0:rPr>
        <ns0:t xml:space="preserve">NVS Properties and Voting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§16.5  </ns0:t>
      </ns0:r>
      <ns0:r>
        <ns0:rPr>
          <ns0:rFonts ns0:ascii="Garamond" ns0:cs="Garamond" ns0:eastAsia="Garamond" ns0:hAnsi="Garamond"/>
          <ns0:b/>
          <ns0:bCs/>
          <ns0:i ns0:val="false"/>
          <ns0:iCs ns0:val="false"/>
          <ns0:color ns0:val="1B2A4A"/>
          <ns0:sz ns0:val="22"/>
          <ns0:szCs ns0:val="22"/>
        </ns0:rPr>
        <ns0:t xml:space="preserve">DIC Accountability and Emergency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the Commission to adopt temporary technical measures in response to imminent security threats or system failures; emergency measures may not change electoral rules, timelines, or NRS record permanence; they expire within 72 hours unless ratified by the full Commission. The Legislature must by statute establish the transition from any predecessor voting infrastructure to the constitutionally required NVS, ensuring no gap in democratic participation.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XVII — Federal Property and National Trust</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§17.1  </ns0:t>
      </ns0:r>
      <ns0:r>
        <ns0:rPr>
          <ns0:rFonts ns0:ascii="Garamond" ns0:cs="Garamond" ns0:eastAsia="Garamond" ns0:hAnsi="Garamond"/>
          <ns0:b/>
          <ns0:bCs/>
          <ns0:i ns0:val="false"/>
          <ns0:iCs ns0:val="false"/>
          <ns0:color ns0:val="1B2A4A"/>
          <ns0:sz ns0:val="22"/>
          <ns0:szCs ns0:val="22"/>
        </ns0:rPr>
        <ns0:t xml:space="preserve">The Use Doctrine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  </ns0:t>
      </ns0:r>
      <ns0:r>
        <ns0:rPr>
          <ns0:rFonts ns0:ascii="Garamond" ns0:cs="Garamond" ns0:eastAsia="Garamond" ns0:hAnsi="Garamond"/>
          <ns0:b/>
          <ns0:bCs/>
          <ns0:i ns0:val="false"/>
          <ns0:iCs ns0:val="false"/>
          <ns0:color ns0:val="1B2A4A"/>
          <ns0:sz ns0:val="22"/>
          <ns0:szCs ns0:val="22"/>
        </ns0:rPr>
        <ns0:t xml:space="preserve">Seat of Government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  </ns0:t>
      </ns0:r>
      <ns0:r>
        <ns0:rPr>
          <ns0:rFonts ns0:ascii="Garamond" ns0:cs="Garamond" ns0:eastAsia="Garamond" ns0:hAnsi="Garamond"/>
          <ns0:b/>
          <ns0:bCs/>
          <ns0:i ns0:val="false"/>
          <ns0:iCs ns0:val="false"/>
          <ns0:color ns0:val="1B2A4A"/>
          <ns0:sz ns0:val="22"/>
          <ns0:szCs ns0:val="22"/>
        </ns0:rPr>
        <ns0:t xml:space="preserve">Operational Use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  </ns0:t>
      </ns0:r>
      <ns0:r>
        <ns0:rPr>
          <ns0:rFonts ns0:ascii="Garamond" ns0:cs="Garamond" ns0:eastAsia="Garamond" ns0:hAnsi="Garamond"/>
          <ns0:b/>
          <ns0:bCs/>
          <ns0:i ns0:val="false"/>
          <ns0:iCs ns0:val="false"/>
          <ns0:color ns0:val="1B2A4A"/>
          <ns0:sz ns0:val="22"/>
          <ns0:szCs ns0:val="22"/>
        </ns0:rPr>
        <ns0:t xml:space="preserve">The National Trust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§17.5  </ns0:t>
      </ns0:r>
      <ns0:r>
        <ns0:rPr>
          <ns0:rFonts ns0:ascii="Garamond" ns0:cs="Garamond" ns0:eastAsia="Garamond" ns0:hAnsi="Garamond"/>
          <ns0:b/>
          <ns0:bCs/>
          <ns0:i ns0:val="false"/>
          <ns0:iCs ns0:val="false"/>
          <ns0:color ns0:val="1B2A4A"/>
          <ns0:sz ns0:val="22"/>
          <ns0:szCs ns0:val="22"/>
        </ns0:rPr>
        <ns0:t xml:space="preserve">Federal Property in Territories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XVIII — Electoral Finance and Campaign Conduct</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§18.1  </ns0:t>
      </ns0:r>
      <ns0:r>
        <ns0:rPr>
          <ns0:rFonts ns0:ascii="Garamond" ns0:cs="Garamond" ns0:eastAsia="Garamond" ns0:hAnsi="Garamond"/>
          <ns0:b/>
          <ns0:bCs/>
          <ns0:i ns0:val="false"/>
          <ns0:iCs ns0:val="false"/>
          <ns0:color ns0:val="1B2A4A"/>
          <ns0:sz ns0:val="22"/>
          <ns0:szCs ns0:val="22"/>
        </ns0:rPr>
        <ns0:t xml:space="preserve">Electoral Finance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§18.2  </ns0:t>
      </ns0:r>
      <ns0:r>
        <ns0:rPr>
          <ns0:rFonts ns0:ascii="Garamond" ns0:cs="Garamond" ns0:eastAsia="Garamond" ns0:hAnsi="Garamond"/>
          <ns0:b/>
          <ns0:bCs/>
          <ns0:i ns0:val="false"/>
          <ns0:iCs ns0:val="false"/>
          <ns0:color ns0:val="1B2A4A"/>
          <ns0:sz ns0:val="22"/>
          <ns0:szCs ns0:val="22"/>
        </ns0:rPr>
        <ns0:t xml:space="preserve">Campaign Conduct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§18.3  </ns0:t>
      </ns0:r>
      <ns0:r>
        <ns0:rPr>
          <ns0:rFonts ns0:ascii="Garamond" ns0:cs="Garamond" ns0:eastAsia="Garamond" ns0:hAnsi="Garamond"/>
          <ns0:b/>
          <ns0:bCs/>
          <ns0:i ns0:val="false"/>
          <ns0:iCs ns0:val="false"/>
          <ns0:color ns0:val="1B2A4A"/>
          <ns0:sz ns0:val="22"/>
          <ns0:szCs ns0:val="22"/>
        </ns0:rPr>
        <ns0:t xml:space="preserve">Public Campaign Financing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XIX — Transition and Ratification</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  </ns0:t>
      </ns0:r>
      <ns0:r>
        <ns0:rPr>
          <ns0:rFonts ns0:ascii="Garamond" ns0:cs="Garamond" ns0:eastAsia="Garamond" ns0:hAnsi="Garamond"/>
          <ns0:b/>
          <ns0:bCs/>
          <ns0:i ns0:val="false"/>
          <ns0:iCs ns0:val="false"/>
          <ns0:color ns0:val="1B2A4A"/>
          <ns0:sz ns0:val="22"/>
          <ns0:szCs ns0:val="22"/>
        </ns0:rPr>
        <ns0:t xml:space="preserve">Activation Threshold and Ratification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§19.2  </ns0:t>
      </ns0:r>
      <ns0:r>
        <ns0:rPr>
          <ns0:rFonts ns0:ascii="Garamond" ns0:cs="Garamond" ns0:eastAsia="Garamond" ns0:hAnsi="Garamond"/>
          <ns0:b/>
          <ns0:bCs/>
          <ns0:i ns0:val="false"/>
          <ns0:iCs ns0:val="false"/>
          <ns0:color ns0:val="1B2A4A"/>
          <ns0:sz ns0:val="22"/>
          <ns0:szCs ns0:val="22"/>
        </ns0:rPr>
        <ns0:t xml:space="preserve">Day Zero and Transition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§19.4  </ns0:t>
      </ns0:r>
      <ns0:r>
        <ns0:rPr>
          <ns0:rFonts ns0:ascii="Garamond" ns0:cs="Garamond" ns0:eastAsia="Garamond" ns0:hAnsi="Garamond"/>
          <ns0:b/>
          <ns0:bCs/>
          <ns0:i ns0:val="false"/>
          <ns0:iCs ns0:val="false"/>
          <ns0:color ns0:val="1B2A4A"/>
          <ns0:sz ns0:val="22"/>
          <ns0:szCs ns0:val="22"/>
        </ns0:rPr>
        <ns0:t xml:space="preserve">Caretaker Status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§19.5  </ns0:t>
      </ns0:r>
      <ns0:r>
        <ns0:rPr>
          <ns0:rFonts ns0:ascii="Garamond" ns0:cs="Garamond" ns0:eastAsia="Garamond" ns0:hAnsi="Garamond"/>
          <ns0:b/>
          <ns0:bCs/>
          <ns0:i ns0:val="false"/>
          <ns0:iCs ns0:val="false"/>
          <ns0:color ns0:val="1B2A4A"/>
          <ns0:sz ns0:val="22"/>
          <ns0:szCs ns0:val="22"/>
        </ns0:rPr>
        <ns0:t xml:space="preserve">Pre-Constitutional Classified Documents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  </ns0:t>
      </ns0:r>
      <ns0:r>
        <ns0:rPr>
          <ns0:rFonts ns0:ascii="Garamond" ns0:cs="Garamond" ns0:eastAsia="Garamond" ns0:hAnsi="Garamond"/>
          <ns0:b/>
          <ns0:bCs/>
          <ns0:i ns0:val="false"/>
          <ns0:iCs ns0:val="false"/>
          <ns0:color ns0:val="1B2A4A"/>
          <ns0:sz ns0:val="22"/>
          <ns0:szCs ns0:val="22"/>
        </ns0:rPr>
        <ns0:t xml:space="preserve">Pre-Existing Obligations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§19.7  </ns0:t>
      </ns0:r>
      <ns0:r>
        <ns0:rPr>
          <ns0:rFonts ns0:ascii="Garamond" ns0:cs="Garamond" ns0:eastAsia="Garamond" ns0:hAnsi="Garamond"/>
          <ns0:b/>
          <ns0:bCs/>
          <ns0:i ns0:val="false"/>
          <ns0:iCs ns0:val="false"/>
          <ns0:color ns0:val="1B2A4A"/>
          <ns0:sz ns0:val="22"/>
          <ns0:szCs ns0:val="22"/>
        </ns0:rPr>
        <ns0:t xml:space="preserve">Transition Territories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§19.8  </ns0:t>
      </ns0:r>
      <ns0:r>
        <ns0:rPr>
          <ns0:rFonts ns0:ascii="Garamond" ns0:cs="Garamond" ns0:eastAsia="Garamond" ns0:hAnsi="Garamond"/>
          <ns0:b/>
          <ns0:bCs/>
          <ns0:i ns0:val="false"/>
          <ns0:iCs ns0:val="false"/>
          <ns0:color ns0:val="1B2A4A"/>
          <ns0:sz ns0:val="22"/>
          <ns0:szCs ns0:val="22"/>
        </ns0:rPr>
        <ns0:t xml:space="preserve">Transition Candidate Registers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§19.9  </ns0:t>
      </ns0:r>
      <ns0:r>
        <ns0:rPr>
          <ns0:rFonts ns0:ascii="Garamond" ns0:cs="Garamond" ns0:eastAsia="Garamond" ns0:hAnsi="Garamond"/>
          <ns0:b/>
          <ns0:bCs/>
          <ns0:i ns0:val="false"/>
          <ns0:iCs ns0:val="false"/>
          <ns0:color ns0:val="1B2A4A"/>
          <ns0:sz ns0:val="22"/>
          <ns0:szCs ns0:val="22"/>
        </ns0:rPr>
        <ns0:t xml:space="preserve">Transitional Accountability Mechanism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ratifying polity's predecessor government has documented constitutional violations — systematic rights abuses, documented atrocities — the Republic may establish a Transitional Accountability Mechanism by statute passed by 2/3 of both chambers. The TAM is time-limited, non-criminal (it cannot impose criminal sentences or orders equivalent to criminal punishment), and subject to NRS publication. The TAM investigates, documents, and recommends remedies for serious violations committed by predecessor government entities; its jurisdiction is bounded to predecessor-era conduct. Findings may recommend criminal referrals, institutional restructuring, or reparative measures, but carry no binding force. The TAM may not publish preliminary or draft determinations — only finalized findings that have completed the evidentiary process. The establishing statute and any amendments require the same 2/3 majority; no amendment may expand the TAM's subject matter scope beyond the establishing statute. The TAM dissolves at its statutory sunset; its NRS record is permanent. Extension beyond the statutory sunset requires a fresh 2/3 supermajority in both chambers. No new Transitional Accountability Mechanism may be established within ten years of the sunset of a prior Mechanism.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§19.10  </ns0:t>
      </ns0:r>
      <ns0:r>
        <ns0:rPr>
          <ns0:rFonts ns0:ascii="Garamond" ns0:cs="Garamond" ns0:eastAsia="Garamond" ns0:hAnsi="Garamond"/>
          <ns0:b/>
          <ns0:bCs/>
          <ns0:i ns0:val="false"/>
          <ns0:iCs ns0:val="false"/>
          <ns0:color ns0:val="1B2A4A"/>
          <ns0:sz ns0:val="22"/>
          <ns0:szCs ns0:val="22"/>
        </ns0:rPr>
        <ns0:t xml:space="preserve">Required Statutory Agency Establishment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XX — Associated Communities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§20.1  </ns0:t>
      </ns0:r>
      <ns0:r>
        <ns0:rPr>
          <ns0:rFonts ns0:ascii="Garamond" ns0:cs="Garamond" ns0:eastAsia="Garamond" ns0:hAnsi="Garamond"/>
          <ns0:b/>
          <ns0:bCs/>
          <ns0:i ns0:val="false"/>
          <ns0:iCs ns0:val="false"/>
          <ns0:color ns0:val="1B2A4A"/>
          <ns0:sz ns0:val="22"/>
          <ns0:szCs ns0:val="22"/>
        </ns0:rPr>
        <ns0:t xml:space="preserve">Associated Community Status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§20.2  </ns0:t>
      </ns0:r>
      <ns0:r>
        <ns0:rPr>
          <ns0:rFonts ns0:ascii="Garamond" ns0:cs="Garamond" ns0:eastAsia="Garamond" ns0:hAnsi="Garamond"/>
          <ns0:b/>
          <ns0:bCs/>
          <ns0:i ns0:val="false"/>
          <ns0:iCs ns0:val="false"/>
          <ns0:color ns0:val="1B2A4A"/>
          <ns0:sz ns0:val="22"/>
          <ns0:szCs ns0:val="22"/>
        </ns0:rPr>
        <ns0:t xml:space="preserve">Compact Terms and Equal Sovereignty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§20.3  </ns0:t>
      </ns0:r>
      <ns0:r>
        <ns0:rPr>
          <ns0:rFonts ns0:ascii="Garamond" ns0:cs="Garamond" ns0:eastAsia="Garamond" ns0:hAnsi="Garamond"/>
          <ns0:b/>
          <ns0:bCs/>
          <ns0:i ns0:val="false"/>
          <ns0:iCs ns0:val="false"/>
          <ns0:color ns0:val="1B2A4A"/>
          <ns0:sz ns0:val="22"/>
          <ns0:szCs ns0:val="22"/>
        </ns0:rPr>
        <ns0:t xml:space="preserve">Compact Conditions and Compliance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§20.4  </ns0:t>
      </ns0:r>
      <ns0:r>
        <ns0:rPr>
          <ns0:rFonts ns0:ascii="Garamond" ns0:cs="Garamond" ns0:eastAsia="Garamond" ns0:hAnsi="Garamond"/>
          <ns0:b/>
          <ns0:bCs/>
          <ns0:i ns0:val="false"/>
          <ns0:iCs ns0:val="false"/>
          <ns0:color ns0:val="1B2A4A"/>
          <ns0:sz ns0:val="22"/>
          <ns0:szCs ns0:val="22"/>
        </ns0:rPr>
        <ns0:t xml:space="preserve">Sovereign Mobility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§20.5  </ns0:t>
      </ns0:r>
      <ns0:r>
        <ns0:rPr>
          <ns0:rFonts ns0:ascii="Garamond" ns0:cs="Garamond" ns0:eastAsia="Garamond" ns0:hAnsi="Garamond"/>
          <ns0:b/>
          <ns0:bCs/>
          <ns0:i ns0:val="false"/>
          <ns0:iCs ns0:val="false"/>
          <ns0:color ns0:val="1B2A4A"/>
          <ns0:sz ns0:val="22"/>
          <ns0:szCs ns0:val="22"/>
        </ns0:rPr>
        <ns0:t xml:space="preserve">Reciprocal Obligations and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§20.6  </ns0:t>
      </ns0:r>
      <ns0:r>
        <ns0:rPr>
          <ns0:rFonts ns0:ascii="Garamond" ns0:cs="Garamond" ns0:eastAsia="Garamond" ns0:hAnsi="Garamond"/>
          <ns0:b/>
          <ns0:bCs/>
          <ns0:i ns0:val="false"/>
          <ns0:iCs ns0:val="false"/>
          <ns0:color ns0:val="1B2A4A"/>
          <ns0:sz ns0:val="22"/>
          <ns0:szCs ns0:val="22"/>
        </ns0:rPr>
        <ns0:t xml:space="preserve">Compact Ratification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§20.7  </ns0:t>
      </ns0:r>
      <ns0:r>
        <ns0:rPr>
          <ns0:rFonts ns0:ascii="Garamond" ns0:cs="Garamond" ns0:eastAsia="Garamond" ns0:hAnsi="Garamond"/>
          <ns0:b/>
          <ns0:bCs/>
          <ns0:i ns0:val="false"/>
          <ns0:iCs ns0:val="false"/>
          <ns0:color ns0:val="1B2A4A"/>
          <ns0:sz ns0:val="22"/>
          <ns0:szCs ns0:val="22"/>
        </ns0:rPr>
        <ns0:t xml:space="preserve">Compact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ns0:t>
      </ns0:r>
    </ns0:p>
    <ns0:sectPr>
      <ns0:headerReference ns0:type="default" ns5:id="rId7"/>
      <ns0:footerReference ns0:type="default" ns5:id="rId8"/>
      <ns0:pgSz ns0:w="12240" ns0:h="15840" ns0:orient="portrait"/>
      <ns0:pgMar ns0:top="1080" ns0:right="1080" ns0:bottom="1080" ns0:left="126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