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Its value is the independence of its assessment from the Commission it advises.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Senate session provides public accountability for the Advisory Council's work — the Senate represents the States that nominated the Council members, completing the accountability chain from nomination through finding to public scrutiny.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 — ensuring the insurance system's obligations are met while the Legislature's constitutional obligation is enforced.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unless the context requires otherwise.</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A nominee whose qualifications have not been JI-certified may not be selected for panel appointment.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content, timing, and availability of records published to the National Record System. The Director and Elections Panel may not issue instructions to the NRS Panel regarding any specific record.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subject to active removal proceedings is suspended from duties pending the legislative vote.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the deciding-vote power under §16.1.d.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2026-05-22T01:37:06.642Z</dcterms:created>
  <dcterms:modified xsi:type="dcterms:W3CDTF">2026-05-22T01:37:06.642Z</dcterms:modified>
</cp:coreProperties>
</file>

<file path=docProps/custom.xml><?xml version="1.0" encoding="utf-8"?>
<Properties xmlns="http://schemas.openxmlformats.org/officeDocument/2006/custom-properties" xmlns:vt="http://schemas.openxmlformats.org/officeDocument/2006/docPropsVTypes"/>
</file>