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This provision is permanently unamendable (§15.3.a) — no future majority can restore any form of servitude through constitutional amendment, even a unanimous one. The unamendable status reflects the drafters' conclusion that some prohibitions define the minimum conditions of human dignity that democratic government exists to protect. A democracy that permits slavery has abolished the premise on which democratic legitimacy rests.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The most operationally significant speech protection. Governments that cannot censor directly regularly achieve the same result by threatening, incentivizing, or coercing private platforms and institutions to suppress speech on their behalf. This provision closes that route: a government agent who pressures a private entity to remove speech commits the same constitutional violation as direct censorship — the proxy does not launder the act. The provision applies equally to digital and physical media. It also prohibits viewpoint-based conditions on government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protections: §1.9.a — absolute right to refuse any medical procedure or biological sampling; no mandate is permissible under any emergency without uncoerced revocable written consent. §1.9.b — individuals own their personal data, likeness, and biometric information; government data collection is subject to strict necessity limits and may not build behavioral profiles. §1.9.c — cryptographic keys are private property; no court or agency may compel their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The Republic's obligation to ensure housing access for persons who cannot independently secure it is part of the Basic Needs Floor under §10.1. This provision anchors housing as a BNF category and makes housing exclusion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The absolute prohibition on returning any person to persecution — one of the six permanently unamendable provisions under §15.3.a. No exception for immigration status, mode of entry, or emergency declaration. The Republic cannot return, expel, or extradite any person to a territory where they face genuine risk of persecution, torture, or deprivation of life based on race, religion, nationality, political opinion, or group membership. This provision is the constitutional foundation of the asylum track in §6.4 — a person who files a §1.27 claim cannot be removed while it is pending.</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 This provision supplements §1.10.a's home and digital privacy warrant requirement; the more protective standard applies in any conflict. The consolidation under §1.29 gives these protections an explicit privacy grounding rather than a purely procedural one — the search and seizure prohibition is an expression of the right to privacy, not merely a limit on government procedure.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 This provision is distinct from §1.28 Medical Autonomy — §1.28 protects the right to make medical decisions; §1.29.b protects the privacy of information about those decisions and about a person's health generally. Both apply independently. A government could theoretically comply with §1.28 while violating §1.29.b — respecting a treatment decision while disclosing the health information associated with it. The two provisions close different gaps.</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 without individual identification — is prohibited outright. Private-sector entities cannot be compelled to collect or disclose on government's behalf beyond what independent judicial authorization would permit; this closes the "compelled intermediary" gap where governments use private companies as collection proxies. The Legislature may establish data minimization and retention limits for government-held data. This provision gives the constitution a forward-facing hook for technologies that didn't exist at drafting — whatever form data collection takes, the judicial authorization requirement applies.</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Migrated from §12.3 with language unchanged. All domestic intelligence operations against Republic citizens are permanently prohibited and constitutionally void. Any such order is reported to the NRS by the EI. This prohibition is non-derogable — no emergency, treaty, or statute can suspend it. Placed in Article I rather than Article XII because it is a rights provision, not merely a structural one: §12.3 approached it as an institutional constraint on the intelligence apparatus; §1.29.d grounds it as a right of every person in the Republic. The non-derogable character means it cannot be balanced against the general privacy right's necessity standard — necessity, however compelling, does not justify domestic intelligence operations. This provision goes further than any of the other §1.29 sub-provisions: §1.29.a through §1.29.c can be overridden by specific judicial authorization; §1.29.d cannot be overridden at all.</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The explicit provision that closes the gap between freedom of association (§1.6) and privacy in associations. §1.6 protects the right to associate; §1.29.e protects the right to keep private who you associate with and the fact that you do. A government can comply with §1.6 while violating §1.29.e — it can refrain from prohibiting membership while systematically mapping it. The NAACP v. Alabama problem: compelling a membership list doesn't stop anyone from associating, but it destroys the practical value of the protection. Government mapping of associations — who a person knows, meets, communicates with, or joins — requires the same specific judicial authorization as communications collection under §1.29.c. Bulk mapping is prohibited on the same terms as bulk collection. The general right in §1.29 listed "associations" but didn't specify this protection explicitly; §1.29.e closes that interpretive gap.</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opening provision of the Presidential domain. Authority is defined and bounded — military command, foreign affairs, intelligence, treaty negotiation, trade agreements, domain officer appointments, and the domain-scoped veto. The structure is intentional: Presidential authority is enumerated; PM authority is residual. Any question about which executive holds a function resolves to the PM unless the President can point to a specific enumerated power here.</w:t>
      </w:r>
    </w:p>
    <w:p>
      <w:pPr>
        <w:spacing w:after="60" w:before="200"/>
        <w:ind w:left="863"/>
      </w:pPr>
      <w:r>
        <w:rPr>
          <w:rFonts w:ascii="Courier New" w:cs="Courier New" w:eastAsia="Courier New" w:hAnsi="Courier New"/>
          <w:b/>
          <w:bCs/>
          <w:color w:val="1B2A4A"/>
          <w:sz w:val="18"/>
          <w:szCs w:val="18"/>
        </w:rPr>
        <w:t xml:space="preserve">§2.1.a–c  </w:t>
      </w:r>
      <w:r>
        <w:rPr>
          <w:rFonts w:ascii="Garamond" w:cs="Garamond" w:eastAsia="Garamond" w:hAnsi="Garamond"/>
          <w:b/>
          <w:bCs/>
          <w:color w:val="1B2A4A"/>
          <w:sz w:val="22"/>
          <w:szCs w:val="22"/>
        </w:rPr>
        <w:t xml:space="preserve">Military Authority — Three Tiers</w:t>
      </w:r>
    </w:p>
    <w:p>
      <w:pPr>
        <w:spacing w:after="120" w:before="0"/>
        <w:ind w:left="863"/>
        <w:jc w:val="both"/>
      </w:pPr>
      <w:r>
        <w:rPr>
          <w:rFonts w:ascii="Garamond" w:cs="Garamond" w:eastAsia="Garamond" w:hAnsi="Garamond"/>
          <w:color w:val="2a2520"/>
          <w:sz w:val="22"/>
          <w:szCs w:val="22"/>
        </w:rPr>
        <w:t xml:space="preserve">Introductory note for the three-tier military authorization framework. Presidential military authority flows through three tiers of escalating democratic consent. Each tier requires more authorization and covers a longer period. The design inverts the historical pattern of executive war powers — the President's authority narrows as operations extend rather than expanding once engaged.</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Privacy Firewall</w:t>
      </w:r>
    </w:p>
    <w:p>
      <w:pPr>
        <w:spacing w:after="120" w:before="0"/>
        <w:ind w:left="863"/>
        <w:jc w:val="both"/>
      </w:pPr>
      <w:r>
        <w:rPr>
          <w:rFonts w:ascii="Garamond" w:cs="Garamond" w:eastAsia="Garamond" w:hAnsi="Garamond"/>
          <w:color w:val="2a2520"/>
          <w:sz w:val="22"/>
          <w:szCs w:val="22"/>
        </w:rPr>
        <w:t xml:space="preserve">Cross-references §1.29.d as the authoritative Intelligence Firewall provision. The prohibition on domestic intelligence operations against Republic citizens is non-derogable and permanent — governed by §1.29.d. §2.1.e previously restated the prohibition in language not identical to §1.29.d. Now redirects all references to §1.29.d. Any order in violation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Domain-scoped veto — deliberately the most limited presidential veto in any constitutional design. The President may veto only bills raising a genuine constitutional concern within the security domain: military operations, intelligence, treaty obligations, border security. A general or speculative security connection is not sufficient. The SC reviews any presidential veto within 48 hours on petition from either Speaker — prevents the veto from becoming a de facto policy lever dressed in security language.</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Conflict resolution during active military operations — four steps: written NRS objection within 6 hours; 12-hour negotiation window; SC emergency domain determination within 24 hours on petition; pending ruling, Presidential order governs only for operations directly connected to the active military situation while all other government functions follow the PM. Prevents either executive from using military operations as cover to assert authority over the other's domain.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President negotiates and concludes trade agreements; PM written concurrence required where materially affecting the domestic economy. The SC ruled in The Concurrence Dispute (Year 28) that national treatment obligations within Republic territory require PM concurrence — they directly govern how domestic industry is regulated. Where PM concurrence is withheld, domestic provisions may be transmitted to the House Speaker as ordinary legislation. Ratification by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domain opening — residual authority. Everything not enumerated as Presidential is the PM's. Domestic policy, fiscal policy, BNF administration, legislation review, judicial nominations, independent agency appointments, PM clemency. The PM answers to the House through the confidence mechanism — unlike the President, who is directly elected and does not require legislative confidence.</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The Record System Mandate</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Duty of Refusal</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Civil Service Integrity</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Information Rights — the PM has a constitutional right to full and timely briefing on all national security matters affecting domestic interests. The President may not withhold information from the PM on grounds of security classification where the PM's domestic responsibilities are genuinely engaged.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Acting PM provisions — who governs when the PM cannot. The most senior Domestic Affairs Council Officer (SDACO) serves as Caretaker PM. The SDACO's authority is limited to maintaining existing policy and emergency functions. Caretaker status expires when a new PM takes confidence.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Selection</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Caretaker Protocol</w:t>
      </w:r>
    </w:p>
    <w:p>
      <w:pPr>
        <w:spacing w:after="120" w:before="0"/>
        <w:ind w:left="863"/>
        <w:jc w:val="both"/>
      </w:pPr>
      <w:r>
        <w:rPr>
          <w:rFonts w:ascii="Garamond" w:cs="Garamond" w:eastAsia="Garamond" w:hAnsi="Garamond"/>
          <w:color w:val="2a2520"/>
          <w:sz w:val="22"/>
          <w:szCs w:val="22"/>
        </w:rPr>
        <w:t xml:space="preserve">Initial election of the PM — the House elects the PM by absolute majority of full seated membership within 30 days of any general election. The House may attempt to elect a PM at any time. If the House has not elected a PM within 30 days, the SDACO continues as Caretaker PM.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w:t>
      </w:r>
    </w:p>
    <w:p>
      <w:pPr>
        <w:spacing w:after="60" w:before="200"/>
        <w:ind w:left="863"/>
      </w:pPr>
      <w:r>
        <w:rPr>
          <w:rFonts w:ascii="Courier New" w:cs="Courier New" w:eastAsia="Courier New" w:hAnsi="Courier New"/>
          <w:b/>
          <w:bCs/>
          <w:color w:val="1B2A4A"/>
          <w:sz w:val="18"/>
          <w:szCs w:val="18"/>
        </w:rPr>
        <w:t xml:space="preserve">§2.4.a–b  </w:t>
      </w:r>
      <w:r>
        <w:rPr>
          <w:rFonts w:ascii="Garamond" w:cs="Garamond" w:eastAsia="Garamond" w:hAnsi="Garamond"/>
          <w:b/>
          <w:bCs/>
          <w:color w:val="1B2A4A"/>
          <w:sz w:val="22"/>
          <w:szCs w:val="22"/>
        </w:rPr>
        <w:t xml:space="preserve">Suspensive Veto and Fiscal Objection</w:t>
      </w:r>
    </w:p>
    <w:p>
      <w:pPr>
        <w:spacing w:after="120" w:before="0"/>
        <w:ind w:left="863"/>
        <w:jc w:val="both"/>
      </w:pPr>
      <w:r>
        <w:rPr>
          <w:rFonts w:ascii="Garamond" w:cs="Garamond" w:eastAsia="Garamond" w:hAnsi="Garamond"/>
          <w:color w:val="2a2520"/>
          <w:sz w:val="22"/>
          <w:szCs w:val="22"/>
        </w:rPr>
        <w:t xml:space="preserve">Section opening for PM Objection Powers — two distinct tools: the Suspensive Veto for constitutional concerns, and the Fiscal Objection for solvency concerns. They operate on different grounds with different override mechanisms. The PM cannot veto purely on policy grounds — the objection must be constitutionally or fiscally grounded.</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Legislature may override by 2/3 of both chambers simultaneously. The PM must give the LI's constitutional analysis due consideration before issuing a Suspensive Veto. A veto issued purely for political reasons without constitutional grounds is a constitutional breach. Used in The Stagflation Years when the PM correctly identified the Mandate Rebalancing Act as void under §10.4.b.</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Objection Limits</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Emergency Legislative Continuity</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Presidential Succession — a complete framework for filling a Presidential vacancy. The Speaker of the Senate serves as Acting President, immediately triggering a special presidential election. The design keeps succession within the elected political class rather than delegating it to an appointed official.</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Incapacity Certification</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if temporary incapacity is certified. Failure to conduct the mandatory 90-day assessment is a constitutional failure for both the PM and the most senior SC justice.</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New in v159. Fills the gap between §2.6 (Succession) and §2.8 (Emergency Governance) by consolidating the executive publication obligation that was previously only implied by §9.1. Both executives must publish all official acts — orders, certifications, vetoes, objections, determinations — to the NRS within 48 hours of issuance. Failure is a constitutional compliance breach reportable by the EI and covered in the annual EI audit. No executive may classify, delay, or suppress publication of an act this constitution requires to be published. The 48-hour window is not a validity condition (a late-published act is not void) but a compliance obligation with real accountability consequences.</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House is the proportional chamber — seats allocated by population, minimum one per State, floor of one per 750,000 citizens, self-scaling with population. The opening sentence previously read "the Legislature is the Republic's legislature" — circular and uninformative. Now reads "The Republic's legislature is bicameral." The Legislature may set a higher membership; must justify any formula producing fewer than one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The provision previously contained a lengthy inline explanation of why the LI (not the EI) conducts the census — accurate but belonging in commentary. Operative rule only: LI conducts the census.</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Caretaker Activation and PM Formation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House Term Limits</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Senator Terms and Limits</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Senate Speaker Role Limit</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 treaties require 2/3 Senate majority. Two sub-provisions address failed ratification: §3.2.e.i (standalone domestic provisions may proceed as ordinary legislation) and §3.2.e.ii (bilateral treaties designed as integrated wholes must be renegotiated, not disaggregated). The Nordmere Cases established the factual test for which sub-provision applies.</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the treaty is bilateral and designed as an integrated whole — reciprocal obligations that only make sense together — the President may not disaggregate and transmit domestic provisions. The treaty must be renegotiated or abandoned. The Nordmere Cases: Case 2 applied this provision where bilateral design made domestic provisions interdependent.</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Impeachment Trials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Survivor Quorum — Catastrophic Casualty Events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Speaker Vacancy</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SC's 48-hour review under §2.1.f.i occurs before any override vote, meaning the constitutional question is settled before the political question of the override.</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Prohibited Inputs</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Drawing Authority — States</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National Compliance Review</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Court Adjudication</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Continuity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House Expulsion</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Senate Expulsion</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Anti-Weaponization Threshold</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Consequences and Restoration</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Recall — States and Territories</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Vacancy Filling — States and Territories</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Oversight</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pPr>
        <w:spacing w:after="60" w:before="200"/>
        <w:ind w:left="863"/>
      </w:pPr>
      <w:r>
        <w:rPr>
          <w:rFonts w:ascii="Courier New" w:cs="Courier New" w:eastAsia="Courier New" w:hAnsi="Courier New"/>
          <w:b/>
          <w:bCs/>
          <w:color w:val="1B2A4A"/>
          <w:sz w:val="18"/>
          <w:szCs w:val="18"/>
        </w:rPr>
        <w:t xml:space="preserve">§3.7.e  </w:t>
      </w:r>
      <w:r>
        <w:rPr>
          <w:rFonts w:ascii="Garamond" w:cs="Garamond" w:eastAsia="Garamond" w:hAnsi="Garamond"/>
          <w:b/>
          <w:bCs/>
          <w:color w:val="1B2A4A"/>
          <w:sz w:val="22"/>
          <w:szCs w:val="22"/>
        </w:rPr>
        <w:t xml:space="preserve">Limits</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PM nominates within 90 days; the Senate confirms by a supermajority (55–67% of full seated membership). Senate confirmation corrected from House in v157. Four sub-provisions now numbered §4.1.b.i–iv: (i) Candidate Disclosure and EI Review — PM submits disclosure record to EI before confirmation vote; (ii) PM Failure — Senate Nomination — Senate may nominate if PM fails within 90 days; (iii) Prorated Confirmation Period — shortened period when nomination submitted late; (iv) 180-Day Constitutional Ceiling — no vacancy may remain unfilled beyond 180 days. Deemed Confirmation applies at the ceiling if no vote is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Temporary Associate Justice — the most senior Appellate Court judge by continuous service is automatically designated as Temporary Associate Justice within 5 days of any SC vacancy, without nomination or confirmation. Full vote in all cases. Cannot stand as a candidate for the seat they are temporarily filling. Ensures the SC always has nine participating justices. For purposes of this provision, "continuous service"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Judicial Recusal</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Concrete Cases Only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Organizational Standing</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Ripeness and Mootness</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enforcement would require an act the Legislature has defined as categorically unenforceable. A fourth ground — facially contrary to Article I — was removed as redundant. §15.6 Constitutional Supremacy already makes judgments contrary to Article I void by operation of law; enumerating it created interpretive surface area. The §15.6 cross-reference at the end of §4.4.a closes the gap cleanly.</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on the NRS are self-authenticating — no re-certification required. Professional licenses receive equivalent recognition across all States and Territories. The Legislature latitude language previously allowing the Legislature to define the "permissible scope" of supplementary requirements has been removed. §1.12 already prohibits state-specific professional licensing barriers; recognition is the constitutional default. §1.12 governs any departure from it. The two provisions working together are tighter than either separately.</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Limits — No Obligation Beyond Republic Borders</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Finality rule is now permanent rather than a default pending legislation. A judgment is final for §4.4.a purposes if it is not subject to an automatic stay under the issuing jurisdiction's procedural law, regardless of whether an appeal is pending. The Legislature may refine the finality standard for specific categories but cannot use pending-appeal status alone to block enforcement. The three-year statutory mandate for the Legislature to define finality and supplementary license requirements has been removed — finality is stated directly, and §1.12 governs licensing. The procedural framework mandate (filing forms, fee schedule, enforcement timeline) is retained.</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5+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complete within 90 days. This closes the gap created by §5.5.a's Grandfather Clause, which grants Day Zero citizenship to prior voters but leaves long-term residents who were denied voting rights by the predecessor government on the standard naturalization path — an inequity the accelerated process corrects.</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constitutional floor is stated directly in §5.4: the test must assess knowledge sufficient to understand the structure, powers, limits, and rights established by this Constitution. Any statute reducing the CLT below this floor is void and any citizen may challenge it in court. The Senate sets the standard by statute — raising it by simple majority, lowering it by 2/3 supermajority. That asymmetry makes degradation structurally harder than improvement without requiring anyone to certify anything. The old certification mechanism — where the CLT Administrator could block a Senate statute from taking effect — has been removed. An elected body should not be subject to veto by an appointed administrator. The floor is enforced by courts on challenge, not by an appointed officer's pre-emptive certification. The legislature may create a §3.7 statutory independent administrator to oversee CLT administration if it chooses; the constitution does not require it. Where the CLT Administrator position is vacant, the Judicial Inspectorate administers the Constitutional Logic Test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§6.1.a–b  </w:t>
      </w:r>
      <w:r>
        <w:rPr>
          <w:rFonts w:ascii="Garamond" w:cs="Garamond" w:eastAsia="Garamond" w:hAnsi="Garamond"/>
          <w:b/>
          <w:bCs/>
          <w:color w:val="1B2A4A"/>
          <w:sz w:val="22"/>
          <w:szCs w:val="22"/>
        </w:rPr>
        <w:t xml:space="preserve">The Dual Gate</w:t>
      </w:r>
    </w:p>
    <w:p>
      <w:pPr>
        <w:spacing w:after="120" w:before="0"/>
        <w:ind w:left="863"/>
        <w:jc w:val="both"/>
      </w:pPr>
      <w:r>
        <w:rPr>
          <w:rFonts w:ascii="Garamond" w:cs="Garamond" w:eastAsia="Garamond" w:hAnsi="Garamond"/>
          <w:color w:val="2a2520"/>
          <w:sz w:val="22"/>
          <w:szCs w:val="22"/>
        </w:rPr>
        <w:t xml:space="preserve">Legal residency requires passing both gates. Gate 1 is the federal substantive assessment — national standards that no State can circumvent. Gate 2 is State acceptance — no State can be forced to absorb unlimited immigration obligations without its participation. The dual-gate architecture prevents two failure modes simultaneously: race-to-the-bottom competition among States offering easy Gate 2 acceptance, and federal imposition of immigration outcomes that States must bear without agreement. The Presidential role (§6.1.c) is to set Gate 1 criteria by executive order within House-enacted parameters — giving the executive flexibility to respond to changing conditions without requiring constant legislative action.</w:t>
      </w: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concern — without publishing classified content. The in-camera review is outcome-determinative: either the security concern meets the constitutional standard and the denial stands, or it does not and recertification is ordered. This closes the "security claim as absolute veto" pathway while protecting genuine intelligence sources and methods.</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 but indefinite unreviewed detention is not constitutionally available. The Legislature must establish a framework with regular judicial review. 'Indefinite unreviewed detention is not a constitutionally available outcome' — one of the clearest lines in the document.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RCV nationally, preventing the geographic distortions of district-based winner-take-all systems. Votes transfer until one candidate holds a majority of active ballots nationwide. The national RCV tends to produce presidents who are the genuine second or third choice of a larger electorate — a broader mandate than first-preference plurality. This mechanism interacts with the regional combined score (§7.2.b–c): a candidate must achieve both a national majority and broad geographic distribution, preventing a president elected entirely by densely populated regional concentrations from claiming a national mandate.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mechanism favors the candidate with the broadest geographic distribution of support. A candidate who wins large margins in a few populous regions but has near-zero support elsewhere represents a fundamentally different governing coalition than a candidate with narrower leads distributed across all regions. The combined score is the constitution's structural requirement that the President represent the full polity — not merely its most concentrated population centers. This mechanism prevents the national RCV from being won by geographic concentration alone.</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Reports</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No Classification</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No Binding Force</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Non-Pursuit Disclosure</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Inspectorate Funding Guarantee</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Citizen Discrepancy Petition</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863"/>
      </w:pPr>
      <w:r>
        <w:rPr>
          <w:rFonts w:ascii="Courier New" w:cs="Courier New" w:eastAsia="Courier New" w:hAnsi="Courier New"/>
          <w:b/>
          <w:bCs/>
          <w:color w:val="1B2A4A"/>
          <w:sz w:val="18"/>
          <w:szCs w:val="18"/>
        </w:rPr>
        <w:t xml:space="preserve">§8.8.b  </w:t>
      </w:r>
      <w:r>
        <w:rPr>
          <w:rFonts w:ascii="Garamond" w:cs="Garamond" w:eastAsia="Garamond" w:hAnsi="Garamond"/>
          <w:b/>
          <w:bCs/>
          <w:color w:val="1B2A4A"/>
          <w:sz w:val="22"/>
          <w:szCs w:val="22"/>
        </w:rPr>
        <w:t xml:space="preserve">Publication</w:t>
      </w:r>
    </w:p>
    <w:p>
      <w:pPr>
        <w:spacing w:after="120" w:before="0"/>
        <w:ind w:left="863"/>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The eight-year joint assessment is the constitution's built-in self-evaluation mechanism — the document asking whether it is working as designed. Every eight years, the three Inspectorates jointly assess constitutional performance across all domains: Are rights enforced? Is the Inspectorate reporting mechanism functioning or being abused? Are fiscal obligations met? Is military subordination complete? Is NRS coverage comprehensive? The assessment creates a permanent longitudinal record allowing comparison across periods. No previous constitution has built a scheduled self-assessment into its text. The mechanism operationalizes the drafters' epistemic humility: the document cannot know in advance whether it works; it builds in the machinery to find out, permanently and publicly.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Distributed Custody</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Cryptographic Signing</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Technology Neutrality</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Migration Overlap Protocol</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Self-Authentication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 — it is a constitutional offense.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Anti-Evasion Principle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Severe Contraction Protocol — Activation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Severe Contraction Protocol — Effects</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Contraction Protocol — Parliamentary Review</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Federal Supplementation Obligation</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Tax Origination and Fiscal Objection</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Annual Budget and Continuation Spending</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BNF and Contraction Exemptions</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Tested under maximum pressure in The Stagflation Years: the SC ruled 6-3 that the Mandate Rebalancing Act was void for attempting to convert the secondary mandate into a co-equal constraint on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Official Benefits</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Financial Disclosure</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Integrity Bans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Anti-Ego Provision</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Official Gifts</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Oath of Office Requirement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Defense Readiness and Veterans Obligations</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Compensation of Public Officials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Subsidiarity Principle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Five-Year Maximum</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Senate Armed Services Committee</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Military Authority During Presidential Succession Vacuum</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Voluntary Incorporation</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No Executive Veto</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Advisory Referenda</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Independence Transition Framework</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Framework Agreement Requirement</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Transition Period — 24 to 60 Months</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Basic Needs Floor Transition</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Executive Authority During Transition</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Simultaneous Independence Sequencing</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Federal-State Statutory Hierarchy</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 No member of the EC may have held elected office or party membership within ten years of their election.</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For-cause only — no no-cause removal. EC administers all elections; no-cause removal would be a vector for electoral manipulation. Process: JI documents finding → State Designee Panel substantiates → 14-day SC appeal window expires (or SC upholds on appeal) → member suspended from all EC duties. The 180-day election proximity restriction in §16.5.c applies to the removal vote, not to Panel-triggered suspension. On legislative acquittal, member returns to full duties immediately. 2/3 both chambers for removal. Vacancy: 90-day special election, full new 6-year term. Amended v148.</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EC may extend ballot information delivery to cover state and local races. State bears cost. EC cannot refuse except on operational capacity grounds. Entirely voluntary. New in v143.</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 Amended v148.</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NTA is a statutory independent officer under §3.7 — the legislature creates the office by statute and calibrates its independence, term, and removal grounds through the enabling statute. The constitutional protections that matter for the Trust are in §17.4.a–f: the trust nature, the 65% referendum threshold for reclassification, the stewardship obligation, the EI's annual compliance monitoring. The Administrator is an operational role whose independence is appropriately protected by §3.7 rather than requiring the full constitutional appointment machinery. The enabling statute may not reduce the stewardship obligations or the EI monitoring.</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use rights in Territories follow the same framework as in States — Operational Use Rights (§17.3) and National Trust (§17.4) — without requiring host State legislative consent (Territories have no State legislature). The Territory's representative body and the LI are consulted. Same constitutional principles; consent mechanism adapts to the Territory's structure.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Qualification Threshold</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Administration</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Three subsections after v145 restructuring: activation threshold (§19.1.a), institutional accommodation for existing legal structures (§19.1.b), and multi-founder formation for sovereign nations pooling sovereignty (§19.1.c). Previously a single wall-of-text paragraph — restructuring makes §19.1 readable without changing any substantive content.</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24-month, four-phase process. Seven provisions: Phase 0 pre-ratification preparation (§19.3.a), Phase 1 emergency stabilisation Days 1-90 (§19.3.b), Phase 2 institutional construction Days 91-270 (§19.3.c), Phase 3 first elections Days 271-450 (§19.3.d), Phase 4 full operation (§19.3.e), provisional NRS authority (§19.3.f), and phase extension mechanism (§19.3.g, new v143).</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aa660f7a978b481e7621fd8e954716d925f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2026-05-17T21:06:53.354Z</dcterms:created>
  <dcterms:modified xsi:type="dcterms:W3CDTF">2026-05-17T21:06:53.369Z</dcterms:modified>
</cp:coreProperties>
</file>

<file path=docProps/custom.xml><?xml version="1.0" encoding="utf-8"?>
<Properties xmlns="http://schemas.openxmlformats.org/officeDocument/2006/custom-properties" xmlns:vt="http://schemas.openxmlformats.org/officeDocument/2006/docPropsVTypes"/>
</file>