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A solvency objection requires an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existing scope of government functions continues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No citizenship may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may be published by the other two Monitors as a non-responsiveness finding to the NRS.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audit findings are public NRS records at all times. The Joint Monitor Council conducts the draw in a public session, certifies the result jointly, and publishes it to the NRS. Where selection is by deliberate nomination, the named officer nominates from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