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The Republic must provide adequate education assistance to ensure that no child's educational opportunity is determined primarily by the wealth of their territory, and that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(§1.3); slavery (§1.4); habeas corpus (§1.14); the right to a public trial (§1.18); and no retroactive punishment (§1.19).</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Self-clemency is absolutely prohibited.</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15% citizen petition, which triggers a national referendum requiring 60% affirmative with 55% participation.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Republic's legislature is bicameral. The House of Representatives is the proportional chamber. Seats are allocated by population with a minimum of one seat per State, a floor of one seat per 750,000 citizens, and a formula that self-scales with population growth. The Legislature may set a higher membership by statute and must publish justification for any formula producing fewer than one seat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The seat allocation formula is administered by the LI following each census. The LI publishes the updated seat allocation to the NRS within 30 days of census completion. Where a reapportionment event is triggered between census cycles, the LI recalculates and publishes the revised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merit appointment,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in the Republic is acquired by birth, descent, or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§1.9 discrimination. Asylum proceedings under §6.4 are explicitly exempt from the Gate 1 requirement: the right to claim and have determined a §1.28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§6.1.a–b  </w:t>
      </w:r>
      <w:r>
        <w:rPr>
          <w:rFonts w:ascii="Garamond" w:cs="Garamond" w:eastAsia="Garamond" w:hAnsi="Garamond"/>
          <w:b/>
          <w:bCs/>
          <w:color w:val="1B2A4A"/>
          <w:sz w:val="22"/>
          <w:szCs w:val="22"/>
        </w:rPr>
        <w:t xml:space="preserve">The Dual Gate</w:t>
      </w:r>
    </w:p>
    <w:p>
      <w:pPr>
        <w:spacing w:after="120" w:before="0"/>
        <w:ind w:left="863"/>
        <w:jc w:val="both"/>
      </w:pPr>
      <w:r>
        <w:rPr>
          <w:rFonts w:ascii="Garamond" w:cs="Garamond" w:eastAsia="Garamond" w:hAnsi="Garamond"/>
          <w:color w:val="2a2520"/>
          <w:sz w:val="22"/>
          <w:szCs w:val="22"/>
        </w:rPr>
        <w:t xml:space="preserve">Legal residency requires passing both gates. Gate 1 is the federal substantive assessment — national standards that no State can circumvent. Gate 2 is State acceptance — no State can be forced to absorb unlimited immigration obligations without its participation. The dual-gate architecture prevents two failure modes simultaneously: race-to-the-bottom competition among States offering easy Gate 2 acceptance, and federal imposition of immigration outcomes that States must bear without agreement. The Presidential role (§6.1.c) is to set Gate 1 criteria by executive order within House-enacted parameters — giving the executive flexibility to respond to changing conditions without requiring constant legislative action.</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Each Inspectorate is headed by an Inspector General selected through a cross-nominating process that ensures no branch selects its own overseer. The selection mechanisms for each IG are specified in this section.</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Mandate</w:t>
      </w:r>
    </w:p>
    <w:p>
      <w:pPr>
        <w:spacing w:after="120" w:before="0"/>
        <w:ind w:left="431"/>
        <w:jc w:val="both"/>
      </w:pPr>
      <w:r>
        <w:rPr>
          <w:rFonts w:ascii="Garamond" w:cs="Garamond" w:eastAsia="Garamond" w:hAnsi="Garamond"/>
          <w:color w:val="2a2520"/>
          <w:sz w:val="22"/>
          <w:szCs w:val="22"/>
        </w:rPr>
        <w:t xml:space="preserve">The Judicial Inspectorate monitors the court system, administers the SC candidate registry, conducts compliance audits, and certifies lottery draws and panel selections throughout the constitution. Its mandate is informational only.</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Initiatives and Local Government</w:t>
      </w:r>
    </w:p>
    <w:p>
      <w:pPr>
        <w:spacing w:after="120" w:before="0"/>
        <w:ind w:left="431"/>
        <w:jc w:val="both"/>
      </w:pPr>
      <w:r>
        <w:rPr>
          <w:rFonts w:ascii="Garamond" w:cs="Garamond" w:eastAsia="Garamond" w:hAnsi="Garamond"/>
          <w:color w:val="2a2520"/>
          <w:sz w:val="22"/>
          <w:szCs w:val="22"/>
        </w:rPr>
        <w:t xml:space="preserve">Citizens hold direct legislative initiative rights at the federal level. Local governments are constitutionally recognized entities whose powers are established by State statute within the limits of this constitution.</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Citizen Legislative Initiative</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2026-05-18T18:40:14.448Z</dcterms:created>
  <dcterms:modified xsi:type="dcterms:W3CDTF">2026-05-18T18:40:14.461Z</dcterms:modified>
</cp:coreProperties>
</file>

<file path=docProps/custom.xml><?xml version="1.0" encoding="utf-8"?>
<Properties xmlns="http://schemas.openxmlformats.org/officeDocument/2006/custom-properties" xmlns:vt="http://schemas.openxmlformats.org/officeDocument/2006/docPropsVTypes"/>
</file>