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proceeds to enactment. The Legat Consul's veto may be used only once on any bill; a bill reintroduced and passed by both chambers in a subsequent session proceeds without Legat Consul interference. Either Speaker may petition the SC for an expedited domain determination of any disputed veto; the SC must rule within 14 days of such petition; where the SC does not rule within 14 days, the veto is void and the bill proceeds to ordinary enactment without Legat Consul assent.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Senate may override by 2/3 supermajority at any time during that session; where no override occurs, the bill lapses for that session.</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the Civic Consul prepares and submits to the Assembly for passage;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longest-serving Assembly member who otherwise meets the requirements for Civic Consul assumes the role by constitutional operation, published to the NRS; this appointee holds full Civic Consul authority and is subject to removal under §2.6. Where two or more Assembly members have equal continuous service, the tiebreaker is determined by statute.</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may withhold assent by returning a bill within 10 business days of final passage with written grounds published to the NRS; the bill is tabled for one month regardless of any change in CC office. The Senate may override by 2/3 supermajority during that month; failing override, the bill returns to the Legislature and must pass both chambers again before returning to the Civic Consul, who may not exercise the suspensive veto on that bill again.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petition the SC for expedited classification determination; the SC must rule within the period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impeachment and removal under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citizen meeting the eligibility criteria established in §9.4.b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petition the SC within 30 days of NRS publication on the sole ground that stated grounds do not correspond to an established eligibility criterion.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Where the SC fails to rule within 14 days, grounds are deemed confirmed and duty suspension activates immediately.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expedited review of the Elections Panel's finding at any point; the SC must rule within the period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§7.4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on expedited review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affirmative support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must rule within 90 days of suspension, and where the SC fails to rule within that period, the suspension lifts and the compact resumes pending any subsequent ruling.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