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863"/>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863"/>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citizen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863"/>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863"/>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863"/>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431"/>
        <w:jc w:val="both"/>
      </w:pPr>
      <w:r>
        <w:rPr>
          <w:rFonts w:ascii="Garamond" w:cs="Garamond" w:eastAsia="Garamond" w:hAnsi="Garamond"/>
          <w:color w:val="2a2520"/>
          <w:sz w:val="22"/>
          <w:szCs w:val="22"/>
        </w:rPr>
        <w:t xml:space="preserve">The Republic must provide adequate education assistance to ensure that no child's educational opportunity is determined primarily by the wealth of their territory, and that public education equips every student to meet the constitutional literacy standard. Parents retain the right to educate through alternative means that meet that standard.</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The Republic's constitutional literacy standard for citizenship purposes is the CLT, defined in §5.4. Public education must equip students to meet that standard — education for citizenship is a constitutional obligation, not a civic nicety.</w:t>
      </w:r>
    </w:p>
    <w:p>
      <w:pPr>
        <w:spacing w:after="60" w:before="200"/>
        <w:ind w:left="863"/>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863"/>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863"/>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five rights are absolute under any circumstances: the prohibition on torture (§1.3); slavery (§1.4); habeas corpus (§1.14); the right to a public trial (§1.18); and no retroactive punishment (§1.19).</w:t>
      </w:r>
    </w:p>
    <w:p>
      <w:pPr>
        <w:spacing w:after="60" w:before="200"/>
        <w:ind w:left="863"/>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863"/>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863"/>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863"/>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863"/>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863"/>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863"/>
        <w:jc w:val="both"/>
      </w:pPr>
      <w:r>
        <w:rPr>
          <w:rFonts w:ascii="Garamond" w:cs="Garamond" w:eastAsia="Garamond" w:hAnsi="Garamond"/>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1296"/>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1296"/>
        <w:jc w:val="both"/>
      </w:pPr>
      <w:r>
        <w:rPr>
          <w:rFonts w:ascii="Garamond" w:cs="Garamond" w:eastAsia="Garamond" w:hAnsi="Garamond"/>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863"/>
        <w:jc w:val="both"/>
      </w:pPr>
      <w:r>
        <w:rPr>
          <w:rFonts w:ascii="Garamond" w:cs="Garamond" w:eastAsia="Garamond" w:hAnsi="Garamond"/>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863"/>
        <w:jc w:val="both"/>
      </w:pPr>
      <w:r>
        <w:rPr>
          <w:rFonts w:ascii="Garamond" w:cs="Garamond" w:eastAsia="Garamond" w:hAnsi="Garamond"/>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863"/>
        <w:jc w:val="both"/>
      </w:pPr>
      <w:r>
        <w:rPr>
          <w:rFonts w:ascii="Garamond" w:cs="Garamond" w:eastAsia="Garamond" w:hAnsi="Garamond"/>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863"/>
        <w:jc w:val="both"/>
      </w:pPr>
      <w:r>
        <w:rPr>
          <w:rFonts w:ascii="Garamond" w:cs="Garamond" w:eastAsia="Garamond" w:hAnsi="Garamond"/>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863"/>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863"/>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863"/>
        <w:jc w:val="both"/>
      </w:pPr>
      <w:r>
        <w:rPr>
          <w:rFonts w:ascii="Garamond" w:cs="Garamond" w:eastAsia="Garamond" w:hAnsi="Garamond"/>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863"/>
        <w:jc w:val="both"/>
      </w:pPr>
      <w:r>
        <w:rPr>
          <w:rFonts w:ascii="Garamond" w:cs="Garamond" w:eastAsia="Garamond" w:hAnsi="Garamond"/>
          <w:color w:val="2a2520"/>
          <w:sz w:val="22"/>
          <w:szCs w:val="22"/>
        </w:rPr>
        <w:t xml:space="preserve">If the PM neither signs nor objects within the Legislative Review Period, the bill is automatically enacted. Silence is not a veto.</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863"/>
        <w:jc w:val="both"/>
      </w:pPr>
      <w:r>
        <w:rPr>
          <w:rFonts w:ascii="Garamond" w:cs="Garamond" w:eastAsia="Garamond" w:hAnsi="Garamond"/>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863"/>
        <w:jc w:val="both"/>
      </w:pPr>
      <w:r>
        <w:rPr>
          <w:rFonts w:ascii="Garamond" w:cs="Garamond" w:eastAsia="Garamond" w:hAnsi="Garamond"/>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PM and the Senate Speaker jointly certify the incapacity and publish the certification to the NRS within 6 hours; Acting Presidential Authority activates upon publication. Where the PM is next in the presidential succession line and therefore holds a direct interest in the transfer, the Deputy Speaker substitutes for the PM in the certification.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the President publishing a restoration declaration to the NRS, at which point the President immediately resumes full authority and the Deputy Speaker reverts to their role; or the PM and the Senate Speaker jointly certifying and publishing that the incapacity has ended. Where Temporary Acting Presidential Authority extends beyond 90 consecutive days without restoration, the PM and Senate Speaker must jointly assess whether the incapacity has become permanent and publish their assessment to the NRS within 7 days of the 90-day mark. If they certify permanent incapacity, §2.6.a succession activates immediately — Acting Presidential Authority converts to full succession, the Speaker's Senate seat is vacated, and the Deputy Speaker assumes the Speaker role permanently. If they certify continued temporary incapacity, Acting Presidential Authority continues and the assessment repeats every 30 days until restoration or permanent certification. Failure to conduct and publish the mandatory 90-day assessment is a constitutional failure for both the PM and the Senate Speaker.</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431"/>
        <w:jc w:val="both"/>
      </w:pPr>
      <w:r>
        <w:rPr>
          <w:rFonts w:ascii="Garamond" w:cs="Garamond" w:eastAsia="Garamond" w:hAnsi="Garamond"/>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863"/>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863"/>
        <w:jc w:val="both"/>
      </w:pPr>
      <w:r>
        <w:rPr>
          <w:rFonts w:ascii="Garamond" w:cs="Garamond" w:eastAsia="Garamond" w:hAnsi="Garamond"/>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The President may be removed on two independent tracks. The legislative track requires 2/3 of both chambers simultaneously following Inspectorate-certified findings. The popular track requires a 15% citizen petition, which triggers a national referendum requiring 60% affirmative with 55% participation.</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Membership Floor</w:t>
      </w:r>
    </w:p>
    <w:p>
      <w:pPr>
        <w:spacing w:after="120" w:before="0"/>
        <w:ind w:left="863"/>
        <w:jc w:val="both"/>
      </w:pPr>
      <w:r>
        <w:rPr>
          <w:rFonts w:ascii="Garamond" w:cs="Garamond" w:eastAsia="Garamond" w:hAnsi="Garamond"/>
          <w:color w:val="2a2520"/>
          <w:sz w:val="22"/>
          <w:szCs w:val="22"/>
        </w:rPr>
        <w:t xml:space="preserve">The Republic's legislature is bicameral. The House of Representatives is the proportional chamber. Seats are allocated by population with a minimum of one seat per State, a floor of one seat per 750,000 citizens, and a formula that self-scales with population growth. The Legislature may set a higher membership by statute and must publish justification for any formula producing fewer than one seat per 500,000 citizens.</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863"/>
        <w:jc w:val="both"/>
      </w:pPr>
      <w:r>
        <w:rPr>
          <w:rFonts w:ascii="Garamond" w:cs="Garamond" w:eastAsia="Garamond" w:hAnsi="Garamond"/>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863"/>
        <w:jc w:val="both"/>
      </w:pPr>
      <w:r>
        <w:rPr>
          <w:rFonts w:ascii="Garamond" w:cs="Garamond" w:eastAsia="Garamond" w:hAnsi="Garamond"/>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863"/>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863"/>
        <w:jc w:val="both"/>
      </w:pPr>
      <w:r>
        <w:rPr>
          <w:rFonts w:ascii="Garamond" w:cs="Garamond" w:eastAsia="Garamond" w:hAnsi="Garamond"/>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863"/>
        <w:jc w:val="both"/>
      </w:pPr>
      <w:r>
        <w:rPr>
          <w:rFonts w:ascii="Garamond" w:cs="Garamond" w:eastAsia="Garamond" w:hAnsi="Garamond"/>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1296"/>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1296"/>
        <w:jc w:val="both"/>
      </w:pPr>
      <w:r>
        <w:rPr>
          <w:rFonts w:ascii="Garamond" w:cs="Garamond" w:eastAsia="Garamond" w:hAnsi="Garamond"/>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863"/>
        <w:jc w:val="both"/>
      </w:pPr>
      <w:r>
        <w:rPr>
          <w:rFonts w:ascii="Garamond" w:cs="Garamond" w:eastAsia="Garamond" w:hAnsi="Garamond"/>
          <w:color w:val="2a2520"/>
          <w:sz w:val="22"/>
          <w:szCs w:val="22"/>
        </w:rPr>
        <w:t xml:space="preserve">The Senate administers the Presidential election in the absence of a functioning Electoral Commission,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863"/>
        <w:jc w:val="both"/>
      </w:pPr>
      <w:r>
        <w:rPr>
          <w:rFonts w:ascii="Garamond" w:cs="Garamond" w:eastAsia="Garamond" w:hAnsi="Garamond"/>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863"/>
        <w:jc w:val="both"/>
      </w:pPr>
      <w:r>
        <w:rPr>
          <w:rFonts w:ascii="Garamond" w:cs="Garamond" w:eastAsia="Garamond" w:hAnsi="Garamond"/>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863"/>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States draw their own House district maps following each census, subject to compliance review by the Legislative Inspectorate against the criteria established in §3.4.a. The LI may draw an interim compliant map where a State submission fails repeated review.</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863"/>
        <w:jc w:val="both"/>
      </w:pPr>
      <w:r>
        <w:rPr>
          <w:rFonts w:ascii="Garamond" w:cs="Garamond" w:eastAsia="Garamond" w:hAnsi="Garamond"/>
          <w:color w:val="2a2520"/>
          <w:sz w:val="22"/>
          <w:szCs w:val="22"/>
        </w:rPr>
        <w:t xml:space="preserve">The LI reviews all State-drawn district maps within 60 days of submission. If a map fails the §3.4.a criteria, the LI publishes specific findings and the State must submit a corrected map within 30 days. If the corrected map still fails, the LI draws a compliant interim map. The LI cannot draw a permanent map — only an interim one pending State compliance.</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863"/>
        <w:jc w:val="both"/>
      </w:pPr>
      <w:r>
        <w:rPr>
          <w:rFonts w:ascii="Garamond" w:cs="Garamond" w:eastAsia="Garamond" w:hAnsi="Garamond"/>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863"/>
        <w:jc w:val="both"/>
      </w:pPr>
      <w:r>
        <w:rPr>
          <w:rFonts w:ascii="Garamond" w:cs="Garamond" w:eastAsia="Garamond" w:hAnsi="Garamond"/>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863"/>
        <w:jc w:val="both"/>
      </w:pPr>
      <w:r>
        <w:rPr>
          <w:rFonts w:ascii="Garamond" w:cs="Garamond" w:eastAsia="Garamond" w:hAnsi="Garamond"/>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863"/>
        <w:jc w:val="both"/>
      </w:pPr>
      <w:r>
        <w:rPr>
          <w:rFonts w:ascii="Garamond" w:cs="Garamond" w:eastAsia="Garamond" w:hAnsi="Garamond"/>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863"/>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of Representatives is the proportional chamber. Seats are allocated by population under the formula in §3.1.a, with a minimum of one seat per State. All members serve 2-year terms. The House originates all legislation and fiscal measures and elects the Prime Minister.</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The seat allocation formula is administered by the LI following each census. The LI publishes the updated seat allocation to the NRS within 30 days of census completion. Where a reapportionment event is triggered between census cycles, the LI recalculates and publishes the revised allocation.</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863"/>
        <w:jc w:val="both"/>
      </w:pPr>
      <w:r>
        <w:rPr>
          <w:rFonts w:ascii="Garamond" w:cs="Garamond" w:eastAsia="Garamond" w:hAnsi="Garamond"/>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863"/>
        <w:jc w:val="both"/>
      </w:pPr>
      <w:r>
        <w:rPr>
          <w:rFonts w:ascii="Garamond" w:cs="Garamond" w:eastAsia="Garamond" w:hAnsi="Garamond"/>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863"/>
        <w:jc w:val="both"/>
      </w:pPr>
      <w:r>
        <w:rPr>
          <w:rFonts w:ascii="Garamond" w:cs="Garamond" w:eastAsia="Garamond" w:hAnsi="Garamond"/>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863"/>
        <w:jc w:val="both"/>
      </w:pPr>
      <w:r>
        <w:rPr>
          <w:rFonts w:ascii="Garamond" w:cs="Garamond" w:eastAsia="Garamond" w:hAnsi="Garamond"/>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863"/>
        <w:jc w:val="both"/>
      </w:pPr>
      <w:r>
        <w:rPr>
          <w:rFonts w:ascii="Garamond" w:cs="Garamond" w:eastAsia="Garamond" w:hAnsi="Garamond"/>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863"/>
        <w:jc w:val="both"/>
      </w:pPr>
      <w:r>
        <w:rPr>
          <w:rFonts w:ascii="Garamond" w:cs="Garamond" w:eastAsia="Garamond" w:hAnsi="Garamond"/>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863"/>
        <w:jc w:val="both"/>
      </w:pPr>
      <w:r>
        <w:rPr>
          <w:rFonts w:ascii="Garamond" w:cs="Garamond" w:eastAsia="Garamond" w:hAnsi="Garamond"/>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863"/>
        <w:jc w:val="both"/>
      </w:pPr>
      <w:r>
        <w:rPr>
          <w:rFonts w:ascii="Garamond" w:cs="Garamond" w:eastAsia="Garamond" w:hAnsi="Garamond"/>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431"/>
        <w:jc w:val="both"/>
      </w:pPr>
      <w:r>
        <w:rPr>
          <w:rFonts w:ascii="Garamond" w:cs="Garamond" w:eastAsia="Garamond" w:hAnsi="Garamond"/>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863"/>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863"/>
        <w:jc w:val="both"/>
      </w:pPr>
      <w:r>
        <w:rPr>
          <w:rFonts w:ascii="Garamond" w:cs="Garamond" w:eastAsia="Garamond" w:hAnsi="Garamond"/>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863"/>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863"/>
        <w:jc w:val="both"/>
      </w:pPr>
      <w:r>
        <w:rPr>
          <w:rFonts w:ascii="Garamond" w:cs="Garamond" w:eastAsia="Garamond" w:hAnsi="Garamond"/>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863"/>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863"/>
        <w:jc w:val="both"/>
      </w:pPr>
      <w:r>
        <w:rPr>
          <w:rFonts w:ascii="Garamond" w:cs="Garamond" w:eastAsia="Garamond" w:hAnsi="Garamond"/>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863"/>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863"/>
        <w:jc w:val="both"/>
      </w:pPr>
      <w:r>
        <w:rPr>
          <w:rFonts w:ascii="Garamond" w:cs="Garamond" w:eastAsia="Garamond" w:hAnsi="Garamond"/>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431"/>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431"/>
        <w:jc w:val="both"/>
      </w:pPr>
      <w:r>
        <w:rPr>
          <w:rFonts w:ascii="Garamond" w:cs="Garamond" w:eastAsia="Garamond" w:hAnsi="Garamond"/>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Three tracks: legislative removal by 2/3 of both chambers for constitutional breach or demonstrated incapacity; judicial discipline through the SC's internal accountability process;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863"/>
        <w:jc w:val="both"/>
      </w:pPr>
      <w:r>
        <w:rPr>
          <w:rFonts w:ascii="Garamond" w:cs="Garamond" w:eastAsia="Garamond" w:hAnsi="Garamond"/>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431"/>
        <w:jc w:val="both"/>
      </w:pPr>
      <w:r>
        <w:rPr>
          <w:rFonts w:ascii="Garamond" w:cs="Garamond" w:eastAsia="Garamond" w:hAnsi="Garamond"/>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863"/>
        <w:jc w:val="both"/>
      </w:pPr>
      <w:r>
        <w:rPr>
          <w:rFonts w:ascii="Garamond" w:cs="Garamond" w:eastAsia="Garamond" w:hAnsi="Garamond"/>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863"/>
        <w:jc w:val="both"/>
      </w:pPr>
      <w:r>
        <w:rPr>
          <w:rFonts w:ascii="Garamond" w:cs="Garamond" w:eastAsia="Garamond" w:hAnsi="Garamond"/>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863"/>
        <w:jc w:val="both"/>
      </w:pPr>
      <w:r>
        <w:rPr>
          <w:rFonts w:ascii="Garamond" w:cs="Garamond" w:eastAsia="Garamond" w:hAnsi="Garamond"/>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863"/>
        <w:jc w:val="both"/>
      </w:pPr>
      <w:r>
        <w:rPr>
          <w:rFonts w:ascii="Garamond" w:cs="Garamond" w:eastAsia="Garamond" w:hAnsi="Garamond"/>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a clean legal record, and passing the Constitutional Logic Test.</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lowering it by 2/3 supermajority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The Legislature holds supreme authority over immigration — it sets the standards for both gates and may set aggregate limits on total applications processed in any period, provided limits are applied without §1.9 discrimination. Asylum proceedings under §6.4 are explicitly exempt from the Gate 1 requirement: the right to claim and have determined a §1.28 asylum claim exists independently of the dual-gate system and no state's refusal to sponsor can extinguish it. The dual-gate design balances state acceptance — states retain discretion over who they sponsor — against a federal floor that ensures constitutional standards apply uniformly to Gate 2.</w:t>
      </w:r>
    </w:p>
    <w:p>
      <w:pPr>
        <w:spacing w:after="60" w:before="200"/>
        <w:ind w:left="863"/>
      </w:pPr>
      <w:r>
        <w:rPr>
          <w:rFonts w:ascii="Courier New" w:cs="Courier New" w:eastAsia="Courier New" w:hAnsi="Courier New"/>
          <w:b/>
          <w:bCs/>
          <w:color w:val="1B2A4A"/>
          <w:sz w:val="18"/>
          <w:szCs w:val="18"/>
        </w:rPr>
        <w:t xml:space="preserve">§6.1.a–b  </w:t>
      </w:r>
      <w:r>
        <w:rPr>
          <w:rFonts w:ascii="Garamond" w:cs="Garamond" w:eastAsia="Garamond" w:hAnsi="Garamond"/>
          <w:b/>
          <w:bCs/>
          <w:color w:val="1B2A4A"/>
          <w:sz w:val="22"/>
          <w:szCs w:val="22"/>
        </w:rPr>
        <w:t xml:space="preserve">The Dual Gate</w:t>
      </w:r>
    </w:p>
    <w:p>
      <w:pPr>
        <w:spacing w:after="120" w:before="0"/>
        <w:ind w:left="863"/>
        <w:jc w:val="both"/>
      </w:pPr>
      <w:r>
        <w:rPr>
          <w:rFonts w:ascii="Garamond" w:cs="Garamond" w:eastAsia="Garamond" w:hAnsi="Garamond"/>
          <w:color w:val="2a2520"/>
          <w:sz w:val="22"/>
          <w:szCs w:val="22"/>
        </w:rPr>
        <w:t xml:space="preserve">Legal residency requires passing both gates. Gate 1 is the federal substantive assessment — national standards that no State can circumvent. Gate 2 is State acceptance — no State can be forced to absorb unlimited immigration obligations without its participation. The dual-gate architecture prevents two failure modes simultaneously: race-to-the-bottom competition among States offering easy Gate 2 acceptance, and federal imposition of immigration outcomes that States must bear without agreement. The Presidential role (§6.1.c) is to set Gate 1 criteria by executive order within House-enacted parameters — giving the executive flexibility to respond to changing conditions without requiring constant legislative action.</w:t>
      </w: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 a state's decision not to sponsor — are not subject to federal review on the merits of the sponsorship decision. However, where an applicant believes a Gate 1 denial was made on §1.9 discriminatory grounds, they may bring a direct constitutional claim in any federal court, treated procedurally as a §6.3.a challenge. The court may order the state to reconsider free of discriminatory criteria; it may not compel the state to grant sponsorship. State discretion at Gate 1 is preserved; discriminatory exercise of that discretion is not.</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Screens citizen referendum petitions for eligibility. Audits the Electoral Commission annually. Reviews accommodation compact compliance under §19.1, Associated Community compact compliance under Article XX, and Article XIV indigenous compact obligations.</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863"/>
        <w:jc w:val="both"/>
      </w:pPr>
      <w:r>
        <w:rPr>
          <w:rFonts w:ascii="Garamond" w:cs="Garamond" w:eastAsia="Garamond" w:hAnsi="Garamond"/>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863"/>
        <w:jc w:val="both"/>
      </w:pPr>
      <w:r>
        <w:rPr>
          <w:rFonts w:ascii="Garamond" w:cs="Garamond" w:eastAsia="Garamond" w:hAnsi="Garamond"/>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863"/>
        <w:jc w:val="both"/>
      </w:pPr>
      <w:r>
        <w:rPr>
          <w:rFonts w:ascii="Garamond" w:cs="Garamond" w:eastAsia="Garamond" w:hAnsi="Garamond"/>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863"/>
        <w:jc w:val="both"/>
      </w:pPr>
      <w:r>
        <w:rPr>
          <w:rFonts w:ascii="Garamond" w:cs="Garamond" w:eastAsia="Garamond" w:hAnsi="Garamond"/>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863"/>
        <w:jc w:val="both"/>
      </w:pPr>
      <w:r>
        <w:rPr>
          <w:rFonts w:ascii="Garamond" w:cs="Garamond" w:eastAsia="Garamond" w:hAnsi="Garamond"/>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863"/>
        <w:jc w:val="both"/>
      </w:pPr>
      <w:r>
        <w:rPr>
          <w:rFonts w:ascii="Garamond" w:cs="Garamond" w:eastAsia="Garamond" w:hAnsi="Garamond"/>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431"/>
        <w:jc w:val="both"/>
      </w:pPr>
      <w:r>
        <w:rPr>
          <w:rFonts w:ascii="Garamond" w:cs="Garamond" w:eastAsia="Garamond" w:hAnsi="Garamond"/>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20" w:before="0"/>
        <w:ind w:left="431"/>
        <w:jc w:val="both"/>
      </w:pPr>
      <w:r>
        <w:rPr>
          <w:rFonts w:ascii="Garamond" w:cs="Garamond" w:eastAsia="Garamond" w:hAnsi="Garamond"/>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Every eight years from the date of full constitutional operation, the three Inspectorates jointly assess the performance of the constitutional framework across all domains: enforcement of Article I rights; functioning of the Inspectorate reporting mechanism; compliance with fiscal obligations; completeness of military subordination; and comprehensiveness of NRS coverage. The assessment is published to the NRS and transmitted to both chambers of the Legislature. The Legislature must respond within 90 days with a published statement. Findings and responses form a permanent longitudinal record of constitutional performance.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863"/>
        <w:jc w:val="both"/>
      </w:pPr>
      <w:r>
        <w:rPr>
          <w:rFonts w:ascii="Garamond" w:cs="Garamond" w:eastAsia="Garamond" w:hAnsi="Garamond"/>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863"/>
        <w:jc w:val="both"/>
      </w:pPr>
      <w:r>
        <w:rPr>
          <w:rFonts w:ascii="Garamond" w:cs="Garamond" w:eastAsia="Garamond" w:hAnsi="Garamond"/>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863"/>
        <w:jc w:val="both"/>
      </w:pPr>
      <w:r>
        <w:rPr>
          <w:rFonts w:ascii="Garamond" w:cs="Garamond" w:eastAsia="Garamond" w:hAnsi="Garamond"/>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863"/>
        <w:jc w:val="both"/>
      </w:pPr>
      <w:r>
        <w:rPr>
          <w:rFonts w:ascii="Garamond" w:cs="Garamond" w:eastAsia="Garamond" w:hAnsi="Garamond"/>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863"/>
        <w:jc w:val="both"/>
      </w:pPr>
      <w:r>
        <w:rPr>
          <w:rFonts w:ascii="Garamond" w:cs="Garamond" w:eastAsia="Garamond" w:hAnsi="Garamond"/>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863"/>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863"/>
        <w:jc w:val="both"/>
      </w:pPr>
      <w:r>
        <w:rPr>
          <w:rFonts w:ascii="Garamond" w:cs="Garamond" w:eastAsia="Garamond" w:hAnsi="Garamond"/>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431"/>
        <w:jc w:val="both"/>
      </w:pPr>
      <w:r>
        <w:rPr>
          <w:rFonts w:ascii="Garamond" w:cs="Garamond" w:eastAsia="Garamond" w:hAnsi="Garamond"/>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A constitutional guarantee that the federal government will ensure every Inhabitant has access to a minimum basket of goods and services (food, housing, healthcare, education, and utilities)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863"/>
        <w:jc w:val="both"/>
      </w:pPr>
      <w:r>
        <w:rPr>
          <w:rFonts w:ascii="Garamond" w:cs="Garamond" w:eastAsia="Garamond" w:hAnsi="Garamond"/>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863"/>
        <w:jc w:val="both"/>
      </w:pPr>
      <w:r>
        <w:rPr>
          <w:rFonts w:ascii="Garamond" w:cs="Garamond" w:eastAsia="Garamond" w:hAnsi="Garamond"/>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863"/>
        <w:jc w:val="both"/>
      </w:pPr>
      <w:r>
        <w:rPr>
          <w:rFonts w:ascii="Garamond" w:cs="Garamond" w:eastAsia="Garamond" w:hAnsi="Garamond"/>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863"/>
        <w:jc w:val="both"/>
      </w:pPr>
      <w:r>
        <w:rPr>
          <w:rFonts w:ascii="Garamond" w:cs="Garamond" w:eastAsia="Garamond" w:hAnsi="Garamond"/>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863"/>
        <w:jc w:val="both"/>
      </w:pPr>
      <w:r>
        <w:rPr>
          <w:rFonts w:ascii="Garamond" w:cs="Garamond" w:eastAsia="Garamond" w:hAnsi="Garamond"/>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863"/>
        <w:jc w:val="both"/>
      </w:pPr>
      <w:r>
        <w:rPr>
          <w:rFonts w:ascii="Garamond" w:cs="Garamond" w:eastAsia="Garamond" w:hAnsi="Garamond"/>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863"/>
        <w:jc w:val="both"/>
      </w:pPr>
      <w:r>
        <w:rPr>
          <w:rFonts w:ascii="Garamond" w:cs="Garamond" w:eastAsia="Garamond" w:hAnsi="Garamond"/>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863"/>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863"/>
        <w:jc w:val="both"/>
      </w:pPr>
      <w:r>
        <w:rPr>
          <w:rFonts w:ascii="Garamond" w:cs="Garamond" w:eastAsia="Garamond" w:hAnsi="Garamond"/>
          <w:color w:val="2a2520"/>
          <w:sz w:val="22"/>
          <w:szCs w:val="22"/>
        </w:rPr>
        <w:t xml:space="preserve">The Legislature must by statute establish a National Endowment reserve fund for BNF backstop purposes during severe revenue contractions. Funded by appropriation in years of fiscal surplus. If the Legislature fails to establish the Endowment within the constitutionally required period, the failure is a constitutional compliance breach.</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Legislature must by statute establish a public campaign financing system by the constitutional deadline. If it fails to do so, the failure triggers automatic referendum eligibility under §11.1 — citizens may petition for a national vote on whether to impose a public financing framework by citizen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863"/>
        <w:jc w:val="both"/>
      </w:pPr>
      <w:r>
        <w:rPr>
          <w:rFonts w:ascii="Garamond" w:cs="Garamond" w:eastAsia="Garamond" w:hAnsi="Garamond"/>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 Elected Office</w:t>
      </w:r>
    </w:p>
    <w:p>
      <w:pPr>
        <w:spacing w:after="120" w:before="0"/>
        <w:ind w:left="863"/>
        <w:jc w:val="both"/>
      </w:pPr>
      <w:r>
        <w:rPr>
          <w:rFonts w:ascii="Garamond" w:cs="Garamond" w:eastAsia="Garamond" w:hAnsi="Garamond"/>
          <w:color w:val="2a2520"/>
          <w:sz w:val="22"/>
          <w:szCs w:val="22"/>
        </w:rPr>
        <w:t xml:space="preserve">MA Director Election and Board Composition — the MA is governed by an elected Director and a board of five appointed members. The Director is elected by national RCV on National Election Day to a single non-renewable 8-year term, staggered from the board member appointment cycle.</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1296"/>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1296"/>
        <w:jc w:val="both"/>
      </w:pPr>
      <w:r>
        <w:rPr>
          <w:rFonts w:ascii="Garamond" w:cs="Garamond" w:eastAsia="Garamond" w:hAnsi="Garamond"/>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863"/>
        <w:jc w:val="both"/>
      </w:pPr>
      <w:r>
        <w:rPr>
          <w:rFonts w:ascii="Garamond" w:cs="Garamond" w:eastAsia="Garamond" w:hAnsi="Garamond"/>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Timelines for the veto, override, EI advisory, and SC petition are established by statute.</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863"/>
        <w:jc w:val="both"/>
      </w:pPr>
      <w:r>
        <w:rPr>
          <w:rFonts w:ascii="Garamond" w:cs="Garamond" w:eastAsia="Garamond" w:hAnsi="Garamond"/>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civil service employee in a comparable role. Departure from this standard is permitted only where an official's constitutional responsibilities create a demonstrable operational need, and only to the minimum extent that need requires.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863"/>
        <w:jc w:val="both"/>
      </w:pPr>
      <w:r>
        <w:rPr>
          <w:rFonts w:ascii="Garamond" w:cs="Garamond" w:eastAsia="Garamond" w:hAnsi="Garamond"/>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Restrictions</w:t>
      </w:r>
    </w:p>
    <w:p>
      <w:pPr>
        <w:spacing w:after="120" w:before="0"/>
        <w:ind w:left="863"/>
        <w:jc w:val="both"/>
      </w:pPr>
      <w:r>
        <w:rPr>
          <w:rFonts w:ascii="Garamond" w:cs="Garamond" w:eastAsia="Garamond" w:hAnsi="Garamond"/>
          <w:color w:val="2a2520"/>
          <w:sz w:val="22"/>
          <w:szCs w:val="22"/>
        </w:rPr>
        <w:t xml:space="preserve">Constitutional officers may not, for 5 years after leaving office, engage in activities that monetize non-public information acquired during service. The restriction covers lobbying, consulting, and any advisory role that draws on confidential government knowledge.</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863"/>
        <w:jc w:val="both"/>
      </w:pPr>
      <w:r>
        <w:rPr>
          <w:rFonts w:ascii="Garamond" w:cs="Garamond" w:eastAsia="Garamond" w:hAnsi="Garamond"/>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Restriction</w:t>
      </w:r>
    </w:p>
    <w:p>
      <w:pPr>
        <w:spacing w:after="120" w:before="0"/>
        <w:ind w:left="863"/>
        <w:jc w:val="both"/>
      </w:pPr>
      <w:r>
        <w:rPr>
          <w:rFonts w:ascii="Garamond" w:cs="Garamond" w:eastAsia="Garamond" w:hAnsi="Garamond"/>
          <w:color w:val="2a2520"/>
          <w:sz w:val="22"/>
          <w:szCs w:val="22"/>
        </w:rPr>
        <w:t xml:space="preserve">Constitutional officers may not move directly from government service into private roles that would allow them to exploit relationships, knowledge, or access accumulated during service. The 5-year cooling-off period applies to regulated industries directly affected by the officer's prior decisions.</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Ideas, analyses, and work product created during official service belong to the Republic. An officer may not monetize work done in their official capacity for 5 years following service. For classified information, the 5-year cooling-off applies after declassification — it cannot be monetized the day after it becomes public.</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863"/>
        <w:jc w:val="both"/>
      </w:pPr>
      <w:r>
        <w:rPr>
          <w:rFonts w:ascii="Garamond" w:cs="Garamond" w:eastAsia="Garamond" w:hAnsi="Garamond"/>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Governance</w:t>
      </w:r>
    </w:p>
    <w:p>
      <w:pPr>
        <w:spacing w:after="120" w:before="0"/>
        <w:ind w:left="863"/>
        <w:jc w:val="both"/>
      </w:pPr>
      <w:r>
        <w:rPr>
          <w:rFonts w:ascii="Garamond" w:cs="Garamond" w:eastAsia="Garamond" w:hAnsi="Garamond"/>
          <w:color w:val="2a2520"/>
          <w:sz w:val="22"/>
          <w:szCs w:val="22"/>
        </w:rPr>
        <w:t xml:space="preserve">Governed by a board of trustees appointed by the PM from JI-maintained candidates, confirmed by the Senate. The board's sole mandate is to preserve and grow the Endowment fund for BNF backstop purposes — it may not be directed to other investment goals by either executive or the Legislature.</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863"/>
        <w:jc w:val="both"/>
      </w:pPr>
      <w:r>
        <w:rPr>
          <w:rFonts w:ascii="Garamond" w:cs="Garamond" w:eastAsia="Garamond" w:hAnsi="Garamond"/>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863"/>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w:t>
      </w:r>
    </w:p>
    <w:p>
      <w:pPr>
        <w:spacing w:after="120" w:before="0"/>
        <w:ind w:left="863"/>
        <w:jc w:val="both"/>
      </w:pPr>
      <w:r>
        <w:rPr>
          <w:rFonts w:ascii="Garamond" w:cs="Garamond" w:eastAsia="Garamond" w:hAnsi="Garamond"/>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Citizens may initiate a national referendum to repeal enacted legislation by petition of 5% of eligible voters within 90 days of enactment. The JI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Petition Requirements — the 5% petition must be collected within 90 days of the law's enactment. The EI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The JI determines whether a targeted law is eligible for referendum. Laws that solely or primarily expand an Article I right are ineligible — the Individual Sovereignty Floor can expand but cannot contract through popular vote. The JI's eligibility determination is final subject only to SC review on an expedited basis within 14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Citizen Legislative Initiative</w:t>
      </w:r>
    </w:p>
    <w:p>
      <w:pPr>
        <w:spacing w:after="120" w:before="0"/>
        <w:ind w:left="863"/>
        <w:jc w:val="both"/>
      </w:pPr>
      <w:r>
        <w:rPr>
          <w:rFonts w:ascii="Garamond" w:cs="Garamond" w:eastAsia="Garamond" w:hAnsi="Garamond"/>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Local Government</w:t>
      </w:r>
    </w:p>
    <w:p>
      <w:pPr>
        <w:spacing w:after="120" w:before="0"/>
        <w:ind w:left="863"/>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863"/>
        <w:jc w:val="both"/>
      </w:pPr>
      <w:r>
        <w:rPr>
          <w:rFonts w:ascii="Garamond" w:cs="Garamond" w:eastAsia="Garamond" w:hAnsi="Garamond"/>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863"/>
        <w:jc w:val="both"/>
      </w:pPr>
      <w:r>
        <w:rPr>
          <w:rFonts w:ascii="Garamond" w:cs="Garamond" w:eastAsia="Garamond" w:hAnsi="Garamond"/>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863"/>
        <w:jc w:val="both"/>
      </w:pPr>
      <w:r>
        <w:rPr>
          <w:rFonts w:ascii="Garamond" w:cs="Garamond" w:eastAsia="Garamond" w:hAnsi="Garamond"/>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863"/>
        <w:jc w:val="both"/>
      </w:pPr>
      <w:r>
        <w:rPr>
          <w:rFonts w:ascii="Garamond" w:cs="Garamond" w:eastAsia="Garamond" w:hAnsi="Garamond"/>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431"/>
        <w:jc w:val="both"/>
      </w:pPr>
      <w:r>
        <w:rPr>
          <w:rFonts w:ascii="Garamond" w:cs="Garamond" w:eastAsia="Garamond" w:hAnsi="Garamond"/>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863"/>
        <w:jc w:val="both"/>
      </w:pPr>
      <w:r>
        <w:rPr>
          <w:rFonts w:ascii="Garamond" w:cs="Garamond" w:eastAsia="Garamond" w:hAnsi="Garamond"/>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All treaty emergency operations are subject to the full PM funding certification requirement under §2.1.d from the moment of invocation.</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1296"/>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1296"/>
        <w:jc w:val="both"/>
      </w:pPr>
      <w:r>
        <w:rPr>
          <w:rFonts w:ascii="Garamond" w:cs="Garamond" w:eastAsia="Garamond" w:hAnsi="Garamond"/>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1296"/>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1296"/>
        <w:jc w:val="both"/>
      </w:pPr>
      <w:r>
        <w:rPr>
          <w:rFonts w:ascii="Garamond" w:cs="Garamond" w:eastAsia="Garamond" w:hAnsi="Garamond"/>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1296"/>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1296"/>
        <w:jc w:val="both"/>
      </w:pPr>
      <w:r>
        <w:rPr>
          <w:rFonts w:ascii="Garamond" w:cs="Garamond" w:eastAsia="Garamond" w:hAnsi="Garamond"/>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1296"/>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1296"/>
        <w:jc w:val="both"/>
      </w:pPr>
      <w:r>
        <w:rPr>
          <w:rFonts w:ascii="Garamond" w:cs="Garamond" w:eastAsia="Garamond" w:hAnsi="Garamond"/>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863"/>
        <w:jc w:val="both"/>
      </w:pPr>
      <w:r>
        <w:rPr>
          <w:rFonts w:ascii="Garamond" w:cs="Garamond" w:eastAsia="Garamond" w:hAnsi="Garamond"/>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863"/>
        <w:jc w:val="both"/>
      </w:pPr>
      <w:r>
        <w:rPr>
          <w:rFonts w:ascii="Garamond" w:cs="Garamond" w:eastAsia="Garamond" w:hAnsi="Garamond"/>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863"/>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431"/>
        <w:jc w:val="both"/>
      </w:pPr>
      <w:r>
        <w:rPr>
          <w:rFonts w:ascii="Garamond" w:cs="Garamond" w:eastAsia="Garamond" w:hAnsi="Garamond"/>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Indigenous Nation Compact — 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An Indigenous Nation may enter a compact with the Republic by submitting a compact proposal to the Senate. The Senate must respond within 90 days. Compact terms are negotiated between the Nation and the PM's domestic affairs office, with JI oversight. Compacts take effect upon 2/3 Senate ratification and Indigenous Nation ratification by their own constitutional process.</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through the FPIC framework.</w:t>
      </w:r>
    </w:p>
    <w:p>
      <w:pPr>
        <w:spacing w:after="60" w:before="200"/>
        <w:ind w:left="431"/>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431"/>
        <w:jc w:val="both"/>
      </w:pPr>
      <w:r>
        <w:rPr>
          <w:rFonts w:ascii="Garamond" w:cs="Garamond" w:eastAsia="Garamond" w:hAnsi="Garamond"/>
          <w:color w:val="2a2520"/>
          <w:sz w:val="22"/>
          <w:szCs w:val="22"/>
        </w:rPr>
        <w:t xml:space="preserve">An indigenous nation with an established compact under Article XIV holds the constitutional right to initiate a status transition through its own democratic or traditional governance process. Four status options are available: (a) Compact Status — continued Article XIV compact relationship (default; no election required to remain); (b) Associated Community Status — the Article XIV compact transitions to an Article XX compact relationship under §20.1; (c) Territorial Integration — election to pursue territorial incorporation through §13.6; (d) Full Sovereign Independence — the nation exists outside the Republic's constitutional framework as a fully independent sovereign nation, with the Republic obligated to negotiate a treaty within 24 months governing borders, trade, citizenship, and infrastructure. The Republic may not prefer, discourage, or offer inducements toward any option. The Republic must provide factual information about each status upon request.</w:t>
      </w:r>
    </w:p>
    <w:p>
      <w:pPr>
        <w:spacing w:after="60" w:before="200"/>
        <w:ind w:left="863"/>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863"/>
        <w:jc w:val="both"/>
      </w:pPr>
      <w:r>
        <w:rPr>
          <w:rFonts w:ascii="Garamond" w:cs="Garamond" w:eastAsia="Garamond" w:hAnsi="Garamond"/>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nation that elects Full Sovereign Independence under §14.7(d) may not subsequently re-enter Article XIV compact status — subsequent association with the Republic follows §20 or §13.6 as a sovereign entity. At ratification, the Republic must formally notify all recognized indigenous compact nations of their rights under §14.7.</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863"/>
        <w:jc w:val="both"/>
      </w:pPr>
      <w:r>
        <w:rPr>
          <w:rFonts w:ascii="Garamond" w:cs="Garamond" w:eastAsia="Garamond" w:hAnsi="Garamond"/>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Territorial Integrity</w:t>
      </w:r>
    </w:p>
    <w:p>
      <w:pPr>
        <w:spacing w:after="120" w:before="0"/>
        <w:ind w:left="863"/>
        <w:jc w:val="both"/>
      </w:pPr>
      <w:r>
        <w:rPr>
          <w:rFonts w:ascii="Garamond" w:cs="Garamond" w:eastAsia="Garamond" w:hAnsi="Garamond"/>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863"/>
        <w:jc w:val="both"/>
      </w:pPr>
      <w:r>
        <w:rPr>
          <w:rFonts w:ascii="Garamond" w:cs="Garamond" w:eastAsia="Garamond" w:hAnsi="Garamond"/>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431"/>
        <w:jc w:val="both"/>
      </w:pPr>
      <w:r>
        <w:rPr>
          <w:rFonts w:ascii="Garamond" w:cs="Garamond" w:eastAsia="Garamond" w:hAnsi="Garamond"/>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863"/>
        <w:jc w:val="both"/>
      </w:pPr>
      <w:r>
        <w:rPr>
          <w:rFonts w:ascii="Garamond" w:cs="Garamond" w:eastAsia="Garamond" w:hAnsi="Garamond"/>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863"/>
        <w:jc w:val="both"/>
      </w:pPr>
      <w:r>
        <w:rPr>
          <w:rFonts w:ascii="Garamond" w:cs="Garamond" w:eastAsia="Garamond" w:hAnsi="Garamond"/>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863"/>
        <w:jc w:val="both"/>
      </w:pPr>
      <w:r>
        <w:rPr>
          <w:rFonts w:ascii="Garamond" w:cs="Garamond" w:eastAsia="Garamond" w:hAnsi="Garamond"/>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863"/>
        <w:jc w:val="both"/>
      </w:pPr>
      <w:r>
        <w:rPr>
          <w:rFonts w:ascii="Garamond" w:cs="Garamond" w:eastAsia="Garamond" w:hAnsi="Garamond"/>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863"/>
        <w:jc w:val="both"/>
      </w:pPr>
      <w:r>
        <w:rPr>
          <w:rFonts w:ascii="Garamond" w:cs="Garamond" w:eastAsia="Garamond" w:hAnsi="Garamond"/>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§15.4 and §15.5, automatic reversion under §17.3.b does not immediately apply to Operational Use Rights within the departing territory. Use rights continue under the terms of the framework agreement and independence treaty negotiated under §15.5.a.</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863"/>
        <w:jc w:val="both"/>
      </w:pPr>
      <w:r>
        <w:rPr>
          <w:rFonts w:ascii="Garamond" w:cs="Garamond" w:eastAsia="Garamond" w:hAnsi="Garamond"/>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Adequate Allocation</w:t>
      </w:r>
    </w:p>
    <w:p>
      <w:pPr>
        <w:spacing w:after="120" w:before="0"/>
        <w:ind w:left="863"/>
        <w:jc w:val="both"/>
      </w:pPr>
      <w:r>
        <w:rPr>
          <w:rFonts w:ascii="Garamond" w:cs="Garamond" w:eastAsia="Garamond" w:hAnsi="Garamond"/>
          <w:color w:val="2a2520"/>
          <w:sz w:val="22"/>
          <w:szCs w:val="22"/>
        </w:rPr>
        <w:t xml:space="preserve">Media and Communication Standards — campaign communications must clearly identify their sponsor. Fabricated or deceptively edited communications about other candidates are prohibited. Violations are reportable to the EI and may result in contribution return orders.</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Optional Participation</w:t>
      </w:r>
    </w:p>
    <w:p>
      <w:pPr>
        <w:spacing w:after="120" w:before="0"/>
        <w:ind w:left="863"/>
        <w:jc w:val="both"/>
      </w:pPr>
      <w:r>
        <w:rPr>
          <w:rFonts w:ascii="Garamond" w:cs="Garamond" w:eastAsia="Garamond" w:hAnsi="Garamond"/>
          <w:color w:val="2a2520"/>
          <w:sz w:val="22"/>
          <w:szCs w:val="22"/>
        </w:rPr>
        <w:t xml:space="preserve">Foreign Interference — any attempt by a foreign government, foreign national, or foreign-controlled entity to influence a Republic election is a constitutional breach. Both the EI and the President's intelligence domain have concurrent obligations to monitor and report foreign electoral interference. The EC must publish any credible foreign interference finding to the NRS within 24 hours of identification.</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EC Administration</w:t>
      </w:r>
    </w:p>
    <w:p>
      <w:pPr>
        <w:spacing w:after="120" w:before="0"/>
        <w:ind w:left="863"/>
        <w:jc w:val="both"/>
      </w:pPr>
      <w:r>
        <w:rPr>
          <w:rFonts w:ascii="Garamond" w:cs="Garamond" w:eastAsia="Garamond" w:hAnsi="Garamond"/>
          <w:color w:val="2a2520"/>
          <w:sz w:val="22"/>
          <w:szCs w:val="22"/>
        </w:rPr>
        <w:t xml:space="preserve">Incumbent Advantage Rules — constitutional officeholders standing for election in a different race must observe strict separation between their official functions and their campaign activities. Official resources — staff, communications, facilities — may not be used for campaign purposes. The EI audits incumbent campaigns for compliance.</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Separation from the Voting System</w:t>
      </w:r>
    </w:p>
    <w:p>
      <w:pPr>
        <w:spacing w:after="120" w:before="0"/>
        <w:ind w:left="863"/>
        <w:jc w:val="both"/>
      </w:pPr>
      <w:r>
        <w:rPr>
          <w:rFonts w:ascii="Garamond" w:cs="Garamond" w:eastAsia="Garamond" w:hAnsi="Garamond"/>
          <w:color w:val="2a2520"/>
          <w:sz w:val="22"/>
          <w:szCs w:val="22"/>
        </w:rPr>
        <w:t xml:space="preserve">Public Campaign Financing Structure — consistent with §10.3.a, the public financing system provides all registered candidates with equal baseline funding. Candidates who opt into the public system accept the contribution cap in exchange for public funding. Candidates who opt out may raise private contributions but must comply with all disclosure and contribution limit requirements.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Registry Contents</w:t>
      </w:r>
    </w:p>
    <w:p>
      <w:pPr>
        <w:spacing w:after="120" w:before="0"/>
        <w:ind w:left="863"/>
        <w:jc w:val="both"/>
      </w:pPr>
      <w:r>
        <w:rPr>
          <w:rFonts w:ascii="Garamond" w:cs="Garamond" w:eastAsia="Garamond" w:hAnsi="Garamond"/>
          <w:color w:val="2a2520"/>
          <w:sz w:val="22"/>
          <w:szCs w:val="22"/>
        </w:rPr>
        <w:t xml:space="preserve">Matching Funds — the Legislature may by statute create a matching funds component providing additional public funds that match small contributions from citizens. Matching funds incentivize broad citizen participation in campaign financing rather than reliance on a small number of large donors.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Aggregate Attribution</w:t>
      </w:r>
    </w:p>
    <w:p>
      <w:pPr>
        <w:spacing w:after="120" w:before="0"/>
        <w:ind w:left="863"/>
        <w:jc w:val="both"/>
      </w:pPr>
      <w:r>
        <w:rPr>
          <w:rFonts w:ascii="Garamond" w:cs="Garamond" w:eastAsia="Garamond" w:hAnsi="Garamond"/>
          <w:color w:val="2a2520"/>
          <w:sz w:val="22"/>
          <w:szCs w:val="22"/>
        </w:rPr>
        <w:t xml:space="preserve">EC Allocation of Public Funds — the EC allocates public campaign funds based on objective criteria published before each election cycle. Allocation criteria may not be set in a way that systematically advantages incumbents or established parties.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Beginning the day the first Legislature convenes and the first executives take the constitutional oath. From Phase 4, all constitutional provisions are fully operative. The 18-month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§15.4-15.5, to independent nations outside the Republic seeking a defined relationship, or to nations recognised as pre-existing sovereigns under Article XIV.</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431"/>
        <w:jc w:val="both"/>
      </w:pPr>
      <w:r>
        <w:rPr>
          <w:rFonts w:ascii="Garamond" w:cs="Garamond" w:eastAsia="Garamond" w:hAnsi="Garamond"/>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w:t>
      </w:r>
    </w:p>
    <w:p>
      <w:pPr>
        <w:spacing w:after="60" w:before="200"/>
        <w:ind w:left="431"/>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431"/>
        <w:jc w:val="both"/>
      </w:pPr>
      <w:r>
        <w:rPr>
          <w:rFonts w:ascii="Garamond" w:cs="Garamond" w:eastAsia="Garamond" w:hAnsi="Garamond"/>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2026-05-18T16:13:55.490Z</dcterms:created>
  <dcterms:modified xsi:type="dcterms:W3CDTF">2026-05-18T16:13:55.490Z</dcterms:modified>
</cp:coreProperties>
</file>

<file path=docProps/custom.xml><?xml version="1.0" encoding="utf-8"?>
<Properties xmlns="http://schemas.openxmlformats.org/officeDocument/2006/custom-properties" xmlns:vt="http://schemas.openxmlformats.org/officeDocument/2006/docPropsVTypes"/>
</file>