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PREAMBLE</w:t>
      </w:r>
    </w:p>
    <w:p>
      <w:pPr>
        <w:spacing w:after="60" w:before="60"/>
      </w:pPr>
      <w:r>
        <w:rPr>
          <w:rFonts w:ascii="Arial" w:cs="Arial" w:eastAsia="Arial" w:hAnsi="Arial"/>
          <w:color w:val="000000"/>
          <w:sz w:val="22"/>
          <w:szCs w:val="22"/>
        </w:rPr>
        <w:t>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 — THE INDIVIDUAL SOVEREIGNTY FLOOR</w:t>
      </w:r>
    </w:p>
    <w:p>
      <w:pPr>
        <w:spacing w:after="60" w:before="60"/>
      </w:pPr>
      <w:r>
        <w:rPr>
          <w:rFonts w:ascii="Arial" w:cs="Arial" w:eastAsia="Arial" w:hAnsi="Arial"/>
          <w:color w:val="000000"/>
          <w:sz w:val="22"/>
          <w:szCs w:val="22"/>
        </w:rPr>
        <w:t>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A — Personal Integrity (§§ 1.0 – 1.3)  —</w:t>
      </w:r>
    </w:p>
    <w:p>
      <w:pPr>
        <w:pStyle w:val="Heading2"/>
      </w:pPr>
      <w:r>
        <w:rPr>
          <w:b/>
        </w:rPr>
        <w:t>Section 1.0 — Right of Access to Courts</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Section 1.1 — Right to Life</w:t>
      </w:r>
    </w:p>
    <w:p>
      <w:pPr>
        <w:spacing w:after="60" w:before="60"/>
      </w:pPr>
      <w:r>
        <w:rPr>
          <w:rFonts w:ascii="Arial" w:cs="Arial" w:eastAsia="Arial" w:hAnsi="Arial"/>
          <w:color w:val="000000"/>
          <w:sz w:val="22"/>
          <w:szCs w:val="22"/>
        </w:rPr>
        <w:t>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Section 1.3 — Prohibition of Slavery and Forced Labor</w:t>
      </w:r>
    </w:p>
    <w:p>
      <w:pPr>
        <w:spacing w:after="60" w:before="60"/>
      </w:pPr>
      <w:r>
        <w:rPr>
          <w:rFonts w:ascii="Arial" w:cs="Arial" w:eastAsia="Arial" w:hAnsi="Arial"/>
          <w:color w:val="000000"/>
          <w:sz w:val="22"/>
          <w:szCs w:val="22"/>
        </w:rPr>
        <w:t>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B — Civil and Political Liberties (§§ 1.4 – 1.7)  —</w:t>
      </w:r>
    </w:p>
    <w:p>
      <w:pPr>
        <w:pStyle w:val="Heading2"/>
        <w:spacing w:after="80" w:before="200"/>
      </w:pPr>
      <w:r>
        <w:rPr>
          <w:rFonts w:ascii="Arial" w:cs="Arial" w:eastAsia="Arial" w:hAnsi="Arial"/>
          <w:b/>
          <w:bCs/>
          <w:color w:val="4A6FA5"/>
          <w:sz w:val="24"/>
          <w:szCs w:val="24"/>
        </w:rPr>
        <w:t>Section 1.4 — Freedom of Expression</w:t>
      </w:r>
    </w:p>
    <w:p>
      <w:pPr>
        <w:spacing w:after="60" w:before="60"/>
      </w:pPr>
      <w:r>
        <w:rPr>
          <w:rFonts w:ascii="Arial" w:cs="Arial" w:eastAsia="Arial" w:hAnsi="Arial"/>
          <w:color w:val="000000"/>
          <w:sz w:val="22"/>
          <w:szCs w:val="22"/>
        </w:rPr>
        <w:t>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Section 1.5 — Freedom of Thought, Conscience, and Religion</w:t>
      </w:r>
    </w:p>
    <w:p>
      <w:pPr>
        <w:spacing w:after="60" w:before="60"/>
      </w:pPr>
      <w:r>
        <w:rPr>
          <w:rFonts w:ascii="Arial" w:cs="Arial" w:eastAsia="Arial" w:hAnsi="Arial"/>
          <w:color w:val="000000"/>
          <w:sz w:val="22"/>
          <w:szCs w:val="22"/>
        </w:rPr>
        <w:t>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1.6 — Freedom of Association</w:t>
      </w:r>
    </w:p>
    <w:p>
      <w:pPr>
        <w:spacing w:after="60" w:before="60"/>
      </w:pPr>
      <w:r>
        <w:rPr>
          <w:rFonts w:ascii="Arial" w:cs="Arial" w:eastAsia="Arial" w:hAnsi="Arial"/>
          <w:color w:val="000000"/>
          <w:sz w:val="22"/>
          <w:szCs w:val="22"/>
        </w:rPr>
        <w:t>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C — Equality (§ 1.8)  —</w:t>
      </w:r>
    </w:p>
    <w:p>
      <w:pPr>
        <w:pStyle w:val="Heading2"/>
        <w:spacing w:after="80" w:before="200"/>
      </w:pPr>
      <w:r>
        <w:rPr>
          <w:rFonts w:ascii="Arial" w:cs="Arial" w:eastAsia="Arial" w:hAnsi="Arial"/>
          <w:b/>
          <w:bCs/>
          <w:color w:val="4A6FA5"/>
          <w:sz w:val="24"/>
          <w:szCs w:val="24"/>
        </w:rPr>
        <w:t>Section 1.8 — Equality Before the Law</w:t>
      </w:r>
    </w:p>
    <w:p>
      <w:pPr>
        <w:spacing w:after="60" w:before="60"/>
      </w:pPr>
      <w:r>
        <w:t>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D — Privacy, Property and Economic Rights (§§ 1.9 – 1.12)  —</w:t>
      </w:r>
    </w:p>
    <w:p>
      <w:pPr>
        <w:pStyle w:val="Heading2"/>
        <w:spacing w:after="80" w:before="200"/>
      </w:pPr>
      <w:r>
        <w:rPr>
          <w:rFonts w:ascii="Arial" w:cs="Arial" w:eastAsia="Arial" w:hAnsi="Arial"/>
          <w:b/>
          <w:bCs/>
          <w:color w:val="4A6FA5"/>
          <w:sz w:val="24"/>
          <w:szCs w:val="24"/>
        </w:rPr>
        <w:t>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Section 1.12 — Freedom of Movement and Labor</w:t>
      </w:r>
    </w:p>
    <w:p>
      <w:pPr>
        <w:spacing w:after="60" w:before="60"/>
      </w:pPr>
      <w:r>
        <w:rPr>
          <w:rFonts w:ascii="Arial" w:cs="Arial" w:eastAsia="Arial" w:hAnsi="Arial"/>
          <w:color w:val="000000"/>
          <w:sz w:val="22"/>
          <w:szCs w:val="22"/>
        </w:rPr>
        <w:t>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E — Criminal Justice Rights (§§ 1.13 – 1.18)  —</w:t>
      </w:r>
    </w:p>
    <w:p>
      <w:pPr>
        <w:pStyle w:val="Heading2"/>
        <w:spacing w:after="80" w:before="200"/>
      </w:pPr>
      <w:r>
        <w:rPr>
          <w:rFonts w:ascii="Arial" w:cs="Arial" w:eastAsia="Arial" w:hAnsi="Arial"/>
          <w:b/>
          <w:bCs/>
          <w:color w:val="4A6FA5"/>
          <w:sz w:val="24"/>
          <w:szCs w:val="24"/>
        </w:rPr>
        <w:t>Section 1.13 — Right Against Arbitrary Detention</w:t>
      </w:r>
    </w:p>
    <w:p>
      <w:pPr>
        <w:spacing w:after="60" w:before="60"/>
      </w:pPr>
      <w:r>
        <w:rPr>
          <w:rFonts w:ascii="Arial" w:cs="Arial" w:eastAsia="Arial" w:hAnsi="Arial"/>
          <w:color w:val="000000"/>
          <w:sz w:val="22"/>
          <w:szCs w:val="22"/>
        </w:rPr>
        <w:t>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Section 1.16 — Right to Silence and Protection from Self-Incrimination</w:t>
      </w:r>
    </w:p>
    <w:p>
      <w:pPr>
        <w:spacing w:after="60" w:before="60"/>
      </w:pPr>
      <w:r>
        <w:rPr>
          <w:rFonts w:ascii="Arial" w:cs="Arial" w:eastAsia="Arial" w:hAnsi="Arial"/>
          <w:color w:val="000000"/>
          <w:sz w:val="22"/>
          <w:szCs w:val="22"/>
        </w:rPr>
        <w:t>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Section 1.17 — Right to a Public Trial</w:t>
      </w:r>
    </w:p>
    <w:p>
      <w:pPr>
        <w:spacing w:after="60" w:before="60"/>
      </w:pPr>
      <w:r>
        <w:rPr>
          <w:rFonts w:ascii="Arial" w:cs="Arial" w:eastAsia="Arial" w:hAnsi="Arial"/>
          <w:color w:val="000000"/>
          <w:sz w:val="22"/>
          <w:szCs w:val="22"/>
        </w:rPr>
        <w:t>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Part F — Social and Community Rights (§§ 1.20 – 1.24)  —</w:t>
      </w:r>
    </w:p>
    <w:p>
      <w:pPr/>
      <w:r>
        <w:rPr>
          <w:b/>
        </w:rPr>
        <w:t>—  Part F (preface) — Democratic and Participation Rights (§ 1.19)  —</w:t>
      </w:r>
    </w:p>
    <w:p>
      <w:pPr>
        <w:pStyle w:val="Heading2"/>
        <w:spacing w:after="80" w:before="200"/>
      </w:pPr>
      <w:r>
        <w:rPr>
          <w:rFonts w:ascii="Arial" w:cs="Arial" w:eastAsia="Arial" w:hAnsi="Arial"/>
          <w:b/>
          <w:bCs/>
          <w:color w:val="4A6FA5"/>
          <w:sz w:val="24"/>
          <w:szCs w:val="24"/>
        </w:rPr>
        <w:t>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Section 1.20 — Right to Marry and Found a Family</w:t>
      </w:r>
    </w:p>
    <w:p>
      <w:pPr>
        <w:spacing w:after="60" w:before="60"/>
      </w:pPr>
      <w:r>
        <w:rPr>
          <w:rFonts w:ascii="Arial" w:cs="Arial" w:eastAsia="Arial" w:hAnsi="Arial"/>
          <w:color w:val="000000"/>
          <w:sz w:val="22"/>
          <w:szCs w:val="22"/>
        </w:rPr>
        <w:t>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Section 1.21 — Rights of Children</w:t>
      </w:r>
    </w:p>
    <w:p>
      <w:pPr>
        <w:spacing w:after="60" w:before="60"/>
      </w:pPr>
      <w:r>
        <w:t>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Style w:val="Heading2"/>
      </w:pPr>
      <w:r>
        <w:t>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Section 1.27 — Non-Refoulement</w:t>
      </w:r>
    </w:p>
    <w:p>
      <w:r>
        <w:rPr>
          <w:rFonts w:ascii="Arial" w:hAnsi="Arial"/>
          <w:b/>
          <w:sz w:val="22"/>
        </w:rPr>
        <w:t xml:space="preserve">1.27 Non-Refoulement: </w:t>
      </w:r>
      <w:r>
        <w:rPr>
          <w:rFonts w:ascii="Arial" w:hAnsi="Arial"/>
          <w:sz w:val="22"/>
        </w:rPr>
        <w:t>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§2.7;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60" w:before="60"/>
        <w:ind w:left="720" w:hanging="360"/>
      </w:pPr>
      <w:r>
        <w:rPr>
          <w:b/>
        </w:rPr>
        <w:t xml:space="preserve">2.1.h Dual Executive Conflict Resolution During Active Operations: </w:t>
      </w:r>
      <w: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0" w:before="120"/>
      </w:pPr>
      <w:r>
        <w:t xml:space="preserve"/>
      </w:r>
    </w:p>
    <w:p>
      <w:pPr>
        <w:pStyle w:val="Heading2"/>
        <w:spacing w:after="80" w:before="200"/>
      </w:pPr>
      <w:r>
        <w:rPr>
          <w:rFonts w:ascii="Arial" w:cs="Arial" w:eastAsia="Arial" w:hAnsi="Arial"/>
          <w:b/>
          <w:bCs/>
          <w:color w:val="4A6FA5"/>
          <w:sz w:val="24"/>
          <w:szCs w:val="24"/>
        </w:rPr>
        <w:t>Section 2.2 — The Prime Minister</w:t>
      </w:r>
    </w:p>
    <w:p>
      <w:pPr>
        <w:spacing w:after="60" w:before="60"/>
      </w:pPr>
      <w:r>
        <w:rPr>
          <w:rFonts w:ascii="Arial" w:cs="Arial" w:eastAsia="Arial" w:hAnsi="Arial"/>
          <w:color w:val="000000"/>
          <w:sz w:val="22"/>
          <w:szCs w:val="22"/>
        </w:rPr>
        <w:t>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60" w:before="60"/>
        <w:ind w:left="720" w:hanging="360"/>
      </w:pPr>
      <w:r>
        <w:rPr>
          <w:b/>
        </w:rPr>
        <w:t xml:space="preserve">2.2.g Ministerial Appointments: </w:t>
      </w:r>
      <w: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0" w:before="120"/>
      </w:pPr>
      <w:r>
        <w:t xml:space="preserve"/>
      </w:r>
    </w:p>
    <w:p>
      <w:pPr>
        <w:pStyle w:val="Heading2"/>
        <w:spacing w:after="80" w:before="200"/>
      </w:pPr>
      <w:r>
        <w:rPr>
          <w:rFonts w:ascii="Arial" w:cs="Arial" w:eastAsia="Arial" w:hAnsi="Arial"/>
          <w:b/>
          <w:bCs/>
          <w:color w:val="4A6FA5"/>
          <w:sz w:val="24"/>
          <w:szCs w:val="24"/>
        </w:rPr>
        <w:t>Section 2.3 — PM Selection and Removal by the House</w:t>
      </w:r>
    </w:p>
    <w:p>
      <w:pPr>
        <w:spacing w:after="60" w:before="60"/>
      </w:pPr>
      <w:r>
        <w:rPr>
          <w:rFonts w:ascii="Arial" w:cs="Arial" w:eastAsia="Arial" w:hAnsi="Arial"/>
          <w:color w:val="000000"/>
          <w:sz w:val="22"/>
          <w:szCs w:val="22"/>
        </w:rPr>
        <w:t>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Exception — Military Fund Certification: The Caretaker PM retains the full fund certification authority of §2.1.d for military operations that were active and duly authorized at the date of the PM vacancy — including ongoing Tier 2 and Tier 3 operations. The Caretaker PM may not issue fund certification for a new Tier 2 authorization arising during the vacancy period unless the Senate Armed Services Committee has additionally certified in writing that operational necessity requires immediate fund authorization before a permanent PM can be seated. That certification is published to the National Record System within 6 hours of issuance.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 </w:t>
      </w:r>
      <w:r>
        <w:rPr>
          <w:rFonts w:ascii="Arial" w:cs="Arial" w:eastAsia="Arial" w:hAnsi="Arial"/>
          <w:color w:val="000000"/>
          <w:sz w:val="22"/>
          <w:szCs w:val="22"/>
        </w:rPr>
        <w:t>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Rule Violation for both the PM and the most senior SC justice.</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Section 2.7 — Constitutional Violations and Automatic Consequences</w:t>
      </w:r>
    </w:p>
    <w:p>
      <w:pPr>
        <w:spacing w:after="60" w:before="60"/>
      </w:pPr>
      <w:r>
        <w:rPr>
          <w:rFonts w:ascii="Arial" w:cs="Arial" w:eastAsia="Arial" w:hAnsi="Arial"/>
          <w:color w:val="000000"/>
          <w:sz w:val="22"/>
          <w:szCs w:val="22"/>
        </w:rPr>
        <w:t>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legislative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Section 2.8 — Emergency Governance Protocol</w:t>
      </w:r>
    </w:p>
    <w:p>
      <w:pPr>
        <w:spacing w:after="60" w:before="60"/>
      </w:pPr>
      <w:r>
        <w:rPr>
          <w:rFonts w:ascii="Arial" w:cs="Arial" w:eastAsia="Arial" w:hAnsi="Arial"/>
          <w:color w:val="000000"/>
          <w:sz w:val="22"/>
          <w:szCs w:val="22"/>
        </w:rPr>
        <w:t>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The President may be removed through two political tracks independent of the §2.7 Rule Violation accountability process.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pPr>
      <w:r>
        <w:rPr>
          <w:b/>
        </w:rPr>
        <w:t xml:space="preserve">2.10.c One Referral Per Term: </w:t>
      </w:r>
      <w:r>
        <w:t>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r>
        <w:rPr>
          <w:b/>
        </w:rPr>
        <w:t xml:space="preserve">3.1.f House Term Limits: </w:t>
      </w:r>
      <w: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post-dissolution election bar serves both periods concurrently from the later start date.</w:t>
      </w:r>
    </w:p>
    <w:p>
      <w:pPr>
        <w:spacing w:after="0" w:before="120"/>
      </w:pPr>
      <w:r>
        <w:t xml:space="preserve"/>
      </w:r>
    </w:p>
    <w:p>
      <w:pPr>
        <w:pStyle w:val="Heading2"/>
        <w:spacing w:after="80" w:before="200"/>
      </w:pPr>
      <w:r>
        <w:rPr>
          <w:rFonts w:ascii="Arial" w:cs="Arial" w:eastAsia="Arial" w:hAnsi="Arial"/>
          <w:b/>
          <w:bCs/>
          <w:color w:val="4A6FA5"/>
          <w:sz w:val="24"/>
          <w:szCs w:val="24"/>
        </w:rPr>
        <w:t>Section 3.2 — The Senate</w:t>
      </w:r>
    </w:p>
    <w:p>
      <w:pPr>
        <w:spacing w:after="60" w:before="60"/>
      </w:pPr>
      <w:r>
        <w:rPr>
          <w:rFonts w:ascii="Arial" w:cs="Arial" w:eastAsia="Arial" w:hAnsi="Arial"/>
          <w:color w:val="000000"/>
          <w:sz w:val="22"/>
          <w:szCs w:val="22"/>
        </w:rPr>
        <w:t>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r>
        <w:rPr>
          <w:b/>
        </w:rPr>
        <w:t xml:space="preserve">3.2.e.i Treaty Domestic Application: </w:t>
      </w:r>
      <w:r>
        <w:t xml:space="preserve">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r>
        <w:rPr>
          <w:b/>
        </w:rPr>
        <w:t xml:space="preserve">3.2.e.ii Treaty Withdrawal: </w:t>
      </w:r>
      <w:r>
        <w:t xml:space="preserve">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
(a)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
(b)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
(c)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
(d) All withdrawal notices, Senate blocking votes, Senate confirmation votes, and withdrawal completion dates are published to the National Record System and constitute permanent entries in the Republic's constitutional record.</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Section 3.5 — Impeachment Initiation (House-Originated)</w:t>
      </w:r>
    </w:p>
    <w:p>
      <w:pPr>
        <w:spacing w:after="60" w:before="60"/>
      </w:pPr>
      <w:r>
        <w:t>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Section 3.6 — Legislative Expulsion by Peers</w:t>
      </w:r>
    </w:p>
    <w:p>
      <w:pPr>
        <w:spacing w:after="60" w:before="60"/>
      </w:pPr>
      <w:r>
        <w:rPr>
          <w:rFonts w:ascii="Arial" w:cs="Arial" w:eastAsia="Arial" w:hAnsi="Arial"/>
          <w:color w:val="000000"/>
          <w:sz w:val="22"/>
          <w:szCs w:val="22"/>
        </w:rPr>
        <w:t>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Section 4.1 — Court Structure</w:t>
      </w:r>
    </w:p>
    <w:p>
      <w:pPr>
        <w:spacing w:after="60" w:before="60"/>
      </w:pPr>
      <w:r>
        <w:rPr>
          <w:rFonts w:ascii="Arial" w:cs="Arial" w:eastAsia="Arial" w:hAnsi="Arial"/>
          <w:color w:val="000000"/>
          <w:sz w:val="22"/>
          <w:szCs w:val="22"/>
        </w:rPr>
        <w:t>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Legislature-defined period; the Supreme Court commissions all confirmed judges. If the House fails to vote on any nomination within the Legislature-defined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 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r>
        <w:rPr>
          <w:b/>
        </w:rPr>
        <w:t xml:space="preserve">4.1.d Judicial Tenure Protection: </w:t>
      </w:r>
      <w: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three-track removal system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0" w:before="120"/>
      </w:pPr>
      <w:r>
        <w:t xml:space="preserve"/>
      </w:r>
    </w:p>
    <w:p>
      <w:pPr>
        <w:pStyle w:val="Heading2"/>
        <w:spacing w:after="80" w:before="200"/>
      </w:pPr>
      <w:r>
        <w:rPr>
          <w:rFonts w:ascii="Arial" w:cs="Arial" w:eastAsia="Arial" w:hAnsi="Arial"/>
          <w:b/>
          <w:bCs/>
          <w:color w:val="4A6FA5"/>
          <w:sz w:val="24"/>
          <w:szCs w:val="24"/>
        </w:rPr>
        <w:t>Section 4.2 — The Supreme Court</w:t>
      </w:r>
    </w:p>
    <w:p>
      <w:pPr>
        <w:spacing w:after="80" w:before="200"/>
      </w:pPr>
      <w:r>
        <w:t>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The Senate, the PM, and the President each nominate one candidate per open seat from the Qualified Jurist Registry. The Judicial Inspectorate maintains the Registry and certifies that each nominee meets the eligibility criteria of §8.4.a before the public election proceeds. All three nominations must be submitted and certified before any public election is scheduled. A Triad nominator who fails to submit a nomination within the Legislature-defined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Where a Supreme Court seat becomes vacant mid-term through death, resignation, removal, or expulsion, a special election is held within 90 days. The President and PM each nominate one candidate from the Qualified Jurist Registry within a Legislature-defined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Legislature-defined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ind w:left="720" w:hanging="360"/>
      </w:pPr>
      <w:r>
        <w:rPr>
          <w:rFonts w:ascii="Arial" w:cs="Arial" w:eastAsia="Arial" w:hAnsi="Arial"/>
          <w:b/>
          <w:bCs/>
          <w:color w:val="4A6FA5"/>
          <w:sz w:val="22"/>
          <w:szCs w:val="22"/>
        </w:rPr>
        <w:t xml:space="preserve">4.2.e Emergency Panel for Tier 1 Scope Challenges: </w:t>
      </w:r>
      <w:r>
        <w:rPr>
          <w:rFonts w:ascii="Arial" w:cs="Arial" w:eastAsia="Arial" w:hAnsi="Arial"/>
          <w:color w:val="000000"/>
          <w:sz w:val="22"/>
          <w:szCs w:val="22"/>
        </w:rPr>
        <w:t>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ind w:left="720" w:hanging="360"/>
      </w:pPr>
      <w:r>
        <w:rPr>
          <w:rFonts w:ascii="Arial" w:cs="Arial" w:eastAsia="Arial" w:hAnsi="Arial"/>
          <w:b/>
          <w:bCs/>
          <w:color w:val="4A6FA5"/>
          <w:sz w:val="22"/>
          <w:szCs w:val="22"/>
        </w:rPr>
        <w:t xml:space="preserve">4.2.f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4.2.g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r>
        <w:rPr>
          <w:b/>
        </w:rPr>
        <w:t xml:space="preserve">4.3.b Organizational Standing: </w:t>
      </w:r>
      <w: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r>
        <w:rPr>
          <w:b/>
        </w:rPr>
        <w:t xml:space="preserve">4.3.c Ripeness and Mootness: </w:t>
      </w:r>
      <w: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Style w:val="Heading2"/>
        <w:spacing w:after="80" w:before="200"/>
      </w:pPr>
      <w:r>
        <w:rPr>
          <w:rFonts w:ascii="Arial" w:cs="Arial" w:eastAsia="Arial" w:hAnsi="Arial"/>
          <w:b/>
          <w:bCs/>
          <w:color w:val="4A6FA5"/>
          <w:sz w:val="24"/>
          <w:szCs w:val="24"/>
        </w:rPr>
        <w:t>Section 4.4 — Interstate Recognition of Judgments and Public Acts</w:t>
      </w:r>
    </w:p>
    <w:p>
      <w:pPr>
        <w:spacing w:after="60" w:before="60"/>
      </w:pPr>
      <w:r>
        <w:rPr>
          <w:rFonts w:ascii="Arial" w:cs="Arial" w:eastAsia="Arial" w:hAnsi="Arial"/>
          <w:color w:val="000000"/>
          <w:sz w:val="22"/>
          <w:szCs w:val="22"/>
        </w:rPr>
        <w:t>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 — CITIZENSHIP, RESIDENCY, AND NATIONAL IDENTITY</w:t>
      </w:r>
    </w:p>
    <w:p>
      <w:pPr>
        <w:spacing w:after="60" w:before="60"/>
      </w:pPr>
      <w:r>
        <w:rPr>
          <w:rFonts w:ascii="Arial" w:cs="Arial" w:eastAsia="Arial" w:hAnsi="Arial"/>
          <w:color w:val="000000"/>
          <w:sz w:val="22"/>
          <w:szCs w:val="22"/>
        </w:rPr>
        <w:t>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Section 5.1 — Citizens</w:t>
      </w:r>
    </w:p>
    <w:p>
      <w:pPr>
        <w:spacing w:after="60" w:before="60"/>
      </w:pPr>
      <w:r>
        <w:rPr>
          <w:rFonts w:ascii="Arial" w:cs="Arial" w:eastAsia="Arial" w:hAnsi="Arial"/>
          <w:color w:val="000000"/>
          <w:sz w:val="22"/>
          <w:szCs w:val="22"/>
        </w:rPr>
        <w:t>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A child is automatically a citizen if at least one parent is a Citizen or Legal Resident at birth. This status is permanent and irrevocable.</w:t>
      </w:r>
    </w:p>
    <w:p>
      <w:pPr>
        <w:spacing w:after="60" w:before="60"/>
        <w:ind w:left="720" w:hanging="360"/>
      </w:pPr>
      <w:r>
        <w:t>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Section 5.4 — The Constitutional Logic Test</w:t>
      </w:r>
    </w:p>
    <w:p>
      <w:pPr>
        <w:spacing w:after="60" w:before="60"/>
      </w:pPr>
      <w:r>
        <w:rPr>
          <w:rFonts w:ascii="Arial" w:cs="Arial" w:eastAsia="Arial" w:hAnsi="Arial"/>
          <w:color w:val="000000"/>
          <w:sz w:val="22"/>
          <w:szCs w:val="22"/>
        </w:rPr>
        <w:t>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 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legislative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 — IMMIGRATION AND RESIDENCY</w:t>
      </w:r>
    </w:p>
    <w:p>
      <w:pPr>
        <w:spacing w:after="60" w:before="60"/>
      </w:pPr>
      <w:r>
        <w:rPr>
          <w:rFonts w:ascii="Arial" w:cs="Arial" w:eastAsia="Arial" w:hAnsi="Arial"/>
          <w:color w:val="000000"/>
          <w:sz w:val="22"/>
          <w:szCs w:val="22"/>
        </w:rPr>
        <w:t>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Section 6.1 — The Dual-Gate System</w:t>
      </w:r>
    </w:p>
    <w:p>
      <w:pPr>
        <w:spacing w:after="60" w:before="60"/>
      </w:pPr>
      <w:r>
        <w:rPr>
          <w:rFonts w:ascii="Arial" w:cs="Arial" w:eastAsia="Arial" w:hAnsi="Arial"/>
          <w:color w:val="000000"/>
          <w:sz w:val="22"/>
          <w:szCs w:val="22"/>
        </w:rPr>
        <w:t>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Section 6.3 — Application Appeals</w:t>
      </w:r>
    </w:p>
    <w:p>
      <w:pPr>
        <w:spacing w:after="60" w:before="60"/>
      </w:pPr>
      <w:r>
        <w:rPr>
          <w:rFonts w:ascii="Arial" w:cs="Arial" w:eastAsia="Arial" w:hAnsi="Arial"/>
          <w:color w:val="000000"/>
          <w:sz w:val="22"/>
          <w:szCs w:val="22"/>
        </w:rPr>
        <w:t>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Section 7.1 — Standard Elections (Ranked Choice)</w:t>
      </w:r>
    </w:p>
    <w:p>
      <w:pPr>
        <w:spacing w:after="60" w:before="60"/>
      </w:pPr>
      <w:r>
        <w:rPr>
          <w:rFonts w:ascii="Arial" w:cs="Arial" w:eastAsia="Arial" w:hAnsi="Arial"/>
          <w:color w:val="000000"/>
          <w:sz w:val="22"/>
          <w:szCs w:val="22"/>
        </w:rPr>
        <w:t>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Section 7.2 — Presidential Election: National Vote and Regional Diversity</w:t>
      </w:r>
    </w:p>
    <w:p>
      <w:pPr>
        <w:spacing w:after="60" w:before="60"/>
      </w:pPr>
      <w:r>
        <w:rPr>
          <w:rFonts w:ascii="Arial" w:cs="Arial" w:eastAsia="Arial" w:hAnsi="Arial"/>
          <w:color w:val="000000"/>
          <w:sz w:val="22"/>
          <w:szCs w:val="22"/>
        </w:rPr>
        <w:t>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Section 8.2 — Selection and Independence</w:t>
      </w:r>
    </w:p>
    <w:p>
      <w:pPr>
        <w:spacing w:after="60" w:before="60"/>
      </w:pPr>
      <w:r>
        <w:rPr>
          <w:rFonts w:ascii="Arial" w:cs="Arial" w:eastAsia="Arial" w:hAnsi="Arial"/>
          <w:color w:val="000000"/>
          <w:sz w:val="22"/>
          <w:szCs w:val="22"/>
        </w:rPr>
        <w:t>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Section 8.4 — The Judicial IG: Lottery Selection</w:t>
      </w:r>
    </w:p>
    <w:p>
      <w:pPr>
        <w:spacing w:after="60" w:before="60"/>
      </w:pPr>
      <w:r>
        <w:rPr>
          <w:rFonts w:ascii="Arial" w:cs="Arial" w:eastAsia="Arial" w:hAnsi="Arial"/>
          <w:color w:val="000000"/>
          <w:sz w:val="22"/>
          <w:szCs w:val="22"/>
        </w:rPr>
        <w:t>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0" w:before="120"/>
      </w:pPr>
      <w:r>
        <w:t xml:space="preserve"/>
      </w:r>
    </w:p>
    <w:p>
      <w:pPr>
        <w:pStyle w:val="Heading2"/>
        <w:spacing w:after="80" w:before="200"/>
      </w:pPr>
      <w:r>
        <w:rPr>
          <w:rFonts w:ascii="Arial" w:cs="Arial" w:eastAsia="Arial" w:hAnsi="Arial"/>
          <w:b/>
          <w:bCs/>
          <w:color w:val="4A6FA5"/>
          <w:sz w:val="24"/>
          <w:szCs w:val="24"/>
        </w:rPr>
        <w:t>Section 8.5 — IG Removal: Two-Track System</w:t>
      </w:r>
    </w:p>
    <w:p>
      <w:pPr>
        <w:spacing w:after="60" w:before="60"/>
      </w:pPr>
      <w:r>
        <w:rPr>
          <w:rFonts w:ascii="Arial" w:cs="Arial" w:eastAsia="Arial" w:hAnsi="Arial"/>
          <w:color w:val="000000"/>
          <w:sz w:val="22"/>
          <w:szCs w:val="22"/>
        </w:rPr>
        <w:t>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Rule Violation under §2.7 for those members. Motive is not justiciable where the constitutional process is complete. This protection does not extend to false statements in the stated grounds, fabrication of evidence presented to the Panel, or coercion of other members' votes.</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Section 8.8 — The Annual State of the Republic Report</w:t>
      </w:r>
    </w:p>
    <w:p>
      <w:pPr>
        <w:spacing w:after="60" w:before="60"/>
      </w:pPr>
      <w:r>
        <w:rPr>
          <w:rFonts w:ascii="Arial" w:cs="Arial" w:eastAsia="Arial" w:hAnsi="Arial"/>
          <w:color w:val="000000"/>
          <w:sz w:val="22"/>
          <w:szCs w:val="22"/>
        </w:rPr>
        <w:t>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Section 8.9 — The State Designee Panel</w:t>
      </w:r>
    </w:p>
    <w:p>
      <w:pPr>
        <w:spacing w:after="60" w:before="60"/>
      </w:pPr>
      <w:r>
        <w:rPr>
          <w:rFonts w:ascii="Arial" w:cs="Arial" w:eastAsia="Arial" w:hAnsi="Arial"/>
          <w:color w:val="000000"/>
          <w:sz w:val="22"/>
          <w:szCs w:val="22"/>
        </w:rPr>
        <w:t>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ind w:left="720" w:hanging="360"/>
      </w:pPr>
      <w:r>
        <w:rPr>
          <w:rFonts w:ascii="Arial" w:cs="Arial" w:eastAsia="Arial" w:hAnsi="Arial"/>
          <w:b/>
          <w:bCs/>
          <w:color w:val="4A6FA5"/>
          <w:sz w:val="22"/>
          <w:szCs w:val="22"/>
        </w:rPr>
        <w:t xml:space="preserve">8.9.a Single Mandate: </w:t>
      </w:r>
      <w:r>
        <w:rPr>
          <w:rFonts w:ascii="Arial" w:cs="Arial" w:eastAsia="Arial" w:hAnsi="Arial"/>
          <w:color w:val="000000"/>
          <w:sz w:val="22"/>
          <w:szCs w:val="22"/>
        </w:rPr>
        <w:t>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other IOC functions — pattern findings, mandatory IG response requirements, and annual oversight reporting — are absorbed by Legislature standing committees and existing IG annual reports.</w:t>
      </w:r>
    </w:p>
    <w:p>
      <w:pPr>
        <w:spacing w:after="60" w:before="60"/>
        <w:ind w:left="720" w:hanging="360"/>
      </w:pPr>
      <w:r>
        <w:rPr>
          <w:rFonts w:ascii="Arial" w:cs="Arial" w:eastAsia="Arial" w:hAnsi="Arial"/>
          <w:b/>
          <w:bCs/>
          <w:color w:val="4A6FA5"/>
          <w:sz w:val="22"/>
          <w:szCs w:val="22"/>
        </w:rPr>
        <w:t xml:space="preserve">8.9.b Appeals: </w:t>
      </w:r>
      <w:r>
        <w:rPr>
          <w:rFonts w:ascii="Arial" w:cs="Arial" w:eastAsia="Arial" w:hAnsi="Arial"/>
          <w:color w:val="000000"/>
          <w:sz w:val="22"/>
          <w:szCs w:val="22"/>
        </w:rPr>
        <w:t>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IX — THE NATIONAL RECORD SYSTEM</w:t>
      </w:r>
    </w:p>
    <w:p>
      <w:pPr>
        <w:spacing w:after="60" w:before="60"/>
      </w:pPr>
      <w:r>
        <w:rPr>
          <w:rFonts w:ascii="Arial" w:cs="Arial" w:eastAsia="Arial" w:hAnsi="Arial"/>
          <w:color w:val="000000"/>
          <w:sz w:val="22"/>
          <w:szCs w:val="22"/>
        </w:rPr>
        <w:t>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Section 9.5 — Classification Framework</w:t>
      </w:r>
    </w:p>
    <w:p>
      <w:pPr>
        <w:spacing w:after="60" w:before="60"/>
      </w:pPr>
      <w:r>
        <w:rPr>
          <w:rFonts w:ascii="Arial" w:cs="Arial" w:eastAsia="Arial" w:hAnsi="Arial"/>
          <w:color w:val="000000"/>
          <w:sz w:val="22"/>
          <w:szCs w:val="22"/>
        </w:rPr>
        <w:t>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9.5.a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9.5.b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9.5.c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9.5.d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9.5.e Improper Classification: </w:t>
      </w:r>
      <w:r>
        <w:rPr>
          <w:rFonts w:ascii="Arial" w:cs="Arial" w:eastAsia="Arial" w:hAnsi="Arial"/>
          <w:color w:val="000000"/>
          <w:sz w:val="22"/>
          <w:szCs w:val="22"/>
        </w:rPr>
        <w:t>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Section 10.2 — Taxation Authority</w:t>
      </w:r>
    </w:p>
    <w:p>
      <w:pPr>
        <w:spacing w:after="60" w:before="60"/>
      </w:pPr>
      <w:r>
        <w:rPr>
          <w:rFonts w:ascii="Arial" w:cs="Arial" w:eastAsia="Arial" w:hAnsi="Arial"/>
          <w:color w:val="000000"/>
          <w:sz w:val="22"/>
          <w:szCs w:val="22"/>
        </w:rPr>
        <w:t>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PM may remove an acting board member within 90 days of assumption; after 90 days removal requires a simple Senate majority; after 180 days removal requires the full 2/3 both chambers plus EI dereliction finding standard. Confirmation by the Senate at any time converts acting status to permanent appointment and the full term begins from the date of confirmation.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Section 10.7 — Compensation of Public Officials</w:t>
      </w:r>
    </w:p>
    <w:p>
      <w:pPr>
        <w:spacing w:after="60" w:before="60"/>
      </w:pPr>
      <w:r>
        <w:rPr>
          <w:rFonts w:ascii="Arial" w:cs="Arial" w:eastAsia="Arial" w:hAnsi="Arial"/>
          <w:color w:val="000000"/>
          <w:sz w:val="22"/>
          <w:szCs w:val="22"/>
        </w:rPr>
        <w:t>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Section 12.1 — Authorized Purposes for Military Force</w:t>
      </w:r>
    </w:p>
    <w:p>
      <w:pPr>
        <w:spacing w:after="60" w:before="60"/>
      </w:pPr>
      <w:r>
        <w:rPr>
          <w:rFonts w:ascii="Arial" w:cs="Arial" w:eastAsia="Arial" w:hAnsi="Arial"/>
          <w:color w:val="000000"/>
          <w:sz w:val="22"/>
          <w:szCs w:val="22"/>
        </w:rPr>
        <w:t>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Legislature standing oversight committees;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legislative review upon reconstitution of civilian authority. This authority terminates immediately and automatically upon any constitutional successor assuming presidential authority under §2.6.a or by expedited §2.8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§2.7,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Section 12.5 — Treaty-Triggered Military Obligations</w:t>
      </w:r>
    </w:p>
    <w:p>
      <w:pPr>
        <w:spacing w:after="60" w:before="60"/>
      </w:pPr>
      <w:r>
        <w:rPr>
          <w:rFonts w:ascii="Arial" w:cs="Arial" w:eastAsia="Arial" w:hAnsi="Arial"/>
          <w:color w:val="000000"/>
          <w:sz w:val="22"/>
          <w:szCs w:val="22"/>
        </w:rPr>
        <w:t>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Section 13.2 — Requirements for Statehood</w:t>
      </w:r>
    </w:p>
    <w:p>
      <w:pPr>
        <w:spacing w:after="60" w:before="60"/>
      </w:pPr>
      <w:r>
        <w:rPr>
          <w:rFonts w:ascii="Arial" w:cs="Arial" w:eastAsia="Arial" w:hAnsi="Arial"/>
          <w:color w:val="000000"/>
          <w:sz w:val="22"/>
          <w:szCs w:val="22"/>
        </w:rPr>
        <w:t>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Section 13.3 — Mandatory State Devolution</w:t>
      </w:r>
    </w:p>
    <w:p>
      <w:pPr>
        <w:spacing w:after="60" w:before="60"/>
      </w:pPr>
      <w:r>
        <w:rPr>
          <w:rFonts w:ascii="Arial" w:cs="Arial" w:eastAsia="Arial" w:hAnsi="Arial"/>
          <w:color w:val="000000"/>
          <w:sz w:val="22"/>
          <w:szCs w:val="22"/>
        </w:rPr>
        <w:t>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Section 13.4 — Voluntary Devolution</w:t>
      </w:r>
    </w:p>
    <w:p>
      <w:pPr>
        <w:spacing w:after="60" w:before="60"/>
      </w:pPr>
      <w:r>
        <w:rPr>
          <w:rFonts w:ascii="Arial" w:cs="Arial" w:eastAsia="Arial" w:hAnsi="Arial"/>
          <w:color w:val="000000"/>
          <w:sz w:val="22"/>
          <w:szCs w:val="22"/>
        </w:rPr>
        <w:t>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XIV — THE INDIGENOUS NATION COMPACT</w:t>
      </w:r>
    </w:p>
    <w:p>
      <w:pPr>
        <w:spacing w:after="60" w:before="60"/>
      </w:pPr>
      <w:r>
        <w:rPr>
          <w:rFonts w:ascii="Arial" w:cs="Arial" w:eastAsia="Arial" w:hAnsi="Arial"/>
          <w:color w:val="000000"/>
          <w:sz w:val="22"/>
          <w:szCs w:val="22"/>
        </w:rPr>
        <w:t>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Section 14.1 — Acknowledgment of Prior Sovereignty</w:t>
      </w:r>
    </w:p>
    <w:p>
      <w:pPr>
        <w:spacing w:after="60" w:before="60"/>
      </w:pPr>
      <w:r>
        <w:rPr>
          <w:rFonts w:ascii="Arial" w:cs="Arial" w:eastAsia="Arial" w:hAnsi="Arial"/>
          <w:color w:val="000000"/>
          <w:sz w:val="22"/>
          <w:szCs w:val="22"/>
        </w:rPr>
        <w:t>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Section 14.3 — Government-to-Government Relationship</w:t>
      </w:r>
    </w:p>
    <w:p>
      <w:pPr>
        <w:spacing w:after="60" w:before="60"/>
      </w:pPr>
      <w:r>
        <w:rPr>
          <w:rFonts w:ascii="Arial" w:cs="Arial" w:eastAsia="Arial" w:hAnsi="Arial"/>
          <w:color w:val="000000"/>
          <w:sz w:val="22"/>
          <w:szCs w:val="22"/>
        </w:rPr>
        <w:t>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Section 14.4 — Indigenous Lands</w:t>
      </w:r>
    </w:p>
    <w:p>
      <w:pPr>
        <w:spacing w:after="60" w:before="60"/>
      </w:pPr>
      <w:r>
        <w:rPr>
          <w:rFonts w:ascii="Arial" w:cs="Arial" w:eastAsia="Arial" w:hAnsi="Arial"/>
          <w:color w:val="000000"/>
          <w:sz w:val="22"/>
          <w:szCs w:val="22"/>
        </w:rPr>
        <w:t>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Section 15.5 — Independence Transition Framework</w:t>
      </w:r>
    </w:p>
    <w:p>
      <w:pPr>
        <w:spacing w:after="60" w:before="60"/>
      </w:pPr>
      <w:r>
        <w:rPr>
          <w:rFonts w:ascii="Arial" w:cs="Arial" w:eastAsia="Arial" w:hAnsi="Arial"/>
          <w:color w:val="000000"/>
          <w:sz w:val="22"/>
          <w:szCs w:val="22"/>
        </w:rPr>
        <w:t>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r>
        <w:rPr>
          <w:b/>
        </w:rPr>
        <w:t xml:space="preserve">15.6.b Federal-State Statutory Hierarchy: </w:t>
      </w:r>
      <w: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 — THE NATIONAL VOTING SYSTEM AND ELECTORAL COMMISSION</w:t>
      </w:r>
    </w:p>
    <w:p>
      <w:pPr>
        <w:spacing w:after="60" w:before="60"/>
      </w:pPr>
      <w:r>
        <w:rPr>
          <w:rFonts w:ascii="Arial" w:cs="Arial" w:eastAsia="Arial" w:hAnsi="Arial"/>
          <w:color w:val="000000"/>
          <w:sz w:val="22"/>
          <w:szCs w:val="22"/>
        </w:rPr>
        <w:t>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Section 16.1 — The Electoral Commission</w:t>
      </w:r>
    </w:p>
    <w:p>
      <w:pPr>
        <w:spacing w:after="60" w:before="60"/>
      </w:pPr>
      <w:r>
        <w:rPr>
          <w:rFonts w:ascii="Arial" w:cs="Arial" w:eastAsia="Arial" w:hAnsi="Arial"/>
          <w:color w:val="000000"/>
          <w:sz w:val="22"/>
          <w:szCs w:val="22"/>
        </w:rPr>
        <w:t>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 non-renewable 6-year term</w:t>
            </w:r>
          </w:p>
        </w:tc>
      </w:tr>
    </w:tbl>
    <w:p>
      <w:pPr>
        <w:spacing w:after="0" w:before="120"/>
      </w:pPr>
      <w:r>
        <w:t xml:space="preserve"/>
      </w:r>
    </w:p>
    <w:p>
      <w:pPr>
        <w:spacing w:after="60" w:before="60"/>
      </w:pPr>
      <w:r>
        <w:rPr>
          <w:rFonts w:ascii="Arial" w:cs="Arial" w:eastAsia="Arial" w:hAnsi="Arial"/>
          <w:color w:val="000000"/>
          <w:sz w:val="22"/>
          <w:szCs w:val="22"/>
        </w:rPr>
        <w:t>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Dissolution — Joint Session Contingency: Where a House dissolution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spacing w:after="0" w:before="120"/>
      </w:pPr>
      <w:r>
        <w:t xml:space="preserve"/>
      </w:r>
    </w:p>
    <w:p>
      <w:pPr>
        <w:pStyle w:val="Heading2"/>
        <w:spacing w:after="80" w:before="200"/>
      </w:pPr>
      <w:r>
        <w:rPr>
          <w:rFonts w:ascii="Arial" w:cs="Arial" w:eastAsia="Arial" w:hAnsi="Arial"/>
          <w:b/>
          <w:bCs/>
          <w:color w:val="4A6FA5"/>
          <w:sz w:val="24"/>
          <w:szCs w:val="24"/>
        </w:rPr>
        <w:t>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Section 16.7 — Day Zero Voting System Transition</w:t>
      </w:r>
    </w:p>
    <w:p>
      <w:pPr>
        <w:spacing w:after="60" w:before="60"/>
      </w:pPr>
      <w:r>
        <w:rPr>
          <w:rFonts w:ascii="Arial" w:cs="Arial" w:eastAsia="Arial" w:hAnsi="Arial"/>
          <w:color w:val="000000"/>
          <w:sz w:val="22"/>
          <w:szCs w:val="22"/>
        </w:rPr>
        <w:t>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 — FEDERAL PROPERTY AND THE SEAT OF GOVERNMENT</w:t>
      </w:r>
    </w:p>
    <w:p>
      <w:pPr>
        <w:spacing w:after="60" w:before="60"/>
      </w:pPr>
      <w:r>
        <w:rPr>
          <w:rFonts w:ascii="Arial" w:cs="Arial" w:eastAsia="Arial" w:hAnsi="Arial"/>
          <w:color w:val="000000"/>
          <w:sz w:val="22"/>
          <w:szCs w:val="22"/>
        </w:rPr>
        <w:t>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Section 17.1 — The Use Doctrine</w:t>
      </w:r>
    </w:p>
    <w:p>
      <w:pPr>
        <w:spacing w:after="60" w:before="60"/>
      </w:pPr>
      <w:r>
        <w:rPr>
          <w:rFonts w:ascii="Arial" w:cs="Arial" w:eastAsia="Arial" w:hAnsi="Arial"/>
          <w:color w:val="000000"/>
          <w:sz w:val="22"/>
          <w:szCs w:val="22"/>
        </w:rPr>
        <w:t>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Section 17.2 — The Federal Seat of Government</w:t>
      </w:r>
    </w:p>
    <w:p>
      <w:pPr>
        <w:spacing w:after="60" w:before="60"/>
      </w:pPr>
      <w:r>
        <w:rPr>
          <w:rFonts w:ascii="Arial" w:cs="Arial" w:eastAsia="Arial" w:hAnsi="Arial"/>
          <w:color w:val="000000"/>
          <w:sz w:val="22"/>
          <w:szCs w:val="22"/>
        </w:rPr>
        <w:t>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Section 17.3 — Operational Use Rights</w:t>
      </w:r>
    </w:p>
    <w:p>
      <w:pPr>
        <w:spacing w:after="60" w:before="60"/>
      </w:pPr>
      <w:r>
        <w:rPr>
          <w:rFonts w:ascii="Arial" w:cs="Arial" w:eastAsia="Arial" w:hAnsi="Arial"/>
          <w:color w:val="000000"/>
          <w:sz w:val="22"/>
          <w:szCs w:val="22"/>
        </w:rPr>
        <w:t>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Section 17.4 — The National Trust</w:t>
      </w:r>
    </w:p>
    <w:p>
      <w:pPr>
        <w:spacing w:after="60" w:before="60"/>
      </w:pPr>
      <w:r>
        <w:rPr>
          <w:rFonts w:ascii="Arial" w:cs="Arial" w:eastAsia="Arial" w:hAnsi="Arial"/>
          <w:color w:val="000000"/>
          <w:sz w:val="22"/>
          <w:szCs w:val="22"/>
        </w:rPr>
        <w:t>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Section 17.5 — Federal Property in Territories</w:t>
      </w:r>
    </w:p>
    <w:p>
      <w:pPr>
        <w:spacing w:after="60" w:before="60"/>
      </w:pPr>
      <w:r>
        <w:rPr>
          <w:rFonts w:ascii="Arial" w:cs="Arial" w:eastAsia="Arial" w:hAnsi="Arial"/>
          <w:color w:val="000000"/>
          <w:sz w:val="22"/>
          <w:szCs w:val="22"/>
        </w:rPr>
        <w:t>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XVIII — ELECTORAL FINANCE AND CAMPAIGN INTEGRITY</w:t>
      </w:r>
    </w:p>
    <w:p>
      <w:pPr>
        <w:spacing w:after="60" w:before="60"/>
      </w:pPr>
      <w:r>
        <w:rPr>
          <w:rFonts w:ascii="Arial" w:cs="Arial" w:eastAsia="Arial" w:hAnsi="Arial"/>
          <w:color w:val="000000"/>
          <w:sz w:val="22"/>
          <w:szCs w:val="22"/>
        </w:rPr>
        <w:t>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Section 18.3 — The Campaign Finance Registry</w:t>
      </w:r>
    </w:p>
    <w:p>
      <w:pPr>
        <w:spacing w:after="60" w:before="60"/>
      </w:pPr>
      <w:r>
        <w:rPr>
          <w:rFonts w:ascii="Arial" w:cs="Arial" w:eastAsia="Arial" w:hAnsi="Arial"/>
          <w:color w:val="000000"/>
          <w:sz w:val="22"/>
          <w:szCs w:val="22"/>
        </w:rPr>
        <w:t>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Section 19.3 — The Four-Phase Transition</w:t>
      </w:r>
    </w:p>
    <w:p>
      <w:pPr>
        <w:spacing w:after="60" w:before="60"/>
      </w:pPr>
      <w:r>
        <w:rPr>
          <w:rFonts w:ascii="Arial" w:cs="Arial" w:eastAsia="Arial" w:hAnsi="Arial"/>
          <w:color w:val="000000"/>
          <w:sz w:val="22"/>
          <w:szCs w:val="22"/>
        </w:rPr>
        <w:t>The transition is structured as an 18-month, four-phase process to prevent systemic shock and provide adequate time for institutional construction.</w:t>
      </w:r>
    </w:p>
    <w:p>
      <w:pPr>
        <w:spacing w:after="60" w:before="60"/>
      </w:pPr>
      <w:r>
        <w:t>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19.3.c Phase 2 — Institutional Construction (Days 91–270): 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Legislature is sworn in and the first President and Prime Minister take office.</w:t>
      </w:r>
    </w:p>
    <w:p>
      <w:pPr>
        <w:spacing w:after="60" w:before="60"/>
      </w:pPr>
      <w:r>
        <w:t>19.3.e Phase 4 — Full Constitutional Operation: The Republic enters full constitutional operation from the date the first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First National Election Day: all 9 Supreme Court seats, all Senate seats, all House seats, all Electoral Commission seats, the Presidency, and the Monetary Authority Director elected simultaneously. House seats PM within 45 days. President and MA Director take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Section 19.4 — Caretaker Status</w:t>
      </w:r>
    </w:p>
    <w:p>
      <w:pPr>
        <w:spacing w:after="60" w:before="60"/>
      </w:pPr>
      <w:r>
        <w:rPr>
          <w:rFonts w:ascii="Arial" w:cs="Arial" w:eastAsia="Arial" w:hAnsi="Arial"/>
          <w:color w:val="000000"/>
          <w:sz w:val="22"/>
          <w:szCs w:val="22"/>
        </w:rPr>
        <w:t>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Rule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Section 19.7 — Transition-Period Territorial and Subdivision Elections</w:t>
      </w:r>
    </w:p>
    <w:p>
      <w:pPr>
        <w:spacing w:after="60" w:before="60"/>
      </w:pPr>
      <w:r>
        <w:rPr>
          <w:rFonts w:ascii="Arial" w:cs="Arial" w:eastAsia="Arial" w:hAnsi="Arial"/>
          <w:color w:val="000000"/>
          <w:sz w:val="22"/>
          <w:szCs w:val="22"/>
        </w:rPr>
        <w:t>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Style w:val="Heading2"/>
      </w:pPr>
      <w:r>
        <w:rPr>
          <w:b/>
        </w:rPr>
        <w:t>Section 19.9 — Transitional Accountability Mechanism</w:t>
      </w:r>
    </w:p>
    <w:p>
      <w:pPr>
        <w:spacing w:after="60" w:before="60"/>
        <w:ind w:left="720" w:hanging="360"/>
      </w:pPr>
      <w:r>
        <w:rPr>
          <w:rFonts w:ascii="Arial" w:cs="Arial" w:eastAsia="Arial" w:hAnsi="Arial"/>
          <w:b/>
          <w:bCs/>
          <w:color w:val="4A6FA5"/>
          <w:sz w:val="22"/>
          <w:szCs w:val="22"/>
        </w:rPr>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ARTICLE XX — ASSOCIATED COMMUNITY RELATIONSHIPS</w:t>
      </w:r>
    </w:p>
    <w:p>
      <w:pPr>
        <w:spacing w:after="60" w:before="60"/>
      </w:pPr>
      <w:r>
        <w:rPr>
          <w:rFonts w:ascii="Arial" w:cs="Arial" w:eastAsia="Arial" w:hAnsi="Arial"/>
          <w:color w:val="000000"/>
          <w:sz w:val="22"/>
          <w:szCs w:val="22"/>
        </w:rPr>
        <w:t>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SCHEDULE A — AUTHORITY REFERENCE MATRIX</w:t>
      </w:r>
    </w:p>
    <w:p>
      <w:pPr>
        <w:spacing w:after="60" w:before="60"/>
      </w:pPr>
      <w:r>
        <w:rPr>
          <w:rFonts w:ascii="Arial" w:cs="Arial" w:eastAsia="Arial" w:hAnsi="Arial"/>
          <w:color w:val="000000"/>
          <w:sz w:val="22"/>
          <w:szCs w:val="22"/>
        </w:rPr>
        <w:t>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Triad (Senate/PM/President) → JI Vetting → Public 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vets nominees using Registry records; all certified nominees proceed to national RCV election; Senate has 90 days to nominate for mid-term vacancies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2/3 both chambers + State Designee Panel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Director elected by national RCV; 5 board members PM-nominated, Senate-confirmed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Federal Property (Art. XVII)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SC Mid-Term Vacancy (§4.2.b)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Special election within 90 days; President and PM nominate; Senate has 90 days for third nominee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If Senate fails to nominate within 90 days, 2-nominee public election proceeds; replacement serves remainder of original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3/4 of both chambers simultaneously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No executive veto; §1.2, §1.3, §1.13, §1.17, §1.18, §1.27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