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(§1.19.d) without renewal.</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Consul, a person must have been a citizen for at least 7 years at the time of taking office and must hold no federal felony conviction. No other eligibility requirement applies. The Consul holds enumerated authority over: military command and force employment; foreign affairs and treaty negotiation; intelligence; trade agreements subject to §2.4; and appointments within the presidential domain.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Consul's domain governs operational decisions; either executive may petition the SC for an expedited domain determination. The Consul serves a single non-renewable term of four years. Upon expiration of the term, all authority transfers immediately to the incoming Consul. The outgoing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Consul may use military force in immediate response to an active or imminent attack on Republic territory, citizens abroad, or treaty allies. Beyond immediate response, all use of military force requires legislative authorization. The Consul must notify both chambers and the Civic Consul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Consul directs foreign intelligence. No intelligence operation may be conducted against Republic citizens within Republic territory on the Consul's authority; such operations require independent judicial authorization. The EM reports any order authorizing domestic intelligence operations without judicial authorization to the NRS. The Consul may veto legislation that raises a genuine constitutional concern within the Consul's security domain — military operations, intelligence, treaty obligations, or border security. A general or speculative security connection is insufficient. Either Speaker may request an EM assessment of whether the veto falls within the Consul's defined domain; the EM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Consul's sole authority. Where Civic Consul concurrence is withheld on a specific provision, that provision may be transmitted to the Assembly as ordinary legislation while the remaining agreement proceeds to Senate ratification independently. The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presidential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 The Civic Consul may declare a domestic emergency in response to natural disaster, public health crisis, or infrastructure failure, subject to the constraints of Article I and renewable Assembly approval at intervals defined by statute. The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No person may serve more than 8 consecutive years as Civic Consul, and no more than 12 years in total across all periods of service. Both limits operate simultaneously; the stricter governs at any given moment. The Assembly elects the Civic Consul by absolute majority within the period defined by statute following any general election or vacancy. If the Assembly does not elect a Civic Consul within that period, the Civic Consul designates a Caretaker Civic Consul from the confirmed ministers;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Caretaker mechanism continues until the new Assembly elects a Civic Consul. Where the Civic Consul is temporarily unable to exercise authority, the PM’s designated Caretaker Civic Consul serves with authority limited to maintaining existing policy and emergency functions; Caretaker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Consul after that moment is constitutionally void. A successor serves the remainder of the current presidential term; service by succession does not consume the successor's own eligibility to stand at the next election. Where the Consul is temporarily unable to exercise authority, the EM and LM jointly assess capacity and, on joint assessment published to the NRS, Acting Consular Authority transfers to the Senate Speaker without vacating the Speaker's Senate seat by constitutional operation from the moment of joint certification published to the NRS. Acting authority ends when the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foundied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Caretaker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Consul is removed if the referendum achieves 60% of votes cast under §13.4 with a minimum 55% citizen participation. A failed referendum may not be re-initiated within the same presidential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Consul's domain officers and the Civic Consul's ministers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of Representatives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presidential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presidential executive domain and inferior court judges. The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Consul must ministerially issue residency credentials; Consul's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(LI), Executive (EI), and Judicial (JI)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IG holds full constitutional authority of the office. The Acting IG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an IG is certified incapacitated by the other two Monitors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Senate 2/3 supermajority — the Legislature is entirely excluded. The Assembly Speaker and Senate Speaker jointly nominate the EM Monitor General, confirmed by Senate 2/3 supermajority with JM vetting — the executives are excluded, neither Speaker can act alone, and the 2/3 confirmation threshold requires broad Senate consensus for confirmation.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IG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IG authority at the precise moment the incumbent’s term concludes under §3.13. If the confirmation vote fails, the §9.1.d acting mechanism activates and the SC initiates a new nomination from the pool within 60 days. The EM IG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IG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JI-certified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IG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may not fall below the inflation-adjusted equivalent of the prior fiscal year's funding level without a 2/3 vote of both chambers simultaneously. The Monetary Authority certifies each Monitor's prior-year funding level adjusted for inflation and publishes the certified floor to the NRS before the Legislature begins its annual budget process. Where a budget reduces any Monitor below its certified inflation-adjusted floor without the required supermajority, the prior-year funding level takes effect automatically for that Monitor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IG assumes all constitutional functions of the compromised Monitor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§9.3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reported by the LM.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§9.12 and eligibility is certified jointly by the EM and LI; the JMC conducts the trustee lottery under §9.12.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§9.14. The board's sole mandate is to preserve and grow the Endowment for social state backstop purposes; it may not be directed to any other goal. All board decisions and performance reports are published to the NRS; the EM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authorize continued operations for up to 60 days total in two 30-day extensions, each requiring Civic Consul notification to the Senate and publication to the NRS confirming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Consul's domestic affairs office,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Consul's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XIV.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