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where the SC does not rule within 14 days, the veto is void and the bill proceeds to ordinary enactment without Legat Consul assent.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10 business days of final passage with a written statement of objection specifying constitutional, fiscal, or operational grounds, published to the NRS. The bill is tabled for one month from the date of return regardless of any change in the office of Civic Consul. The Senate may override the suspensive veto by 2/3 supermajority during that month; a successfully overridden bill takes effect without Civic Consul assent. Where no Senate override occurs within that month, the bill lapses for that session. The suspensive veto may be used only once on any bill within a session; a bill reintroduced and passed again by both chambers in the same session is not subject to the suspensive veto and returns to the Civic Consul with only the fiscal veto, approval, or automatic enactment by silence available. The Civic Consul may also object on specific solvency grounds — the bill would cause or materially worsen a structural deficit; the Assembly may override a solvency objection by simple majority. If the Civic Consul neither signs nor objects within 10 business days of final passage, the bill is enacted. Silence is not a veto. The suspensive veto may not be used on the annual budget, bills implementing a constitutional obligation, or emergency legislation. Both executives review legislation concurrently from the date of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