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Three justices are confirmed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Any person may be placed into a State's Pool through the State's own constitutional or statutory process, provided they meet: at least five continuous years of Republic citizenship; at least five continuous years of residency in the State whose Pool they are entering; and no current elected office. The LI certifies eligibility before entry and maintains each State's Pool as a public NRS record. The Legislature defines pool administration, annual addition processes, and pool health requirements by statute.</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from each State's eligible Pool in a single public session witnessed by representatives of all three Inspectorates and three citizens selected by jury protocols, certified jointly by all three Inspectorates and recorded to the NRS in real time. A State whose Pool is empty at the time of the draw has no commission seat for that cycle. The commission operates by simple majority vote and must submit a proposed regional map to the LI within 180 days of constitution. The commission remains constituted until a final map is certified through §7.2.c.viii and §7.2.c.ix, then dissolves. The Legislature defines compensation, substitution procedures for death or disqualification, and session parameters by statute.</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map to the LI within 180 days of constitution. A 30-day public comment period opens when the draft map is published to the NRS; any citizen or State government may submit commentary, and the commission must publish a written response to each formal submission before submitting the final map. All working maps, deliberations, and proposals must be published to the NRS throughout the process. The Legislature defines operational parameters by statute, including authorization of remote participation and quorum requirements.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2026-05-22T04:37:05.229Z</dcterms:created>
  <dcterms:modified xsi:type="dcterms:W3CDTF">2026-05-22T04:37:05.240Z</dcterms:modified>
</cp:coreProperties>
</file>

<file path=docProps/custom.xml><?xml version="1.0" encoding="utf-8"?>
<Properties xmlns="http://schemas.openxmlformats.org/officeDocument/2006/custom-properties" xmlns:vt="http://schemas.openxmlformats.org/officeDocument/2006/docPropsVTypes"/>
</file>