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BNF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BNF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BNF obligations,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RSA Technical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System Administrator operates the NRS under the oversight of the Legislative Inspectorate. The RSA Director is a statutory independent officer whose independence is protected by §9.5.a. A decennial Technical Integrity Commission reviews whether the NRS architecture continues to meet the constitutional requirements for distributed custody, cryptographic verification, and public accessibility under §9.1.</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RSA Technical Integrity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The Commission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If the LI's annual audit under §9.1.e identifies a critical architectural failure — defined as a finding that the NRS no longer meets the constitutional requirements for tamper-evident operation or distributed custody — the LI may declare an emergency review, triggering an extraordinary Commission draw from the current confirmed pool under §9.3.d. An emergency Commission draw does not reset the decennial clock.</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RSA Technical Pool —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Commission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Commission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Commission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 Where an Emergency RSA Commission has been constituted under §9.3.h since the prior decennial review, the next regularly scheduled decennial Commission must include in its scope a review of the emergency findings — assessing whether the remediation was adequate and making architectural recommendations to prevent recurrence. These findings are published as a dedicated section of the decennial report.</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Emergency RSA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declared an emergency review under §9.3.a, the LI formally alerts the PM and publishes the emergency finding to the NRS. The PM requests each State to nominate one qualified person to an Emergency Technical Pool within 14 days. The LI certifies each nominee's qualifications against the statutory standard established under §9.3.b. All three Inspectorates then conduct a public lottery draw of five members from the certified nominees using the procedure under §9.3.d — the draw is published to the NRS before the session closes. The Emergency Commission's scope is limited to the specific architectural failure identified in the LI's emergency finding; it may not expand its mandate beyond that scope. Findings are published jointly by all three Inspectorates to the NRS upon completion. Senate confirmation is not required for Emergency Commission members; the mandatory Senate accountability session under §9.3.i provides accountability in lieu of confirmation. The Emergency Commission does not trigger a pool reset; the regular decennial pool and clock are unaffected. The Emergency Technical Pool dissolves upon conclusion of the Senate accountability session.</w:t>
      </w:r>
    </w:p>
    <w:p>
      <w:pPr>
        <w:spacing w:after="60" w:before="200"/>
        <w:ind w:left="431"/>
        <w:jc w:val="left"/>
      </w:pPr>
      <w:r>
        <w:rPr>
          <w:rFonts w:ascii="Courier New" w:cs="Courier New" w:eastAsia="Courier New" w:hAnsi="Courier New"/>
          <w:b/>
          <w:bCs/>
          <w:color w:val="1B2A4A"/>
          <w:sz w:val="18"/>
          <w:szCs w:val="18"/>
        </w:rPr>
        <w:t xml:space="preserve">§9.3.i  </w:t>
      </w:r>
      <w:r>
        <w:rPr>
          <w:rFonts w:ascii="Garamond" w:cs="Garamond" w:eastAsia="Garamond" w:hAnsi="Garamond"/>
          <w:b/>
          <w:bCs/>
          <w:i w:val="false"/>
          <w:iCs w:val="false"/>
          <w:color w:val="1B2A4A"/>
          <w:sz w:val="22"/>
          <w:szCs w:val="22"/>
        </w:rPr>
        <w:t xml:space="preserve">Emergency Commission Senate Accountability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Emergency Commission's appointment under §9.3.h, the Senate must schedule a mandatory public accountability session. The session must occur within 90 days of the Emergency Commission's appointment. Emergency Commission members appear before the Senate, present their findings, and respond to questions from senators. The session is published in full to the NRS. Failure to schedule the session within 30 days of appointment is a constitutional compliance breach certified by the LI and published to the NRS. The Senate accountability session provides the legitimacy in lieu of Senate confirmation — the Commission's findings carry full constitutional weight upon NRS publication regardless of whether the session has yet occurred.</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NRS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administered by a technically independent office under LI oversight.</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i w:val="false"/>
          <w:iCs w:val="false"/>
          <w:color w:val="1B2A4A"/>
          <w:sz w:val="22"/>
          <w:szCs w:val="22"/>
        </w:rPr>
        <w:t xml:space="preserve">NRS Staffing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Basic Needs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BNF Funding Reserve</w:t>
      </w:r>
    </w:p>
    <w:p>
      <w:pPr>
        <w:spacing w:after="120" w:before="0"/>
        <w:ind w:left="431"/>
        <w:jc w:val="both"/>
      </w:pPr>
      <w:r>
        <w:rPr>
          <w:rFonts w:ascii="Garamond" w:cs="Garamond" w:eastAsia="Garamond" w:hAnsi="Garamond"/>
          <w:b w:val="false"/>
          <w:bCs w:val="false"/>
          <w:i w:val="false"/>
          <w:iCs w:val="false"/>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BNF Adequacy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431"/>
        <w:jc w:val="left"/>
      </w:pPr>
      <w:r>
        <w:rPr>
          <w:rFonts w:ascii="Courier New" w:cs="Courier New" w:eastAsia="Courier New" w:hAnsi="Courier New"/>
          <w:b/>
          <w:bCs/>
          <w:color w:val="1B2A4A"/>
          <w:sz w:val="18"/>
          <w:szCs w:val="18"/>
        </w:rPr>
        <w:t xml:space="preserve">§10.1.b.i  </w:t>
      </w:r>
      <w:r>
        <w:rPr>
          <w:rFonts w:ascii="Garamond" w:cs="Garamond" w:eastAsia="Garamond" w:hAnsi="Garamond"/>
          <w:b/>
          <w:bCs/>
          <w:i w:val="false"/>
          <w:iCs w:val="false"/>
          <w:color w:val="1B2A4A"/>
          <w:sz w:val="22"/>
          <w:szCs w:val="22"/>
        </w:rPr>
        <w:t xml:space="preserve">BNF Non-Compliance — EI Certification and Justiciability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MA's annual adequacy certification under §10.1.b finds that the BNF basket is not being delivered at the constitutional standard, the EI immediately publishes a constitutional compliance breach notice to the NRS. The Republic's failure to meet the BNF adequacy standard is simultaneously directly justiciable by any Inhabitant who can demonstrate they are not receiving the basket at the certified level. Courts may order the Republic to restore compliance and may specify remediation timelines. The justiciability of BNF adequacy failures is self-executing — no enabling legislation is required.</w:t>
      </w:r>
    </w:p>
    <w:p>
      <w:pPr>
        <w:spacing w:after="60" w:before="200"/>
        <w:ind w:left="431"/>
        <w:jc w:val="left"/>
      </w:pPr>
      <w:r>
        <w:rPr>
          <w:rFonts w:ascii="Courier New" w:cs="Courier New" w:eastAsia="Courier New" w:hAnsi="Courier New"/>
          <w:b/>
          <w:bCs/>
          <w:color w:val="1B2A4A"/>
          <w:sz w:val="18"/>
          <w:szCs w:val="18"/>
        </w:rPr>
        <w:t xml:space="preserve">§10.1.b.ii  </w:t>
      </w:r>
      <w:r>
        <w:rPr>
          <w:rFonts w:ascii="Garamond" w:cs="Garamond" w:eastAsia="Garamond" w:hAnsi="Garamond"/>
          <w:b/>
          <w:bCs/>
          <w:i w:val="false"/>
          <w:iCs w:val="false"/>
          <w:color w:val="1B2A4A"/>
          <w:sz w:val="22"/>
          <w:szCs w:val="22"/>
        </w:rPr>
        <w:t xml:space="preserve">BNF Non-Compliance — Legislative Response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the EI's breach notice under §10.1.b.i, the Legislature must either publish a funded remediation plan specifying how and when BNF adequacy will be restored, or formally dispute the MA's certification before the SC. If the Legislature disputes the MA's certification, the SC resolves the dispute within 30 days; if the SC upholds the certification, the 90-day remediation clock restarts from the SC's ruling. Failure to publish a remediation plan or initiate a formal dispute within 90 days is a further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§10.1.b.iii  </w:t>
      </w:r>
      <w:r>
        <w:rPr>
          <w:rFonts w:ascii="Garamond" w:cs="Garamond" w:eastAsia="Garamond" w:hAnsi="Garamond"/>
          <w:b/>
          <w:bCs/>
          <w:i w:val="false"/>
          <w:iCs w:val="false"/>
          <w:color w:val="1B2A4A"/>
          <w:sz w:val="22"/>
          <w:szCs w:val="22"/>
        </w:rPr>
        <w:t xml:space="preserve">BNF Non-Compliance — National Endowment Backstop</w:t>
      </w:r>
    </w:p>
    <w:p>
      <w:pPr>
        <w:spacing w:after="120" w:before="0"/>
        <w:ind w:left="431"/>
        <w:jc w:val="both"/>
      </w:pPr>
      <w:r>
        <w:rPr>
          <w:rFonts w:ascii="Garamond" w:cs="Garamond" w:eastAsia="Garamond" w:hAnsi="Garamond"/>
          <w:b w:val="false"/>
          <w:bCs w:val="false"/>
          <w:i w:val="false"/>
          <w:iCs w:val="false"/>
          <w:color w:val="2a2520"/>
          <w:sz w:val="22"/>
          <w:szCs w:val="22"/>
        </w:rPr>
        <w:t xml:space="preserve">If 90 days pass after the EI breach notice under §10.1.b.i without a published legislative remediation plan and without a pending SC dispute, the National Endowment board may authorize emergency BNF expenditure under §10.6 to fill the adequacy gap. The PM certifies the expenditure under §2.1.d. Emergency backstop disbursements continue for up to 6 months. If after 6 months the Legislature has still not published a remediation plan, the Endowment board must report to the NRS that the constitutional promise of the BNF is not being honoured through the normal budget process and that the Endowment is bearing the gap. The Endowment backstop does not relieve the Legislature of its constitutional obligation to fund the BNF through the annual budget — it ensures Inhabitants receive the basket while that obligation is enforced.</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BNF Coverage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BNF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BNF Administration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431"/>
        <w:jc w:val="left"/>
      </w:pPr>
      <w:r>
        <w:rPr>
          <w:rFonts w:ascii="Courier New" w:cs="Courier New" w:eastAsia="Courier New" w:hAnsi="Courier New"/>
          <w:b/>
          <w:bCs/>
          <w:color w:val="1B2A4A"/>
          <w:sz w:val="18"/>
          <w:szCs w:val="18"/>
        </w:rPr>
        <w:t xml:space="preserve">§10.1.f  </w:t>
      </w:r>
      <w:r>
        <w:rPr>
          <w:rFonts w:ascii="Garamond" w:cs="Garamond" w:eastAsia="Garamond" w:hAnsi="Garamond"/>
          <w:b/>
          <w:bCs/>
          <w:i w:val="false"/>
          <w:iCs w:val="false"/>
          <w:color w:val="1B2A4A"/>
          <w:sz w:val="22"/>
          <w:szCs w:val="22"/>
        </w:rPr>
        <w:t xml:space="preserve">Severe Revenue Contraction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431"/>
        <w:jc w:val="left"/>
      </w:pPr>
      <w:r>
        <w:rPr>
          <w:rFonts w:ascii="Courier New" w:cs="Courier New" w:eastAsia="Courier New" w:hAnsi="Courier New"/>
          <w:b/>
          <w:bCs/>
          <w:color w:val="1B2A4A"/>
          <w:sz w:val="18"/>
          <w:szCs w:val="18"/>
        </w:rPr>
        <w:t xml:space="preserve">§10.1.g  </w:t>
      </w:r>
      <w:r>
        <w:rPr>
          <w:rFonts w:ascii="Garamond" w:cs="Garamond" w:eastAsia="Garamond" w:hAnsi="Garamond"/>
          <w:b/>
          <w:bCs/>
          <w:i w:val="false"/>
          <w:iCs w:val="false"/>
          <w:color w:val="1B2A4A"/>
          <w:sz w:val="22"/>
          <w:szCs w:val="22"/>
        </w:rPr>
        <w:t xml:space="preserve">BNF and Emergency Declarations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Electoral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Electoral Commission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Electoral Commission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Electoral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Commission's independence does not place it above accountability.</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Campaign Funding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Campaigns for Electoral Commission seats are publicly funded in full. No private money may be spent on EC campaigns.</w:t>
      </w:r>
    </w:p>
    <w:p>
      <w:pPr>
        <w:spacing w:after="60" w:before="200"/>
        <w:ind w:left="431"/>
        <w:jc w:val="left"/>
      </w:pPr>
      <w:r>
        <w:rPr>
          <w:rFonts w:ascii="Courier New" w:cs="Courier New" w:eastAsia="Courier New" w:hAnsi="Courier New"/>
          <w:b/>
          <w:bCs/>
          <w:color w:val="1B2A4A"/>
          <w:sz w:val="18"/>
          <w:szCs w:val="18"/>
        </w:rPr>
        <w:t xml:space="preserve">§16.5.b  </w:t>
      </w:r>
      <w:r>
        <w:rPr>
          <w:rFonts w:ascii="Garamond" w:cs="Garamond" w:eastAsia="Garamond" w:hAnsi="Garamond"/>
          <w:b/>
          <w:bCs/>
          <w:i w:val="false"/>
          <w:iCs w:val="false"/>
          <w:color w:val="1B2A4A"/>
          <w:sz w:val="22"/>
          <w:szCs w:val="22"/>
        </w:rPr>
        <w:t xml:space="preserve">JI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431"/>
        <w:jc w:val="left"/>
      </w:pPr>
      <w:r>
        <w:rPr>
          <w:rFonts w:ascii="Courier New" w:cs="Courier New" w:eastAsia="Courier New" w:hAnsi="Courier New"/>
          <w:b/>
          <w:bCs/>
          <w:color w:val="1B2A4A"/>
          <w:sz w:val="18"/>
          <w:szCs w:val="18"/>
        </w:rPr>
        <w:t xml:space="preserve">§16.5.c  </w:t>
      </w:r>
      <w:r>
        <w:rPr>
          <w:rFonts w:ascii="Garamond" w:cs="Garamond" w:eastAsia="Garamond" w:hAnsi="Garamond"/>
          <w:b/>
          <w:bCs/>
          <w:i w:val="false"/>
          <w:iCs w:val="false"/>
          <w:color w:val="1B2A4A"/>
          <w:sz w:val="22"/>
          <w:szCs w:val="22"/>
        </w:rPr>
        <w:t xml:space="preserve">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The proximity restriction applies to the removal vote only — Panel-triggered suspension of duties under §16.2.a is not subject to the proximity window.</w:t>
      </w:r>
    </w:p>
    <w:p>
      <w:pPr>
        <w:spacing w:after="60" w:before="200"/>
        <w:ind w:left="431"/>
        <w:jc w:val="left"/>
      </w:pPr>
      <w:r>
        <w:rPr>
          <w:rFonts w:ascii="Courier New" w:cs="Courier New" w:eastAsia="Courier New" w:hAnsi="Courier New"/>
          <w:b/>
          <w:bCs/>
          <w:color w:val="1B2A4A"/>
          <w:sz w:val="18"/>
          <w:szCs w:val="18"/>
        </w:rPr>
        <w:t xml:space="preserve">§16.5.d  </w:t>
      </w:r>
      <w:r>
        <w:rPr>
          <w:rFonts w:ascii="Garamond" w:cs="Garamond" w:eastAsia="Garamond" w:hAnsi="Garamond"/>
          <w:b/>
          <w:bCs/>
          <w:i w:val="false"/>
          <w:iCs w:val="false"/>
          <w:color w:val="1B2A4A"/>
          <w:sz w:val="22"/>
          <w:szCs w:val="22"/>
        </w:rPr>
        <w:t xml:space="preserve">Mid-Term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Electoral Commission Technical Deadlock</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2026-05-21T22:45:34.906Z</dcterms:created>
  <dcterms:modified xsi:type="dcterms:W3CDTF">2026-05-21T22:45:34.919Z</dcterms:modified>
</cp:coreProperties>
</file>

<file path=docProps/custom.xml><?xml version="1.0" encoding="utf-8"?>
<Properties xmlns="http://schemas.openxmlformats.org/officeDocument/2006/custom-properties" xmlns:vt="http://schemas.openxmlformats.org/officeDocument/2006/docPropsVTypes"/>
</file>