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863"/>
        <w:jc w:val="both"/>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20" w:before="0"/>
        <w:ind w:left="431"/>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20" w:before="0"/>
        <w:ind w:left="863"/>
        <w:jc w:val="both"/>
      </w:pPr>
      <w:r>
        <w:rPr>
          <w:rFonts w:ascii="Garamond" w:cs="Garamond" w:eastAsia="Garamond" w:hAnsi="Garamond"/>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1296"/>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20" w:before="0"/>
        <w:ind w:left="1296"/>
        <w:jc w:val="both"/>
      </w:pPr>
      <w:r>
        <w:rPr>
          <w:rFonts w:ascii="Garamond" w:cs="Garamond" w:eastAsia="Garamond" w:hAnsi="Garamond"/>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20" w:before="0"/>
        <w:ind w:left="863"/>
        <w:jc w:val="both"/>
      </w:pPr>
      <w:r>
        <w:rPr>
          <w:rFonts w:ascii="Garamond" w:cs="Garamond" w:eastAsia="Garamond" w:hAnsi="Garamond"/>
          <w:color w:val="2a2520"/>
          <w:sz w:val="22"/>
          <w:szCs w:val="22"/>
        </w:rPr>
        <w:t xml:space="preserve">Post-service restrictions including the revolving door prohibition are consolidated in §10.5.c.</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20" w:before="0"/>
        <w:ind w:left="863"/>
        <w:jc w:val="both"/>
      </w:pPr>
      <w:r>
        <w:rPr>
          <w:rFonts w:ascii="Garamond" w:cs="Garamond" w:eastAsia="Garamond" w:hAnsi="Garamond"/>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1296"/>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20" w:before="0"/>
        <w:ind w:left="1296"/>
        <w:jc w:val="both"/>
      </w:pPr>
      <w:r>
        <w:rPr>
          <w:rFonts w:ascii="Garamond" w:cs="Garamond" w:eastAsia="Garamond" w:hAnsi="Garamond"/>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1296"/>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20" w:before="0"/>
        <w:ind w:left="1296"/>
        <w:jc w:val="both"/>
      </w:pPr>
      <w:r>
        <w:rPr>
          <w:rFonts w:ascii="Garamond" w:cs="Garamond" w:eastAsia="Garamond" w:hAnsi="Garamond"/>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20" w:before="0"/>
        <w:ind w:left="863"/>
        <w:jc w:val="both"/>
      </w:pPr>
      <w:r>
        <w:rPr>
          <w:rFonts w:ascii="Garamond" w:cs="Garamond" w:eastAsia="Garamond" w:hAnsi="Garamond"/>
          <w:color w:val="2a2520"/>
          <w:sz w:val="22"/>
          <w:szCs w:val="22"/>
        </w:rPr>
        <w:t xml:space="preserve">Jury service obligations, compensation, and enforcement are established in §4.5.</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2026-05-20T15:11:29.649Z</dcterms:created>
  <dcterms:modified xsi:type="dcterms:W3CDTF">2026-05-20T15:11:29.661Z</dcterms:modified>
</cp:coreProperties>
</file>

<file path=docProps/custom.xml><?xml version="1.0" encoding="utf-8"?>
<Properties xmlns="http://schemas.openxmlformats.org/officeDocument/2006/custom-properties" xmlns:vt="http://schemas.openxmlformats.org/officeDocument/2006/docPropsVTypes"/>
</file>