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pPr>
        <w:spacing w:after="120"/>
        <w:ind w:left="431"/>
        <w:jc w:val="both"/>
      </w:pPr>
      <w:r>
        <w:rPr>
          <w:rFonts w:ascii="Garamond" w:eastAsia="Garamond" w:hAnsi="Garamond" w:cs="Garamond"/>
          <w:color w:val="2A2A2A"/>
          <w:sz w:val="22"/>
          <w:szCs w:val="22"/>
        </w:rPr>
        <w:t xml:space="preserve">(1) 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w:t>
      </w:r>
    </w:p>
    <w:p>
      <w:pPr>
        <w:spacing w:after="120"/>
        <w:ind w:left="431"/>
        <w:jc w:val="both"/>
      </w:pPr>
      <w:r>
        <w:rPr>
          <w:rFonts w:ascii="Garamond" w:eastAsia="Garamond" w:hAnsi="Garamond" w:cs="Garamond"/>
          <w:color w:val="2A2A2A"/>
          <w:sz w:val="22"/>
          <w:szCs w:val="22"/>
        </w:rPr>
        <w:t xml:space="preserve">(2)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w:t>
      </w:r>
    </w:p>
    <w:p>
      <w:pPr>
        <w:spacing w:after="120"/>
        <w:ind w:left="431"/>
        <w:jc w:val="both"/>
      </w:pPr>
      <w:r>
        <w:rPr>
          <w:rFonts w:ascii="Garamond" w:eastAsia="Garamond" w:hAnsi="Garamond" w:cs="Garamond"/>
          <w:color w:val="2A2A2A"/>
          <w:sz w:val="22"/>
          <w:szCs w:val="22"/>
        </w:rPr>
        <w:t xml:space="preserve">(3) The Civic Consul's domestic authority includes:</w:t>
      </w:r>
    </w:p>
    <w:p>
      <w:pPr>
        <w:spacing w:after="120"/>
        <w:ind w:left="431"/>
        <w:jc w:val="both"/>
      </w:pPr>
      <w:r>
        <w:rPr>
          <w:rFonts w:ascii="Garamond" w:eastAsia="Garamond" w:hAnsi="Garamond" w:cs="Garamond"/>
          <w:color w:val="2A2A2A"/>
          <w:sz w:val="22"/>
          <w:szCs w:val="22"/>
        </w:rPr>
        <w:t xml:space="preserve">— all domestic policy and regulatory frameworks;</w:t>
      </w:r>
    </w:p>
    <w:p>
      <w:pPr>
        <w:spacing w:after="120"/>
        <w:ind w:left="431"/>
        <w:jc w:val="both"/>
      </w:pPr>
      <w:r>
        <w:rPr>
          <w:rFonts w:ascii="Garamond" w:eastAsia="Garamond" w:hAnsi="Garamond" w:cs="Garamond"/>
          <w:color w:val="2A2A2A"/>
          <w:sz w:val="22"/>
          <w:szCs w:val="22"/>
        </w:rPr>
        <w:t xml:space="preserve">— preparation of a proposed budget for the civic domain, submitted to the Assembly under §12.2;</w:t>
      </w:r>
    </w:p>
    <w:p>
      <w:pPr>
        <w:spacing w:after="120"/>
        <w:ind w:left="431"/>
        <w:jc w:val="both"/>
      </w:pPr>
      <w:r>
        <w:rPr>
          <w:rFonts w:ascii="Garamond" w:eastAsia="Garamond" w:hAnsi="Garamond" w:cs="Garamond"/>
          <w:color w:val="2A2A2A"/>
          <w:sz w:val="22"/>
          <w:szCs w:val="22"/>
        </w:rPr>
        <w:t xml:space="preserve">— the civil service;</w:t>
      </w:r>
    </w:p>
    <w:p>
      <w:pPr>
        <w:spacing w:after="120"/>
        <w:ind w:left="431"/>
        <w:jc w:val="both"/>
      </w:pPr>
      <w:r>
        <w:rPr>
          <w:rFonts w:ascii="Garamond" w:eastAsia="Garamond" w:hAnsi="Garamond" w:cs="Garamond"/>
          <w:color w:val="2A2A2A"/>
          <w:sz w:val="22"/>
          <w:szCs w:val="22"/>
        </w:rPr>
        <w:t xml:space="preserve">— and administration of the social state under Article XII.</w:t>
      </w:r>
    </w:p>
    <w:p>
      <w:pPr>
        <w:spacing w:after="120"/>
        <w:ind w:left="431"/>
        <w:jc w:val="both"/>
      </w:pPr>
      <w:r>
        <w:rPr>
          <w:rFonts w:ascii="Garamond" w:eastAsia="Garamond" w:hAnsi="Garamond" w:cs="Garamond"/>
          <w:color w:val="2A2A2A"/>
          <w:sz w:val="22"/>
          <w:szCs w:val="22"/>
        </w:rPr>
        <w:t xml:space="preserve">(4)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w:t>
      </w:r>
    </w:p>
    <w:p>
      <w:pPr>
        <w:spacing w:after="120"/>
        <w:ind w:left="431"/>
        <w:jc w:val="both"/>
      </w:pPr>
      <w:r>
        <w:rPr>
          <w:rFonts w:ascii="Garamond" w:eastAsia="Garamond" w:hAnsi="Garamond" w:cs="Garamond"/>
          <w:color w:val="2A2A2A"/>
          <w:sz w:val="22"/>
          <w:szCs w:val="22"/>
        </w:rPr>
        <w:t xml:space="preserve">(5)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w:t>
      </w:r>
    </w:p>
    <w:p>
      <w:pPr>
        <w:spacing w:after="120"/>
        <w:ind w:left="431"/>
        <w:jc w:val="both"/>
      </w:pPr>
      <w:r>
        <w:rPr>
          <w:rFonts w:ascii="Garamond" w:eastAsia="Garamond" w:hAnsi="Garamond" w:cs="Garamond"/>
          <w:color w:val="2A2A2A"/>
          <w:sz w:val="22"/>
          <w:szCs w:val="22"/>
        </w:rPr>
        <w:t xml:space="preserve">(6) Where the Civic Consul is temporarily unable to exercise authority as determined under §2.16, acting authority vests by constitutional operation in accordance with the following order: (i) the Assembly Speaker; (ii) persons holding offices designated by statute for this purpose, in the order so established; (iii) the most senior Assembly member by continuous service; where two or more members have equal continuous service, the tiebreaker is determined by statute. A person in the order of succession may decline under §2.16(4). The person last in the order may not decline. While serving in an acting executive capacity under this subsection, the acting officer may not exercise any legislative function; the officer retains their Assembly seat and any Assembly office held, and the Assembly provides for the exercise of those functions during that period under its internal procedures. Acting service neither extends nor suspends the officer's electoral mandate; where the acting officer ceases to be a member of the Assembly, acting authority passes by constitutional operation to the next person in the order of succession then qualified. Acting status ends when the Civic Consul's incapacity ends under §2.16(3) or a new Civic Consul is elected under §2.6; the acting officer's legislative functions resume at that moment.</w:t>
      </w:r>
    </w:p>
    <w:p>
      <w:pPr>
        <w:spacing w:after="120"/>
        <w:ind w:left="431"/>
        <w:jc w:val="both"/>
      </w:pPr>
      <w:r>
        <w:rPr>
          <w:rFonts w:ascii="Garamond" w:eastAsia="Garamond" w:hAnsi="Garamond" w:cs="Garamond"/>
          <w:color w:val="2A2A2A"/>
          <w:sz w:val="22"/>
          <w:szCs w:val="22"/>
        </w:rPr>
        <w:t xml:space="preserve">(7)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pPr>
        <w:spacing w:after="120"/>
        <w:ind w:left="431"/>
        <w:jc w:val="both"/>
      </w:pPr>
      <w:r>
        <w:rPr>
          <w:rFonts w:ascii="Garamond" w:eastAsia="Garamond" w:hAnsi="Garamond" w:cs="Garamond"/>
          <w:color w:val="2A2A2A"/>
          <w:sz w:val="22"/>
          <w:szCs w:val="22"/>
        </w:rPr>
        <w:t xml:space="preserve">(1) 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w:t>
      </w:r>
    </w:p>
    <w:p>
      <w:pPr>
        <w:spacing w:after="120"/>
        <w:ind w:left="431"/>
        <w:jc w:val="both"/>
      </w:pPr>
      <w:r>
        <w:rPr>
          <w:rFonts w:ascii="Garamond" w:eastAsia="Garamond" w:hAnsi="Garamond" w:cs="Garamond"/>
          <w:color w:val="2A2A2A"/>
          <w:sz w:val="22"/>
          <w:szCs w:val="22"/>
        </w:rPr>
        <w:t xml:space="preserve">(2)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w:t>
      </w:r>
    </w:p>
    <w:p>
      <w:pPr>
        <w:spacing w:after="120"/>
        <w:ind w:left="431"/>
        <w:jc w:val="both"/>
      </w:pPr>
      <w:r>
        <w:rPr>
          <w:rFonts w:ascii="Garamond" w:eastAsia="Garamond" w:hAnsi="Garamond" w:cs="Garamond"/>
          <w:color w:val="2A2A2A"/>
          <w:sz w:val="22"/>
          <w:szCs w:val="22"/>
        </w:rPr>
        <w:t xml:space="preserve">(3)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w:t>
      </w:r>
    </w:p>
    <w:p>
      <w:pPr>
        <w:spacing w:after="120"/>
        <w:ind w:left="431"/>
        <w:jc w:val="both"/>
      </w:pPr>
      <w:r>
        <w:rPr>
          <w:rFonts w:ascii="Garamond" w:eastAsia="Garamond" w:hAnsi="Garamond" w:cs="Garamond"/>
          <w:color w:val="2A2A2A"/>
          <w:sz w:val="22"/>
          <w:szCs w:val="22"/>
        </w:rPr>
        <w:t xml:space="preserve">(4) This section governs a person elected or installed to the office of Civic Consul; the Assembly Speaker serving as Acting Civic Consul under §2.5 or §2.6.a retains their own Assembly seat and does not vacate it.</w:t>
      </w:r>
    </w:p>
    <w:p>
      <w:pPr>
        <w:spacing w:after="120"/>
        <w:ind w:left="431"/>
        <w:jc w:val="both"/>
      </w:pPr>
      <w:r>
        <w:rPr>
          <w:rFonts w:ascii="Garamond" w:eastAsia="Garamond" w:hAnsi="Garamond" w:cs="Garamond"/>
          <w:color w:val="2A2A2A"/>
          <w:sz w:val="22"/>
          <w:szCs w:val="22"/>
        </w:rPr>
        <w:t xml:space="preserve">(5) The Civic Consul serves until removed under this section, until the expiration of the consecutive-service limit under §2.5, by resignation, or through the pathways of §3.10.</w:t>
      </w:r>
    </w:p>
    <w:p>
      <w:pPr>
        <w:spacing w:after="120"/>
        <w:ind w:left="431"/>
        <w:jc w:val="both"/>
      </w:pPr>
      <w:r>
        <w:rPr>
          <w:rFonts w:ascii="Garamond" w:eastAsia="Garamond" w:hAnsi="Garamond" w:cs="Garamond"/>
          <w:color w:val="2A2A2A"/>
          <w:sz w:val="22"/>
          <w:szCs w:val="22"/>
        </w:rPr>
        <w:t xml:space="preserve">(6)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pPr>
        <w:spacing w:after="120"/>
        <w:ind w:left="431"/>
        <w:jc w:val="both"/>
      </w:pPr>
      <w:r>
        <w:rPr>
          <w:rFonts w:ascii="Garamond" w:eastAsia="Garamond" w:hAnsi="Garamond" w:cs="Garamond"/>
          <w:color w:val="2A2A2A"/>
          <w:sz w:val="22"/>
          <w:szCs w:val="22"/>
        </w:rPr>
        <w:t xml:space="preserve">(1) The Assembly elects the Civic Consul by absolute majority within the period defined by statute following any general election or vacancy; where no statutory period has been established, the constitutional default is 21 days.</w:t>
      </w:r>
    </w:p>
    <w:p>
      <w:pPr>
        <w:spacing w:after="120"/>
        <w:ind w:left="431"/>
        <w:jc w:val="both"/>
      </w:pPr>
      <w:r>
        <w:rPr>
          <w:rFonts w:ascii="Garamond" w:eastAsia="Garamond" w:hAnsi="Garamond" w:cs="Garamond"/>
          <w:color w:val="2A2A2A"/>
          <w:sz w:val="22"/>
          <w:szCs w:val="22"/>
        </w:rPr>
        <w:t xml:space="preserve">(2) If the Assembly does not elect a Civic Consul within that period, the acting role attaches automatically to the sitting Assembly Speaker, who serves as Acting Civic Consul by constitutional operation with authority limited to maintaining existing policy, and retains their Assembly seat. Where there is no sitting Speaker, the most senior Assembly member by continuous service serves in the acting role instead; where two or more members have equal continuous service, the tiebreaker is determined by statute. The acting service is published to the NRS. The Acting Civic Consul is not subject to removal under §2.6.</w:t>
      </w:r>
    </w:p>
    <w:p>
      <w:pPr>
        <w:spacing w:after="120"/>
        <w:ind w:left="431"/>
        <w:jc w:val="both"/>
      </w:pPr>
      <w:r>
        <w:rPr>
          <w:rFonts w:ascii="Garamond" w:eastAsia="Garamond" w:hAnsi="Garamond" w:cs="Garamond"/>
          <w:color w:val="2A2A2A"/>
          <w:sz w:val="22"/>
          <w:szCs w:val="22"/>
        </w:rPr>
        <w:t xml:space="preserve">(3) Bills passed during the Acting Civic Consul's service are presented to the Acting Civic Consul. The Acting Civic Consul may not exercise the suspensive veto under §2.7 but may, within 10 business days of final passage, publish a written pause notice to the NRS staying enactment. Upon such notice, the Speaker shall schedule the bill for recall by the Assembly; the Assembly may withdraw the bill by simple majority within the pause period. A bill not so withdrawn is enacted by operation of law at the close of the 10-business-day period. Where the Acting Civic Consul issues no pause notice within 10 business days of final passage, the bill is enacted by operation of law. The pause may not be used on the annual budget, bills implementing a constitutional obligation, or emergency legislation.</w:t>
      </w:r>
    </w:p>
    <w:p>
      <w:pPr>
        <w:spacing w:after="120"/>
        <w:ind w:left="431"/>
        <w:jc w:val="both"/>
      </w:pPr>
      <w:r>
        <w:rPr>
          <w:rFonts w:ascii="Garamond" w:eastAsia="Garamond" w:hAnsi="Garamond" w:cs="Garamond"/>
          <w:color w:val="2A2A2A"/>
          <w:sz w:val="22"/>
          <w:szCs w:val="22"/>
        </w:rPr>
        <w:t xml:space="preserve">(4) The Acting Civic Consul administers a nominating ballot of the Assembly to identify candidates for a national election. This administration is purely procedural and confers no discretion over the ballot's conduct or result. The ballot requires no quorum and produces its result regardless of participation. The candidates receiving the most votes advance, being no fewer than two and no more than four; where a tie would cause more than four candidates to advance, the tie is resolved in favor of the candidate with greater continuous service, with any remaining tie determined by statute. Where only one member receives votes, that member advances alone and is submitted to the national vote for ratification. Only members otherwise qualified for the office of Civic Consul under §2.5 and §7.4 may advance.</w:t>
      </w:r>
    </w:p>
    <w:p>
      <w:pPr>
        <w:spacing w:after="120"/>
        <w:ind w:left="431"/>
        <w:jc w:val="both"/>
      </w:pPr>
      <w:r>
        <w:rPr>
          <w:rFonts w:ascii="Garamond" w:eastAsia="Garamond" w:hAnsi="Garamond" w:cs="Garamond"/>
          <w:color w:val="2A2A2A"/>
          <w:sz w:val="22"/>
          <w:szCs w:val="22"/>
        </w:rPr>
        <w:t xml:space="preserve">(5) The Elections Panel administers a national ranked-choice election among the advancing candidates, to be held within the period defined by statute, with a constitutional default of 45 days and an absolute maximum of 90 days from the close of the nominating ballot. The Elections Panel may extend the period beyond the default only for cause published to the NRS, and in no case beyond 90 days. Where a single candidate stands for ratification, the national vote is a simple yes-or-no question. Should an advancing candidate become ineligible before the vote, the election proceeds among those who remain qualified.</w:t>
      </w:r>
    </w:p>
    <w:p>
      <w:pPr>
        <w:spacing w:after="120"/>
        <w:ind w:left="431"/>
        <w:jc w:val="both"/>
      </w:pPr>
      <w:r>
        <w:rPr>
          <w:rFonts w:ascii="Garamond" w:eastAsia="Garamond" w:hAnsi="Garamond" w:cs="Garamond"/>
          <w:color w:val="2A2A2A"/>
          <w:sz w:val="22"/>
          <w:szCs w:val="22"/>
        </w:rPr>
        <w:t xml:space="preserve">(6) The candidate winning the national election, whether by ranked-choice tabulation or by ratification, becomes Civic Consul with full authority, vacates their Assembly seat under §2.6, and is subject to removal only under §2.6. The Acting Civic Consul's service ends upon that installation.</w:t>
      </w:r>
    </w:p>
    <w:p>
      <w:pPr>
        <w:spacing w:after="120"/>
        <w:ind w:left="431"/>
        <w:jc w:val="both"/>
      </w:pPr>
      <w:r>
        <w:rPr>
          <w:rFonts w:ascii="Garamond" w:eastAsia="Garamond" w:hAnsi="Garamond" w:cs="Garamond"/>
          <w:color w:val="2A2A2A"/>
          <w:sz w:val="22"/>
          <w:szCs w:val="22"/>
        </w:rPr>
        <w:t xml:space="preserve">(7) At any time before the national election begins, the Assembly may elect a Civic Consul by absolute majority, which terminates the fallback and returns the office to the ordinary process. Once the national election has begun, it proceeds to conclusion.</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pPr>
        <w:spacing w:after="120"/>
        <w:ind w:left="431"/>
        <w:jc w:val="both"/>
      </w:pPr>
      <w:r>
        <w:rPr>
          <w:rFonts w:ascii="Garamond" w:eastAsia="Garamond" w:hAnsi="Garamond" w:cs="Garamond"/>
          <w:color w:val="2A2A2A"/>
          <w:sz w:val="22"/>
          <w:szCs w:val="22"/>
        </w:rPr>
        <w:t xml:space="preserve">(1) 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w:t>
      </w:r>
    </w:p>
    <w:p>
      <w:pPr>
        <w:spacing w:after="120"/>
        <w:ind w:left="431"/>
        <w:jc w:val="both"/>
      </w:pPr>
      <w:r>
        <w:rPr>
          <w:rFonts w:ascii="Garamond" w:eastAsia="Garamond" w:hAnsi="Garamond" w:cs="Garamond"/>
          <w:color w:val="2A2A2A"/>
          <w:sz w:val="22"/>
          <w:szCs w:val="22"/>
        </w:rPr>
        <w:t xml:space="preserve">(2)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w:t>
      </w:r>
    </w:p>
    <w:p>
      <w:pPr>
        <w:spacing w:after="120"/>
        <w:ind w:left="431"/>
        <w:jc w:val="both"/>
      </w:pPr>
      <w:r>
        <w:rPr>
          <w:rFonts w:ascii="Garamond" w:eastAsia="Garamond" w:hAnsi="Garamond" w:cs="Garamond"/>
          <w:color w:val="2A2A2A"/>
          <w:sz w:val="22"/>
          <w:szCs w:val="22"/>
        </w:rPr>
        <w:t xml:space="preserve">(3) The Legislature shall by statute establish an order of succession for the Legat Consul's temporary incapacity under §2.9(6)(ii) and for full succession beyond the constitutional floor under §2.9(2). Until such statute is enacted, the constitutional order under §2.9(6)(i) and (iii) applies.</w:t>
      </w:r>
    </w:p>
    <w:p>
      <w:pPr>
        <w:spacing w:after="120"/>
        <w:ind w:left="431"/>
        <w:jc w:val="both"/>
      </w:pPr>
      <w:r>
        <w:rPr>
          <w:rFonts w:ascii="Garamond" w:eastAsia="Garamond" w:hAnsi="Garamond" w:cs="Garamond"/>
          <w:color w:val="2A2A2A"/>
          <w:sz w:val="22"/>
          <w:szCs w:val="22"/>
        </w:rPr>
        <w:t xml:space="preserve">(4) Upon NRS publication of any triggering event, the military chain of command recognizes the constitutional transfer immediately; any order issued in the name of the prior Legat Consul after that moment is constitutionally void.</w:t>
      </w:r>
    </w:p>
    <w:p>
      <w:pPr>
        <w:spacing w:after="120"/>
        <w:ind w:left="431"/>
        <w:jc w:val="both"/>
      </w:pPr>
      <w:r>
        <w:rPr>
          <w:rFonts w:ascii="Garamond" w:eastAsia="Garamond" w:hAnsi="Garamond" w:cs="Garamond"/>
          <w:color w:val="2A2A2A"/>
          <w:sz w:val="22"/>
          <w:szCs w:val="22"/>
        </w:rPr>
        <w:t xml:space="preserve">(5)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w:t>
      </w:r>
    </w:p>
    <w:p>
      <w:pPr>
        <w:spacing w:after="120"/>
        <w:ind w:left="431"/>
        <w:jc w:val="both"/>
      </w:pPr>
      <w:r>
        <w:rPr>
          <w:rFonts w:ascii="Garamond" w:eastAsia="Garamond" w:hAnsi="Garamond" w:cs="Garamond"/>
          <w:color w:val="2A2A2A"/>
          <w:sz w:val="22"/>
          <w:szCs w:val="22"/>
        </w:rPr>
        <w:t xml:space="preserve">(6) Where the Legat Consul is temporarily unable to exercise authority as determined under §2.16, acting authority vests by constitutional operation in accordance with the following order: (i) the Senate Speaker; (ii) persons holding offices designated by statute for this purpose, in the order so established; (iii) the most senior Senator by continuous Senate service; where two or more Senators have equal continuous service, the oldest by age holds the office. A person in the order of succession may decline under §2.16(4). The person last in the order may not decline. While serving in an acting executive capacity under this subsection, the acting officer may not exercise any legislative function; the officer retains their Senate seat and any Senate office held, and the Senate provides for the exercise of those functions during that period under its internal procedures. Acting service neither extends nor suspends the officer's electoral mandate; where the acting officer ceases to be a Senator, acting authority passes by constitutional operation to the next person in the order of succession then qualified. Acting authority ends when the Legat Consul's incapacity ends under §2.16(3).</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§2.16  </w:t>
      </w:r>
      <w:r>
        <w:rPr>
          <w:rFonts w:ascii="Garamond" w:eastAsia="Garamond" w:hAnsi="Garamond" w:cs="Garamond"/>
          <w:i/>
          <w:iCs/>
          <w:color w:val="1B2A4A"/>
          <w:sz w:val="22"/>
          <w:szCs w:val="22"/>
        </w:rPr>
        <w:t>Executive Incapacity</w:t>
      </w:r>
    </w:p>
    <w:p>
      <w:pPr>
        <w:spacing w:after="120"/>
        <w:ind w:left="431"/>
        <w:jc w:val="both"/>
      </w:pPr>
      <w:r>
        <w:rPr>
          <w:rFonts w:ascii="Garamond" w:eastAsia="Garamond" w:hAnsi="Garamond" w:cs="Garamond"/>
          <w:color w:val="2A2A2A"/>
          <w:sz w:val="22"/>
          <w:szCs w:val="22"/>
        </w:rPr>
        <w:t xml:space="preserve">(1) A Consul is temporarily unable to exercise authority when either of the following is published to the National Record System:</w:t>
      </w:r>
    </w:p>
    <w:p>
      <w:pPr>
        <w:spacing w:after="120"/>
        <w:ind w:left="720"/>
        <w:jc w:val="both"/>
      </w:pPr>
      <w:r>
        <w:rPr>
          <w:rFonts w:ascii="Garamond" w:eastAsia="Garamond" w:hAnsi="Garamond" w:cs="Garamond"/>
          <w:color w:val="2A2A2A"/>
          <w:sz w:val="22"/>
          <w:szCs w:val="22"/>
        </w:rPr>
        <w:t xml:space="preserve">(a) a declaration of incapacity by the Consul; or</w:t>
      </w:r>
    </w:p>
    <w:p>
      <w:pPr>
        <w:spacing w:after="120"/>
        <w:ind w:left="720"/>
        <w:jc w:val="both"/>
      </w:pPr>
      <w:r>
        <w:rPr>
          <w:rFonts w:ascii="Garamond" w:eastAsia="Garamond" w:hAnsi="Garamond" w:cs="Garamond"/>
          <w:color w:val="2A2A2A"/>
          <w:sz w:val="22"/>
          <w:szCs w:val="22"/>
        </w:rPr>
        <w:t xml:space="preserve">(b) a determination of incapacity by the Council of Ministers under subsection (2).</w:t>
      </w:r>
    </w:p>
    <w:p>
      <w:pPr>
        <w:spacing w:after="120"/>
        <w:ind w:left="431"/>
        <w:jc w:val="both"/>
      </w:pPr>
      <w:r>
        <w:rPr>
          <w:rFonts w:ascii="Garamond" w:eastAsia="Garamond" w:hAnsi="Garamond" w:cs="Garamond"/>
          <w:color w:val="2A2A2A"/>
          <w:sz w:val="22"/>
          <w:szCs w:val="22"/>
        </w:rPr>
        <w:t xml:space="preserve">(2) Council of Ministers determination:</w:t>
      </w:r>
    </w:p>
    <w:p>
      <w:pPr>
        <w:spacing w:after="120"/>
        <w:ind w:left="720"/>
        <w:jc w:val="both"/>
      </w:pPr>
      <w:r>
        <w:rPr>
          <w:rFonts w:ascii="Garamond" w:eastAsia="Garamond" w:hAnsi="Garamond" w:cs="Garamond"/>
          <w:color w:val="2A2A2A"/>
          <w:sz w:val="22"/>
          <w:szCs w:val="22"/>
        </w:rPr>
        <w:t xml:space="preserve">(a) The Council may, by majority of members then in office provided no fewer than five are in office, determine that a Consul is temporarily unable to exercise authority. This function is a constitutional function of the Council and is not an exercise of executive authority.</w:t>
      </w:r>
    </w:p>
    <w:p>
      <w:pPr>
        <w:spacing w:after="120"/>
        <w:ind w:left="720"/>
        <w:jc w:val="both"/>
      </w:pPr>
      <w:r>
        <w:rPr>
          <w:rFonts w:ascii="Garamond" w:eastAsia="Garamond" w:hAnsi="Garamond" w:cs="Garamond"/>
          <w:color w:val="2A2A2A"/>
          <w:sz w:val="22"/>
          <w:szCs w:val="22"/>
        </w:rPr>
        <w:t xml:space="preserve">(b) The determination is published to the NRS; upon publication, acting authority vests in accordance with the applicable succession provision.</w:t>
      </w:r>
    </w:p>
    <w:p>
      <w:pPr>
        <w:spacing w:after="120"/>
        <w:ind w:left="720"/>
        <w:jc w:val="both"/>
      </w:pPr>
      <w:r>
        <w:rPr>
          <w:rFonts w:ascii="Garamond" w:eastAsia="Garamond" w:hAnsi="Garamond" w:cs="Garamond"/>
          <w:color w:val="2A2A2A"/>
          <w:sz w:val="22"/>
          <w:szCs w:val="22"/>
        </w:rPr>
        <w:t xml:space="preserve">(c) Within 14 days of publication, the Consul's accountability chamber — the Assembly for the Civic Consul, the Senate for the Legat Consul — shall vote on ratification. If the chamber has not voted within 14 days, the determination is deemed ratified. If the chamber, by absolute majority of its full seated membership, rejects the determination, the rejection is effective only if the Consul publishes a restoration declaration to the NRS within 24 hours of the rejection; otherwise the determination stands and acting authority continues.</w:t>
      </w:r>
    </w:p>
    <w:p>
      <w:pPr>
        <w:spacing w:after="120"/>
        <w:ind w:left="720"/>
        <w:jc w:val="both"/>
      </w:pPr>
      <w:r>
        <w:rPr>
          <w:rFonts w:ascii="Garamond" w:eastAsia="Garamond" w:hAnsi="Garamond" w:cs="Garamond"/>
          <w:color w:val="2A2A2A"/>
          <w:sz w:val="22"/>
          <w:szCs w:val="22"/>
        </w:rPr>
        <w:t xml:space="preserve">(d) If the Consul publishes a restoration declaration before the chamber has voted on ratification, the Council's determination lapses and the incapacity ends.</w:t>
      </w:r>
    </w:p>
    <w:p>
      <w:pPr>
        <w:spacing w:after="120"/>
        <w:ind w:left="431"/>
        <w:jc w:val="both"/>
      </w:pPr>
      <w:r>
        <w:rPr>
          <w:rFonts w:ascii="Garamond" w:eastAsia="Garamond" w:hAnsi="Garamond" w:cs="Garamond"/>
          <w:color w:val="2A2A2A"/>
          <w:sz w:val="22"/>
          <w:szCs w:val="22"/>
        </w:rPr>
        <w:t xml:space="preserve">(3) Termination of incapacity:</w:t>
      </w:r>
    </w:p>
    <w:p>
      <w:pPr>
        <w:spacing w:after="120"/>
        <w:ind w:left="720"/>
        <w:jc w:val="both"/>
      </w:pPr>
      <w:r>
        <w:rPr>
          <w:rFonts w:ascii="Garamond" w:eastAsia="Garamond" w:hAnsi="Garamond" w:cs="Garamond"/>
          <w:color w:val="2A2A2A"/>
          <w:sz w:val="22"/>
          <w:szCs w:val="22"/>
        </w:rPr>
        <w:t xml:space="preserve">(a) An incapacity under subsection (1)(a) ends when the Consul publishes a restoration declaration to the NRS.</w:t>
      </w:r>
    </w:p>
    <w:p>
      <w:pPr>
        <w:spacing w:after="120"/>
        <w:ind w:left="720"/>
        <w:jc w:val="both"/>
      </w:pPr>
      <w:r>
        <w:rPr>
          <w:rFonts w:ascii="Garamond" w:eastAsia="Garamond" w:hAnsi="Garamond" w:cs="Garamond"/>
          <w:color w:val="2A2A2A"/>
          <w:sz w:val="22"/>
          <w:szCs w:val="22"/>
        </w:rPr>
        <w:t xml:space="preserve">(b) An incapacity under subsection (1)(b) ends when the Consul publishes a restoration declaration to the NRS, unless the Council's determination has been ratified or deemed ratified, in which case the incapacity ends only when the accountability chamber so resolves by absolute majority of its full seated membership.</w:t>
      </w:r>
    </w:p>
    <w:p>
      <w:pPr>
        <w:spacing w:after="120"/>
        <w:ind w:left="431"/>
        <w:jc w:val="both"/>
      </w:pPr>
      <w:r>
        <w:rPr>
          <w:rFonts w:ascii="Garamond" w:eastAsia="Garamond" w:hAnsi="Garamond" w:cs="Garamond"/>
          <w:color w:val="2A2A2A"/>
          <w:sz w:val="22"/>
          <w:szCs w:val="22"/>
        </w:rPr>
        <w:t xml:space="preserve">(4) Declination:</w:t>
      </w:r>
    </w:p>
    <w:p>
      <w:pPr>
        <w:spacing w:after="120"/>
        <w:ind w:left="720"/>
        <w:jc w:val="both"/>
      </w:pPr>
      <w:r>
        <w:rPr>
          <w:rFonts w:ascii="Garamond" w:eastAsia="Garamond" w:hAnsi="Garamond" w:cs="Garamond"/>
          <w:color w:val="2A2A2A"/>
          <w:sz w:val="22"/>
          <w:szCs w:val="22"/>
        </w:rPr>
        <w:t xml:space="preserve">(a) A person upon whom acting executive authority would fall under §2.5(6) or §2.9(6) may decline by publishing a declination to the NRS within 48 hours of the incapacity publication.</w:t>
      </w:r>
    </w:p>
    <w:p>
      <w:pPr>
        <w:spacing w:after="120"/>
        <w:ind w:left="720"/>
        <w:jc w:val="both"/>
      </w:pPr>
      <w:r>
        <w:rPr>
          <w:rFonts w:ascii="Garamond" w:eastAsia="Garamond" w:hAnsi="Garamond" w:cs="Garamond"/>
          <w:color w:val="2A2A2A"/>
          <w:sz w:val="22"/>
          <w:szCs w:val="22"/>
        </w:rPr>
        <w:t xml:space="preserve">(b) Upon publication of the declination, acting authority passes by constitutional operation to the next person in the applicable order of succession.</w:t>
      </w:r>
    </w:p>
    <w:p>
      <w:pPr>
        <w:spacing w:after="120"/>
        <w:ind w:left="720"/>
        <w:jc w:val="both"/>
      </w:pPr>
      <w:r>
        <w:rPr>
          <w:rFonts w:ascii="Garamond" w:eastAsia="Garamond" w:hAnsi="Garamond" w:cs="Garamond"/>
          <w:color w:val="2A2A2A"/>
          <w:sz w:val="22"/>
          <w:szCs w:val="22"/>
        </w:rPr>
        <w:t xml:space="preserve">(c) A declination is irrevocable and does not prejudice the person's eligibility for any future succession event. A person who does not publish a declination within 48 hours is deemed to have accepted.</w:t>
      </w:r>
    </w:p>
    <w:p>
      <w:pPr>
        <w:spacing w:after="120"/>
        <w:ind w:left="720"/>
        <w:jc w:val="both"/>
      </w:pPr>
      <w:r>
        <w:rPr>
          <w:rFonts w:ascii="Garamond" w:eastAsia="Garamond" w:hAnsi="Garamond" w:cs="Garamond"/>
          <w:color w:val="2A2A2A"/>
          <w:sz w:val="22"/>
          <w:szCs w:val="22"/>
        </w:rPr>
        <w:t xml:space="preserve">(d) The person last in the order of succession may not decline.</w:t>
      </w:r>
    </w:p>
    <w:p>
      <w:pPr>
        <w:spacing w:after="120"/>
        <w:ind w:left="431"/>
        <w:jc w:val="both"/>
      </w:pPr>
      <w:r>
        <w:rPr>
          <w:rFonts w:ascii="Garamond" w:eastAsia="Garamond" w:hAnsi="Garamond" w:cs="Garamond"/>
          <w:color w:val="2A2A2A"/>
          <w:sz w:val="22"/>
          <w:szCs w:val="22"/>
        </w:rPr>
        <w:t xml:space="preserve">(5) Duration. An incapacity under this section that has continued for 90 days ends by constitutional operation unless, before expiry, a removal process under §2.6 or §2.13 has been initiated against the Consul, in which case the incapacity continues until that process concludes.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pPr>
        <w:spacing w:after="120"/>
        <w:ind w:left="431"/>
        <w:jc w:val="both"/>
      </w:pPr>
      <w:r>
        <w:rPr>
          <w:rFonts w:ascii="Garamond" w:eastAsia="Garamond" w:hAnsi="Garamond" w:cs="Garamond"/>
          <w:color w:val="2A2A2A"/>
          <w:sz w:val="22"/>
          <w:szCs w:val="22"/>
        </w:rPr>
        <w:t xml:space="preserve">(1) 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w:t>
      </w:r>
    </w:p>
    <w:p>
      <w:pPr>
        <w:spacing w:after="120"/>
        <w:ind w:left="431"/>
        <w:jc w:val="both"/>
      </w:pPr>
      <w:r>
        <w:rPr>
          <w:rFonts w:ascii="Garamond" w:eastAsia="Garamond" w:hAnsi="Garamond" w:cs="Garamond"/>
          <w:color w:val="2A2A2A"/>
          <w:sz w:val="22"/>
          <w:szCs w:val="22"/>
        </w:rPr>
        <w:t xml:space="preserve">(2) The census, conducted every ten years by a statutory independent agency, is the basis for reapportionment. The LM audits the census and allocation process.</w:t>
      </w:r>
    </w:p>
    <w:p>
      <w:pPr>
        <w:spacing w:after="120"/>
        <w:ind w:left="431"/>
        <w:jc w:val="both"/>
      </w:pPr>
      <w:r>
        <w:rPr>
          <w:rFonts w:ascii="Garamond" w:eastAsia="Garamond" w:hAnsi="Garamond" w:cs="Garamond"/>
          <w:color w:val="2A2A2A"/>
          <w:sz w:val="22"/>
          <w:szCs w:val="22"/>
        </w:rPr>
        <w:t xml:space="preserve">(3)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w:t>
      </w:r>
    </w:p>
    <w:p>
      <w:pPr>
        <w:spacing w:after="120"/>
        <w:ind w:left="431"/>
        <w:jc w:val="both"/>
      </w:pPr>
      <w:r>
        <w:rPr>
          <w:rFonts w:ascii="Garamond" w:eastAsia="Garamond" w:hAnsi="Garamond" w:cs="Garamond"/>
          <w:color w:val="2A2A2A"/>
          <w:sz w:val="22"/>
          <w:szCs w:val="22"/>
        </w:rPr>
        <w:t xml:space="preserve">(4) Members serve two-year terms. No member may serve more than six consecutive terms without sitting out one full electoral cycle;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(5) Any Assembly member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(6)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pPr>
        <w:spacing w:after="120"/>
        <w:ind w:left="431"/>
        <w:jc w:val="both"/>
      </w:pPr>
      <w:r>
        <w:rPr>
          <w:rFonts w:ascii="Garamond" w:eastAsia="Garamond" w:hAnsi="Garamond" w:cs="Garamond"/>
          <w:color w:val="2A2A2A"/>
          <w:sz w:val="22"/>
          <w:szCs w:val="22"/>
        </w:rPr>
        <w:t xml:space="preserve">(1) The Senate comprises two senators per State regardless of population, elected for six-year staggered terms.</w:t>
      </w:r>
    </w:p>
    <w:p>
      <w:pPr>
        <w:spacing w:after="120"/>
        <w:ind w:left="431"/>
        <w:jc w:val="both"/>
      </w:pPr>
      <w:r>
        <w:rPr>
          <w:rFonts w:ascii="Garamond" w:eastAsia="Garamond" w:hAnsi="Garamond" w:cs="Garamond"/>
          <w:color w:val="2A2A2A"/>
          <w:sz w:val="22"/>
          <w:szCs w:val="22"/>
        </w:rPr>
        <w:t xml:space="preserve">(2)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w:t>
      </w:r>
    </w:p>
    <w:p>
      <w:pPr>
        <w:spacing w:after="120"/>
        <w:ind w:left="431"/>
        <w:jc w:val="both"/>
      </w:pPr>
      <w:r>
        <w:rPr>
          <w:rFonts w:ascii="Garamond" w:eastAsia="Garamond" w:hAnsi="Garamond" w:cs="Garamond"/>
          <w:color w:val="2A2A2A"/>
          <w:sz w:val="22"/>
          <w:szCs w:val="22"/>
        </w:rPr>
        <w:t xml:space="preserve">(3) No senator may serve more than two consecutive terms without sitting out one full term;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(4) Any senator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(5) The Senate Speaker is elected by senators and may not serve more than two consecutive full Senate terms as Speaker without sitting out one full Senate term.</w:t>
      </w:r>
    </w:p>
    <w:p>
      <w:pPr>
        <w:spacing w:after="120"/>
        <w:ind w:left="431"/>
        <w:jc w:val="both"/>
      </w:pPr>
      <w:r>
        <w:rPr>
          <w:rFonts w:ascii="Garamond" w:eastAsia="Garamond" w:hAnsi="Garamond" w:cs="Garamond"/>
          <w:color w:val="2A2A2A"/>
          <w:sz w:val="22"/>
          <w:szCs w:val="22"/>
        </w:rPr>
        <w:t xml:space="preserve">(6) The Senate defines its own internal procedures. The Senate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w:t>
      </w:r>
    </w:p>
    <w:p>
      <w:pPr>
        <w:spacing w:after="120"/>
        <w:ind w:left="431"/>
        <w:jc w:val="both"/>
      </w:pPr>
      <w:r>
        <w:rPr>
          <w:rFonts w:ascii="Garamond" w:eastAsia="Garamond" w:hAnsi="Garamond" w:cs="Garamond"/>
          <w:color w:val="2A2A2A"/>
          <w:sz w:val="22"/>
          <w:szCs w:val="22"/>
        </w:rPr>
        <w:t xml:space="preserve">(8) The Senate holds exclusive authority over:</w:t>
      </w:r>
    </w:p>
    <w:p>
      <w:pPr>
        <w:spacing w:after="120"/>
        <w:ind w:left="720"/>
        <w:jc w:val="both"/>
      </w:pPr>
      <w:r>
        <w:rPr>
          <w:rFonts w:ascii="Garamond" w:eastAsia="Garamond" w:hAnsi="Garamond" w:cs="Garamond"/>
          <w:color w:val="2A2A2A"/>
          <w:sz w:val="22"/>
          <w:szCs w:val="22"/>
        </w:rPr>
        <w:t xml:space="preserve">— judicial confirmation;</w:t>
      </w:r>
    </w:p>
    <w:p>
      <w:pPr>
        <w:spacing w:after="120"/>
        <w:ind w:left="720"/>
        <w:jc w:val="both"/>
      </w:pPr>
      <w:r>
        <w:rPr>
          <w:rFonts w:ascii="Garamond" w:eastAsia="Garamond" w:hAnsi="Garamond" w:cs="Garamond"/>
          <w:color w:val="2A2A2A"/>
          <w:sz w:val="22"/>
          <w:szCs w:val="22"/>
        </w:rPr>
        <w:t xml:space="preserve">— treaty ratification by 2/3 of full seated membership;</w:t>
      </w:r>
    </w:p>
    <w:p>
      <w:pPr>
        <w:spacing w:after="120"/>
        <w:ind w:left="720"/>
        <w:jc w:val="both"/>
      </w:pPr>
      <w:r>
        <w:rPr>
          <w:rFonts w:ascii="Garamond" w:eastAsia="Garamond" w:hAnsi="Garamond" w:cs="Garamond"/>
          <w:color w:val="2A2A2A"/>
          <w:sz w:val="22"/>
          <w:szCs w:val="22"/>
        </w:rPr>
        <w:t xml:space="preserve">— and, in the absence of a functioning Elections Panel, administration of the consular election.</w:t>
      </w:r>
    </w:p>
    <w:p>
      <w:pPr>
        <w:spacing w:after="120"/>
        <w:ind w:left="431"/>
        <w:jc w:val="both"/>
      </w:pPr>
      <w:r>
        <w:rPr>
          <w:rFonts w:ascii="Garamond" w:eastAsia="Garamond" w:hAnsi="Garamond" w:cs="Garamond"/>
          <w:color w:val="2A2A2A"/>
          <w:sz w:val="22"/>
          <w:szCs w:val="22"/>
        </w:rPr>
        <w:t xml:space="preserve">(9)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pPr>
        <w:spacing w:after="120"/>
        <w:ind w:left="431"/>
        <w:jc w:val="both"/>
      </w:pPr>
      <w:r>
        <w:rPr>
          <w:rFonts w:ascii="Garamond" w:eastAsia="Garamond" w:hAnsi="Garamond" w:cs="Garamond"/>
          <w:color w:val="2A2A2A"/>
          <w:sz w:val="22"/>
          <w:szCs w:val="22"/>
        </w:rPr>
        <w:t xml:space="preserve">(1) 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w:t>
      </w:r>
    </w:p>
    <w:p>
      <w:pPr>
        <w:spacing w:after="120"/>
        <w:ind w:left="431"/>
        <w:jc w:val="both"/>
      </w:pPr>
      <w:r>
        <w:rPr>
          <w:rFonts w:ascii="Garamond" w:eastAsia="Garamond" w:hAnsi="Garamond" w:cs="Garamond"/>
          <w:color w:val="2A2A2A"/>
          <w:sz w:val="22"/>
          <w:szCs w:val="22"/>
        </w:rPr>
        <w:t xml:space="preserve">(2)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w:t>
      </w:r>
    </w:p>
    <w:p>
      <w:pPr>
        <w:spacing w:after="120"/>
        <w:ind w:left="431"/>
        <w:jc w:val="both"/>
      </w:pPr>
      <w:r>
        <w:rPr>
          <w:rFonts w:ascii="Garamond" w:eastAsia="Garamond" w:hAnsi="Garamond" w:cs="Garamond"/>
          <w:color w:val="2A2A2A"/>
          <w:sz w:val="22"/>
          <w:szCs w:val="22"/>
        </w:rPr>
        <w:t xml:space="preserve">(3)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w:t>
      </w:r>
    </w:p>
    <w:p>
      <w:pPr>
        <w:spacing w:after="120"/>
        <w:ind w:left="431"/>
        <w:jc w:val="both"/>
      </w:pPr>
      <w:r>
        <w:rPr>
          <w:rFonts w:ascii="Garamond" w:eastAsia="Garamond" w:hAnsi="Garamond" w:cs="Garamond"/>
          <w:color w:val="2A2A2A"/>
          <w:sz w:val="22"/>
          <w:szCs w:val="22"/>
        </w:rPr>
        <w:t xml:space="preserve">(4) Judicial removal occurs through three tracks:</w:t>
      </w:r>
    </w:p>
    <w:p>
      <w:pPr>
        <w:spacing w:after="120"/>
        <w:ind w:left="720"/>
        <w:jc w:val="both"/>
      </w:pPr>
      <w:r>
        <w:rPr>
          <w:rFonts w:ascii="Garamond" w:eastAsia="Garamond" w:hAnsi="Garamond" w:cs="Garamond"/>
          <w:color w:val="2A2A2A"/>
          <w:sz w:val="22"/>
          <w:szCs w:val="22"/>
        </w:rPr>
        <w:t xml:space="preserve">— legislative removal by 2/3 of both chambers on grounds of constitutional breach or demonstrated incapacity; under §9.1, either chamber may request an EM assessment to inform the proceeding;</w:t>
      </w:r>
    </w:p>
    <w:p>
      <w:pPr>
        <w:spacing w:after="120"/>
        <w:ind w:left="720"/>
        <w:jc w:val="both"/>
      </w:pPr>
      <w:r>
        <w:rPr>
          <w:rFonts w:ascii="Garamond" w:eastAsia="Garamond" w:hAnsi="Garamond" w:cs="Garamond"/>
          <w:color w:val="2A2A2A"/>
          <w:sz w:val="22"/>
          <w:szCs w:val="22"/>
        </w:rPr>
        <w:t xml:space="preserve">— judicial discipline through a process established by statute under SC oversight;</w:t>
      </w:r>
    </w:p>
    <w:p>
      <w:pPr>
        <w:spacing w:after="120"/>
        <w:ind w:left="720"/>
        <w:jc w:val="both"/>
      </w:pPr>
      <w:r>
        <w:rPr>
          <w:rFonts w:ascii="Garamond" w:eastAsia="Garamond" w:hAnsi="Garamond" w:cs="Garamond"/>
          <w:color w:val="2A2A2A"/>
          <w:sz w:val="22"/>
          <w:szCs w:val="22"/>
        </w:rPr>
        <w:t xml:space="preserve">— or criminal conviction for a disqualifying offense.</w:t>
      </w:r>
    </w:p>
    <w:p>
      <w:pPr>
        <w:spacing w:after="120"/>
        <w:ind w:left="431"/>
        <w:jc w:val="both"/>
      </w:pPr>
      <w:r>
        <w:rPr>
          <w:rFonts w:ascii="Garamond" w:eastAsia="Garamond" w:hAnsi="Garamond" w:cs="Garamond"/>
          <w:color w:val="2A2A2A"/>
          <w:sz w:val="22"/>
          <w:szCs w:val="22"/>
        </w:rPr>
        <w:t xml:space="preserve">(5)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pPr>
        <w:spacing w:after="120"/>
        <w:ind w:left="431"/>
        <w:jc w:val="both"/>
      </w:pPr>
      <w:r>
        <w:rPr>
          <w:rFonts w:ascii="Garamond" w:eastAsia="Garamond" w:hAnsi="Garamond" w:cs="Garamond"/>
          <w:color w:val="2A2A2A"/>
          <w:sz w:val="22"/>
          <w:szCs w:val="22"/>
        </w:rPr>
        <w:t xml:space="preserve">(1) SC justices are nominated by the Civic Consul from the Judicial Pool maintained by the Elections Panel under §9.8 — any pool member meeting the statutory qualifications for Supreme Court appointment is eligible for SC nomination.</w:t>
      </w:r>
    </w:p>
    <w:p>
      <w:pPr>
        <w:spacing w:after="120"/>
        <w:ind w:left="431"/>
        <w:jc w:val="both"/>
      </w:pPr>
      <w:r>
        <w:rPr>
          <w:rFonts w:ascii="Garamond" w:eastAsia="Garamond" w:hAnsi="Garamond" w:cs="Garamond"/>
          <w:color w:val="2A2A2A"/>
          <w:sz w:val="22"/>
          <w:szCs w:val="22"/>
        </w:rPr>
        <w:t xml:space="preserve">(2) The Civic Consul nominates within the period defined by statute following a vacancy (not to exceed 90 days for anticipated vacancies, 60 days for unanticipated vacancies).</w:t>
      </w:r>
    </w:p>
    <w:p>
      <w:pPr>
        <w:spacing w:after="120"/>
        <w:ind w:left="431"/>
        <w:jc w:val="both"/>
      </w:pPr>
      <w:r>
        <w:rPr>
          <w:rFonts w:ascii="Garamond" w:eastAsia="Garamond" w:hAnsi="Garamond" w:cs="Garamond"/>
          <w:color w:val="2A2A2A"/>
          <w:sz w:val="22"/>
          <w:szCs w:val="22"/>
        </w:rPr>
        <w:t xml:space="preserve">(3)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w:t>
      </w:r>
    </w:p>
    <w:p>
      <w:pPr>
        <w:spacing w:after="120"/>
        <w:ind w:left="431"/>
        <w:jc w:val="both"/>
      </w:pPr>
      <w:r>
        <w:rPr>
          <w:rFonts w:ascii="Garamond" w:eastAsia="Garamond" w:hAnsi="Garamond" w:cs="Garamond"/>
          <w:color w:val="2A2A2A"/>
          <w:sz w:val="22"/>
          <w:szCs w:val="22"/>
        </w:rPr>
        <w:t xml:space="preserve">(4)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w:t>
      </w:r>
    </w:p>
    <w:p>
      <w:pPr>
        <w:spacing w:after="120"/>
        <w:ind w:left="431"/>
        <w:jc w:val="both"/>
      </w:pPr>
      <w:r>
        <w:rPr>
          <w:rFonts w:ascii="Garamond" w:eastAsia="Garamond" w:hAnsi="Garamond" w:cs="Garamond"/>
          <w:color w:val="2A2A2A"/>
          <w:sz w:val="22"/>
          <w:szCs w:val="22"/>
        </w:rPr>
        <w:t xml:space="preserve">(5) The confirmed justice serves a single non-renewable 12-year term from the date of confirmation. A mid-term replacement serves only the remainder of the original term.</w:t>
      </w:r>
    </w:p>
    <w:p>
      <w:pPr>
        <w:spacing w:after="120"/>
        <w:ind w:left="431"/>
        <w:jc w:val="both"/>
      </w:pPr>
      <w:r>
        <w:rPr>
          <w:rFonts w:ascii="Garamond" w:eastAsia="Garamond" w:hAnsi="Garamond" w:cs="Garamond"/>
          <w:color w:val="2A2A2A"/>
          <w:sz w:val="22"/>
          <w:szCs w:val="22"/>
        </w:rPr>
        <w:t xml:space="preserve">(6) At founding, the nine initial justices are confirmed simultaneously and assigned to their three classes by public lot.</w:t>
      </w:r>
    </w:p>
    <w:p>
      <w:pPr>
        <w:spacing w:after="120"/>
        <w:ind w:left="431"/>
        <w:jc w:val="both"/>
      </w:pPr>
      <w:r>
        <w:rPr>
          <w:rFonts w:ascii="Garamond" w:eastAsia="Garamond" w:hAnsi="Garamond" w:cs="Garamond"/>
          <w:color w:val="2A2A2A"/>
          <w:sz w:val="22"/>
          <w:szCs w:val="22"/>
        </w:rPr>
        <w:t xml:space="preserve">(7)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pPr>
        <w:spacing w:after="120"/>
        <w:ind w:left="431"/>
        <w:jc w:val="both"/>
      </w:pPr>
      <w:r>
        <w:rPr>
          <w:rFonts w:ascii="Garamond" w:eastAsia="Garamond" w:hAnsi="Garamond" w:cs="Garamond"/>
          <w:color w:val="2A2A2A"/>
          <w:sz w:val="22"/>
          <w:szCs w:val="22"/>
        </w:rPr>
        <w:t xml:space="preserve">(1) 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w:t>
      </w:r>
    </w:p>
    <w:p>
      <w:pPr>
        <w:spacing w:after="120"/>
        <w:ind w:left="431"/>
        <w:jc w:val="both"/>
      </w:pPr>
      <w:r>
        <w:rPr>
          <w:rFonts w:ascii="Garamond" w:eastAsia="Garamond" w:hAnsi="Garamond" w:cs="Garamond"/>
          <w:color w:val="2A2A2A"/>
          <w:sz w:val="22"/>
          <w:szCs w:val="22"/>
        </w:rPr>
        <w:t xml:space="preserve">(2) Courts decide constitutional questions, not policy questions — Where a statute is ambiguous, courts apply the interpretation most consistent with this constitution. Courts may not rewrite clear statutory language.</w:t>
      </w:r>
    </w:p>
    <w:p>
      <w:pPr>
        <w:spacing w:after="120"/>
        <w:ind w:left="431"/>
        <w:jc w:val="both"/>
      </w:pPr>
      <w:r>
        <w:rPr>
          <w:rFonts w:ascii="Garamond" w:eastAsia="Garamond" w:hAnsi="Garamond" w:cs="Garamond"/>
          <w:color w:val="2A2A2A"/>
          <w:sz w:val="22"/>
          <w:szCs w:val="22"/>
        </w:rPr>
        <w:t xml:space="preserve">(3) Monitor findings published to the NRS are admissible and must be given due consideration; where a court's conclusions differ from a prior finding, the court must address the inconsistency in its written decision.</w:t>
      </w:r>
    </w:p>
    <w:p>
      <w:pPr>
        <w:spacing w:after="120"/>
        <w:ind w:left="431"/>
        <w:jc w:val="both"/>
      </w:pPr>
      <w:r>
        <w:rPr>
          <w:rFonts w:ascii="Garamond" w:eastAsia="Garamond" w:hAnsi="Garamond" w:cs="Garamond"/>
          <w:color w:val="2A2A2A"/>
          <w:sz w:val="22"/>
          <w:szCs w:val="22"/>
        </w:rPr>
        <w:t xml:space="preserve">(4) Any person with a concrete, articulable legal injury has the right to seek relief from a court of competent jurisdiction; the Legislature may not structure the judicial system in a manner that leaves any category of legal injury without a forum for relief.</w:t>
      </w:r>
    </w:p>
    <w:p>
      <w:pPr>
        <w:spacing w:after="120"/>
        <w:ind w:left="431"/>
        <w:jc w:val="both"/>
      </w:pPr>
      <w:r>
        <w:rPr>
          <w:rFonts w:ascii="Garamond" w:eastAsia="Garamond" w:hAnsi="Garamond" w:cs="Garamond"/>
          <w:color w:val="2A2A2A"/>
          <w:sz w:val="22"/>
          <w:szCs w:val="22"/>
        </w:rPr>
        <w:t xml:space="preserve">(5) The SC has original jurisdiction over:</w:t>
      </w:r>
    </w:p>
    <w:p>
      <w:pPr>
        <w:spacing w:after="120"/>
        <w:ind w:left="720"/>
        <w:jc w:val="both"/>
      </w:pPr>
      <w:r>
        <w:rPr>
          <w:rFonts w:ascii="Garamond" w:eastAsia="Garamond" w:hAnsi="Garamond" w:cs="Garamond"/>
          <w:color w:val="2A2A2A"/>
          <w:sz w:val="22"/>
          <w:szCs w:val="22"/>
        </w:rPr>
        <w:t xml:space="preserve">— constitutional disputes between States, between a State and the federal government, and constitutional challenges to federal statutes;</w:t>
      </w:r>
    </w:p>
    <w:p>
      <w:pPr>
        <w:spacing w:after="120"/>
        <w:ind w:left="720"/>
        <w:jc w:val="both"/>
      </w:pPr>
      <w:r>
        <w:rPr>
          <w:rFonts w:ascii="Garamond" w:eastAsia="Garamond" w:hAnsi="Garamond" w:cs="Garamond"/>
          <w:color w:val="2A2A2A"/>
          <w:sz w:val="22"/>
          <w:szCs w:val="22"/>
        </w:rPr>
        <w:t xml:space="preserve">— disputes between the Legat Consul and Civic Consul concerning their respective constitutional domains under §2.1;</w:t>
      </w:r>
    </w:p>
    <w:p>
      <w:pPr>
        <w:spacing w:after="120"/>
        <w:ind w:left="720"/>
        <w:jc w:val="both"/>
      </w:pPr>
      <w:r>
        <w:rPr>
          <w:rFonts w:ascii="Garamond" w:eastAsia="Garamond" w:hAnsi="Garamond" w:cs="Garamond"/>
          <w:color w:val="2A2A2A"/>
          <w:sz w:val="22"/>
          <w:szCs w:val="22"/>
        </w:rPr>
        <w:t xml:space="preserve">— constitutional challenges involving constitutionally independent institutions where their independence protections make inferior court review structurally inappropriate;</w:t>
      </w:r>
    </w:p>
    <w:p>
      <w:pPr>
        <w:spacing w:after="120"/>
        <w:ind w:left="720"/>
        <w:jc w:val="both"/>
      </w:pPr>
      <w:r>
        <w:rPr>
          <w:rFonts w:ascii="Garamond" w:eastAsia="Garamond" w:hAnsi="Garamond" w:cs="Garamond"/>
          <w:color w:val="2A2A2A"/>
          <w:sz w:val="22"/>
          <w:szCs w:val="22"/>
        </w:rPr>
        <w:t xml:space="preserve">— emergency rights claims brought directly under §16.2;</w:t>
      </w:r>
    </w:p>
    <w:p>
      <w:pPr>
        <w:spacing w:after="120"/>
        <w:ind w:left="720"/>
        <w:jc w:val="both"/>
      </w:pPr>
      <w:r>
        <w:rPr>
          <w:rFonts w:ascii="Garamond" w:eastAsia="Garamond" w:hAnsi="Garamond" w:cs="Garamond"/>
          <w:color w:val="2A2A2A"/>
          <w:sz w:val="22"/>
          <w:szCs w:val="22"/>
        </w:rPr>
        <w:t xml:space="preserve">— and disputes over the consistency of ratified amendments with entrenched provisions under §17.3.</w:t>
      </w:r>
    </w:p>
    <w:p>
      <w:pPr>
        <w:spacing w:after="120"/>
        <w:ind w:left="431"/>
        <w:jc w:val="both"/>
      </w:pPr>
      <w:r>
        <w:rPr>
          <w:rFonts w:ascii="Garamond" w:eastAsia="Garamond" w:hAnsi="Garamond" w:cs="Garamond"/>
          <w:color w:val="2A2A2A"/>
          <w:sz w:val="22"/>
          <w:szCs w:val="22"/>
        </w:rPr>
        <w:t xml:space="preserve">(6)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120"/>
        <w:ind w:left="431"/>
        <w:jc w:val="both"/>
      </w:pPr>
      <w:r>
        <w:rPr>
          <w:rFonts w:ascii="Garamond" w:eastAsia="Garamond" w:hAnsi="Garamond" w:cs="Garamond"/>
          <w:color w:val="2A2A2A"/>
          <w:sz w:val="22"/>
          <w:szCs w:val="22"/>
        </w:rPr>
        <w:t xml:space="preserve">(7)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120"/>
        <w:ind w:left="431"/>
        <w:jc w:val="both"/>
      </w:pPr>
      <w:r>
        <w:rPr>
          <w:rFonts w:ascii="Garamond" w:eastAsia="Garamond" w:hAnsi="Garamond" w:cs="Garamond"/>
          <w:color w:val="2A2A2A"/>
          <w:sz w:val="22"/>
          <w:szCs w:val="22"/>
        </w:rPr>
        <w:t xml:space="preserve">(8)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w:t>
      </w:r>
    </w:p>
    <w:p>
      <w:pPr>
        <w:spacing w:after="120"/>
        <w:ind w:left="431"/>
        <w:jc w:val="both"/>
      </w:pPr>
      <w:r>
        <w:rPr>
          <w:rFonts w:ascii="Garamond" w:eastAsia="Garamond" w:hAnsi="Garamond" w:cs="Garamond"/>
          <w:color w:val="2A2A2A"/>
          <w:sz w:val="22"/>
          <w:szCs w:val="22"/>
        </w:rPr>
        <w:t xml:space="preserve">(9)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pPr>
        <w:spacing w:after="120"/>
        <w:ind w:left="431"/>
        <w:jc w:val="both"/>
      </w:pPr>
      <w:r>
        <w:rPr>
          <w:rFonts w:ascii="Garamond" w:eastAsia="Garamond" w:hAnsi="Garamond" w:cs="Garamond"/>
          <w:color w:val="2A2A2A"/>
          <w:sz w:val="22"/>
          <w:szCs w:val="22"/>
        </w:rPr>
        <w:t xml:space="preserve">(1) Only the federal government may remove individuals from the Republic. Removal occurs only for violations of laws the Legislature has defined — executive detention without statutory basis is unlawful detention subject to habeas corpus.</w:t>
      </w:r>
    </w:p>
    <w:p>
      <w:pPr>
        <w:spacing w:after="120"/>
        <w:ind w:left="431"/>
        <w:jc w:val="both"/>
      </w:pPr>
      <w:r>
        <w:rPr>
          <w:rFonts w:ascii="Garamond" w:eastAsia="Garamond" w:hAnsi="Garamond" w:cs="Garamond"/>
          <w:color w:val="2A2A2A"/>
          <w:sz w:val="22"/>
          <w:szCs w:val="22"/>
        </w:rPr>
        <w:t xml:space="preserve">(2) Federal certification denials are judicially challengeable on three grounds:</w:t>
      </w:r>
    </w:p>
    <w:p>
      <w:pPr>
        <w:spacing w:after="120"/>
        <w:ind w:left="720"/>
        <w:jc w:val="both"/>
      </w:pPr>
      <w:r>
        <w:rPr>
          <w:rFonts w:ascii="Garamond" w:eastAsia="Garamond" w:hAnsi="Garamond" w:cs="Garamond"/>
          <w:color w:val="2A2A2A"/>
          <w:sz w:val="22"/>
          <w:szCs w:val="22"/>
        </w:rPr>
        <w:t xml:space="preserve">— criterion not established under the federal certification mandate;</w:t>
      </w:r>
    </w:p>
    <w:p>
      <w:pPr>
        <w:spacing w:after="120"/>
        <w:ind w:left="720"/>
        <w:jc w:val="both"/>
      </w:pPr>
      <w:r>
        <w:rPr>
          <w:rFonts w:ascii="Garamond" w:eastAsia="Garamond" w:hAnsi="Garamond" w:cs="Garamond"/>
          <w:color w:val="2A2A2A"/>
          <w:sz w:val="22"/>
          <w:szCs w:val="22"/>
        </w:rPr>
        <w:t xml:space="preserve">— discriminatory grounds contrary to §1.6;</w:t>
      </w:r>
    </w:p>
    <w:p>
      <w:pPr>
        <w:spacing w:after="120"/>
        <w:ind w:left="720"/>
        <w:jc w:val="both"/>
      </w:pPr>
      <w:r>
        <w:rPr>
          <w:rFonts w:ascii="Garamond" w:eastAsia="Garamond" w:hAnsi="Garamond" w:cs="Garamond"/>
          <w:color w:val="2A2A2A"/>
          <w:sz w:val="22"/>
          <w:szCs w:val="22"/>
        </w:rPr>
        <w:t xml:space="preserve">— or procedural violation affecting the outcome.</w:t>
      </w:r>
    </w:p>
    <w:p>
      <w:pPr>
        <w:spacing w:after="120"/>
        <w:ind w:left="431"/>
        <w:jc w:val="both"/>
      </w:pPr>
      <w:r>
        <w:rPr>
          <w:rFonts w:ascii="Garamond" w:eastAsia="Garamond" w:hAnsi="Garamond" w:cs="Garamond"/>
          <w:color w:val="2A2A2A"/>
          <w:sz w:val="22"/>
          <w:szCs w:val="22"/>
        </w:rPr>
        <w:t xml:space="preserve">(3)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w:t>
      </w:r>
    </w:p>
    <w:p>
      <w:pPr>
        <w:spacing w:after="120"/>
        <w:ind w:left="431"/>
        <w:jc w:val="both"/>
      </w:pPr>
      <w:r>
        <w:rPr>
          <w:rFonts w:ascii="Garamond" w:eastAsia="Garamond" w:hAnsi="Garamond" w:cs="Garamond"/>
          <w:color w:val="2A2A2A"/>
          <w:sz w:val="22"/>
          <w:szCs w:val="22"/>
        </w:rPr>
        <w:t xml:space="preserve">(4) Court decisions on State sponsorship challenges brought on §1.6 grounds are published to the NRS; personally identifying information of applicants who are not public figures as defined by statute is protected consistent with §1.7.</w:t>
      </w:r>
    </w:p>
    <w:p>
      <w:pPr>
        <w:spacing w:after="120"/>
        <w:ind w:left="431"/>
        <w:jc w:val="both"/>
      </w:pPr>
      <w:r>
        <w:rPr>
          <w:rFonts w:ascii="Garamond" w:eastAsia="Garamond" w:hAnsi="Garamond" w:cs="Garamond"/>
          <w:color w:val="2A2A2A"/>
          <w:sz w:val="22"/>
          <w:szCs w:val="22"/>
        </w:rPr>
        <w:t xml:space="preserve">(5)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120"/>
        <w:ind w:left="431"/>
        <w:jc w:val="both"/>
      </w:pPr>
      <w:r>
        <w:rPr>
          <w:rFonts w:ascii="Garamond" w:eastAsia="Garamond" w:hAnsi="Garamond" w:cs="Garamond"/>
          <w:color w:val="2A2A2A"/>
          <w:sz w:val="22"/>
          <w:szCs w:val="22"/>
        </w:rPr>
        <w:t xml:space="preserve">(6)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pPr>
        <w:spacing w:after="120"/>
        <w:ind w:left="431"/>
        <w:jc w:val="both"/>
      </w:pPr>
      <w:r>
        <w:rPr>
          <w:rFonts w:ascii="Garamond" w:eastAsia="Garamond" w:hAnsi="Garamond" w:cs="Garamond"/>
          <w:color w:val="2A2A2A"/>
          <w:sz w:val="22"/>
          <w:szCs w:val="22"/>
        </w:rPr>
        <w:t xml:space="preserve">(1) Asylum proceedings operate on a separate constitutional track from the dual-gate system. Any person who files an asylum claim under §1.21 is an Inhabitant from the date of filing — entitled to Article I protections and social state access.</w:t>
      </w:r>
    </w:p>
    <w:p>
      <w:pPr>
        <w:spacing w:after="120"/>
        <w:ind w:left="431"/>
        <w:jc w:val="both"/>
      </w:pPr>
      <w:r>
        <w:rPr>
          <w:rFonts w:ascii="Garamond" w:eastAsia="Garamond" w:hAnsi="Garamond" w:cs="Garamond"/>
          <w:color w:val="2A2A2A"/>
          <w:sz w:val="22"/>
          <w:szCs w:val="22"/>
        </w:rPr>
        <w:t xml:space="preserve">(2) Claims must be determined before any removal order takes effect. A claim filed solely to delay a final removal order may be expedited under procedures the Legislature defines, consistent with the right to a fair hearing.</w:t>
      </w:r>
    </w:p>
    <w:p>
      <w:pPr>
        <w:spacing w:after="120"/>
        <w:ind w:left="431"/>
        <w:jc w:val="both"/>
      </w:pPr>
      <w:r>
        <w:rPr>
          <w:rFonts w:ascii="Garamond" w:eastAsia="Garamond" w:hAnsi="Garamond" w:cs="Garamond"/>
          <w:color w:val="2A2A2A"/>
          <w:sz w:val="22"/>
          <w:szCs w:val="22"/>
        </w:rPr>
        <w:t xml:space="preserve">(3) Where the Asylum Court grants protection, the person receives federal residency credentials by operation of that grant; State sponsorship and federal certification are not required conditions.</w:t>
      </w:r>
    </w:p>
    <w:p>
      <w:pPr>
        <w:spacing w:after="120"/>
        <w:ind w:left="431"/>
        <w:jc w:val="both"/>
      </w:pPr>
      <w:r>
        <w:rPr>
          <w:rFonts w:ascii="Garamond" w:eastAsia="Garamond" w:hAnsi="Garamond" w:cs="Garamond"/>
          <w:color w:val="2A2A2A"/>
          <w:sz w:val="22"/>
          <w:szCs w:val="22"/>
        </w:rPr>
        <w:t xml:space="preserve">(4) The manner of entry does not affect the right to claim asylum or have that claim determined. No penalty arising solely from irregular entry may be imposed on a person whose claim is pending or has been granted.</w:t>
      </w:r>
    </w:p>
    <w:p>
      <w:pPr>
        <w:spacing w:after="120"/>
        <w:ind w:left="431"/>
        <w:jc w:val="both"/>
      </w:pPr>
      <w:r>
        <w:rPr>
          <w:rFonts w:ascii="Garamond" w:eastAsia="Garamond" w:hAnsi="Garamond" w:cs="Garamond"/>
          <w:color w:val="2A2A2A"/>
          <w:sz w:val="22"/>
          <w:szCs w:val="22"/>
        </w:rPr>
        <w:t xml:space="preserve">(5) Asylum proceedings must provide:</w:t>
      </w:r>
    </w:p>
    <w:p>
      <w:pPr>
        <w:spacing w:after="120"/>
        <w:ind w:left="720"/>
        <w:jc w:val="both"/>
      </w:pPr>
      <w:r>
        <w:rPr>
          <w:rFonts w:ascii="Garamond" w:eastAsia="Garamond" w:hAnsi="Garamond" w:cs="Garamond"/>
          <w:color w:val="2A2A2A"/>
          <w:sz w:val="22"/>
          <w:szCs w:val="22"/>
        </w:rPr>
        <w:t xml:space="preserve">— a qualified adjudicator,</w:t>
      </w:r>
    </w:p>
    <w:p>
      <w:pPr>
        <w:spacing w:after="120"/>
        <w:ind w:left="720"/>
        <w:jc w:val="both"/>
      </w:pPr>
      <w:r>
        <w:rPr>
          <w:rFonts w:ascii="Garamond" w:eastAsia="Garamond" w:hAnsi="Garamond" w:cs="Garamond"/>
          <w:color w:val="2A2A2A"/>
          <w:sz w:val="22"/>
          <w:szCs w:val="22"/>
        </w:rPr>
        <w:t xml:space="preserve">— interpreter access,</w:t>
      </w:r>
    </w:p>
    <w:p>
      <w:pPr>
        <w:spacing w:after="120"/>
        <w:ind w:left="720"/>
        <w:jc w:val="both"/>
      </w:pPr>
      <w:r>
        <w:rPr>
          <w:rFonts w:ascii="Garamond" w:eastAsia="Garamond" w:hAnsi="Garamond" w:cs="Garamond"/>
          <w:color w:val="2A2A2A"/>
          <w:sz w:val="22"/>
          <w:szCs w:val="22"/>
        </w:rPr>
        <w:t xml:space="preserve">— the right to present evidence and witnesses,</w:t>
      </w:r>
    </w:p>
    <w:p>
      <w:pPr>
        <w:spacing w:after="120"/>
        <w:ind w:left="720"/>
        <w:jc w:val="both"/>
      </w:pPr>
      <w:r>
        <w:rPr>
          <w:rFonts w:ascii="Garamond" w:eastAsia="Garamond" w:hAnsi="Garamond" w:cs="Garamond"/>
          <w:color w:val="2A2A2A"/>
          <w:sz w:val="22"/>
          <w:szCs w:val="22"/>
        </w:rPr>
        <w:t xml:space="preserve">— the right to legal representation with appointed counsel at public expense where the applicant cannot afford representation,</w:t>
      </w:r>
    </w:p>
    <w:p>
      <w:pPr>
        <w:spacing w:after="120"/>
        <w:ind w:left="720"/>
        <w:jc w:val="both"/>
      </w:pPr>
      <w:r>
        <w:rPr>
          <w:rFonts w:ascii="Garamond" w:eastAsia="Garamond" w:hAnsi="Garamond" w:cs="Garamond"/>
          <w:color w:val="2A2A2A"/>
          <w:sz w:val="22"/>
          <w:szCs w:val="22"/>
        </w:rPr>
        <w:t xml:space="preserve">— a written decision with grounds,</w:t>
      </w:r>
    </w:p>
    <w:p>
      <w:pPr>
        <w:spacing w:after="120"/>
        <w:ind w:left="720"/>
        <w:jc w:val="both"/>
      </w:pPr>
      <w:r>
        <w:rPr>
          <w:rFonts w:ascii="Garamond" w:eastAsia="Garamond" w:hAnsi="Garamond" w:cs="Garamond"/>
          <w:color w:val="2A2A2A"/>
          <w:sz w:val="22"/>
          <w:szCs w:val="22"/>
        </w:rPr>
        <w:t xml:space="preserve">— and a right of appeal — regardless of point of entry.</w:t>
      </w:r>
    </w:p>
    <w:p>
      <w:pPr>
        <w:spacing w:after="120"/>
        <w:ind w:left="431"/>
        <w:jc w:val="both"/>
      </w:pPr>
      <w:r>
        <w:rPr>
          <w:rFonts w:ascii="Garamond" w:eastAsia="Garamond" w:hAnsi="Garamond" w:cs="Garamond"/>
          <w:color w:val="2A2A2A"/>
          <w:sz w:val="22"/>
          <w:szCs w:val="22"/>
        </w:rPr>
        <w:t xml:space="preserve">The asylum proceedings statute must ensure accessibility to persons in Territories and geographically remote areas.</w:t>
      </w:r>
    </w:p>
    <w:p>
      <w:pPr>
        <w:spacing w:after="120"/>
        <w:ind w:left="431"/>
        <w:jc w:val="both"/>
      </w:pPr>
      <w:r>
        <w:rPr>
          <w:rFonts w:ascii="Garamond" w:eastAsia="Garamond" w:hAnsi="Garamond" w:cs="Garamond"/>
          <w:color w:val="2A2A2A"/>
          <w:sz w:val="22"/>
          <w:szCs w:val="22"/>
        </w:rPr>
        <w:t xml:space="preserve">(6)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120"/>
        <w:ind w:left="431"/>
        <w:jc w:val="both"/>
      </w:pPr>
      <w:r>
        <w:rPr>
          <w:rFonts w:ascii="Garamond" w:eastAsia="Garamond" w:hAnsi="Garamond" w:cs="Garamond"/>
          <w:color w:val="2A2A2A"/>
          <w:sz w:val="22"/>
          <w:szCs w:val="22"/>
        </w:rPr>
        <w:t xml:space="preserve">(7) An unaccompanied minor arriving in the Republic is an Inhabitant from the moment of contact and holds full §1.21 protection. A federal legal guardian must be appointed by the federal court with jurisdiction over the point of contact within 72 hours.</w:t>
      </w:r>
    </w:p>
    <w:p>
      <w:pPr>
        <w:spacing w:after="120"/>
        <w:ind w:left="431"/>
        <w:jc w:val="both"/>
      </w:pPr>
      <w:r>
        <w:rPr>
          <w:rFonts w:ascii="Garamond" w:eastAsia="Garamond" w:hAnsi="Garamond" w:cs="Garamond"/>
          <w:color w:val="2A2A2A"/>
          <w:sz w:val="22"/>
          <w:szCs w:val="22"/>
        </w:rPr>
        <w:t xml:space="preserve">(8)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pPr>
        <w:spacing w:after="120"/>
        <w:ind w:left="431"/>
        <w:jc w:val="both"/>
      </w:pPr>
      <w:r>
        <w:rPr>
          <w:rFonts w:ascii="Garamond" w:eastAsia="Garamond" w:hAnsi="Garamond" w:cs="Garamond"/>
          <w:color w:val="2A2A2A"/>
          <w:sz w:val="22"/>
          <w:szCs w:val="22"/>
        </w:rPr>
        <w:t xml:space="preserve">(1) The Legat Consul is elected through two concurrent requirements: a national RCV majority and a State plurality qualification. A candidate wins outright by satisfying both.</w:t>
      </w:r>
    </w:p>
    <w:p>
      <w:pPr>
        <w:spacing w:after="120"/>
        <w:ind w:left="431"/>
        <w:jc w:val="both"/>
      </w:pPr>
      <w:r>
        <w:rPr>
          <w:rFonts w:ascii="Garamond" w:eastAsia="Garamond" w:hAnsi="Garamond" w:cs="Garamond"/>
          <w:color w:val="2A2A2A"/>
          <w:sz w:val="22"/>
          <w:szCs w:val="22"/>
        </w:rPr>
        <w:t xml:space="preserve">(2) Where a candidate's national RCV majority reaches or exceeds 60% of votes cast, the State plurality requirement is waived.</w:t>
      </w:r>
    </w:p>
    <w:p>
      <w:pPr>
        <w:spacing w:after="120"/>
        <w:ind w:left="431"/>
        <w:jc w:val="both"/>
      </w:pPr>
      <w:r>
        <w:rPr>
          <w:rFonts w:ascii="Garamond" w:eastAsia="Garamond" w:hAnsi="Garamond" w:cs="Garamond"/>
          <w:color w:val="2A2A2A"/>
          <w:sz w:val="22"/>
          <w:szCs w:val="22"/>
        </w:rPr>
        <w:t xml:space="preserve">(3)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w:t>
      </w:r>
    </w:p>
    <w:p>
      <w:pPr>
        <w:spacing w:after="120"/>
        <w:ind w:left="431"/>
        <w:jc w:val="both"/>
      </w:pPr>
      <w:r>
        <w:rPr>
          <w:rFonts w:ascii="Garamond" w:eastAsia="Garamond" w:hAnsi="Garamond" w:cs="Garamond"/>
          <w:color w:val="2A2A2A"/>
          <w:sz w:val="22"/>
          <w:szCs w:val="22"/>
        </w:rPr>
        <w:t xml:space="preserve">(4) Where the runoff itself produces a tied result, the Elections Panel determines the winner by lot in a public session; the result is published to the NRS and is final. The Elections Panel administers and certifies all consular elections.</w:t>
      </w:r>
    </w:p>
    <w:p>
      <w:pPr>
        <w:spacing w:after="120"/>
        <w:ind w:left="431"/>
        <w:jc w:val="both"/>
      </w:pPr>
      <w:r>
        <w:rPr>
          <w:rFonts w:ascii="Garamond" w:eastAsia="Garamond" w:hAnsi="Garamond" w:cs="Garamond"/>
          <w:color w:val="2A2A2A"/>
          <w:sz w:val="22"/>
          <w:szCs w:val="22"/>
        </w:rPr>
        <w:t xml:space="preserve">(5) Territory citizens vote in consular elections and their votes count in the national RCV total; Territories are not included in the State plurality calculation.</w:t>
      </w:r>
    </w:p>
    <w:p>
      <w:pPr>
        <w:spacing w:after="120"/>
        <w:ind w:left="431"/>
        <w:jc w:val="both"/>
      </w:pPr>
      <w:r>
        <w:rPr>
          <w:rFonts w:ascii="Garamond" w:eastAsia="Garamond" w:hAnsi="Garamond" w:cs="Garamond"/>
          <w:color w:val="2A2A2A"/>
          <w:sz w:val="22"/>
          <w:szCs w:val="22"/>
        </w:rPr>
        <w:t xml:space="preserve">(6) A candidate satisfies the State plurality requirement by receiving more first-preference votes than any other candidate in a majority of the Republic's States. The Elections Panel certifies State-by-State first-preference results as part of overall election certification.</w:t>
      </w:r>
    </w:p>
    <w:p>
      <w:pPr>
        <w:spacing w:after="120"/>
        <w:ind w:left="431"/>
        <w:jc w:val="both"/>
      </w:pPr>
      <w:r>
        <w:rPr>
          <w:rFonts w:ascii="Garamond" w:eastAsia="Garamond" w:hAnsi="Garamond" w:cs="Garamond"/>
          <w:color w:val="2A2A2A"/>
          <w:sz w:val="22"/>
          <w:szCs w:val="22"/>
        </w:rPr>
        <w:t xml:space="preserve">(7)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pPr>
        <w:spacing w:after="120"/>
        <w:ind w:left="431"/>
        <w:jc w:val="both"/>
      </w:pPr>
      <w:r>
        <w:rPr>
          <w:rFonts w:ascii="Garamond" w:eastAsia="Garamond" w:hAnsi="Garamond" w:cs="Garamond"/>
          <w:color w:val="2A2A2A"/>
          <w:sz w:val="22"/>
          <w:szCs w:val="22"/>
        </w:rPr>
        <w:t xml:space="preserve">(1) Federal elections are held at regular intervals: Assembly elections every two years; Senate elections on the staggered six-year cycle; Consular elections every six years.</w:t>
      </w:r>
    </w:p>
    <w:p>
      <w:pPr>
        <w:spacing w:after="120"/>
        <w:ind w:left="431"/>
        <w:jc w:val="both"/>
      </w:pPr>
      <w:r>
        <w:rPr>
          <w:rFonts w:ascii="Garamond" w:eastAsia="Garamond" w:hAnsi="Garamond" w:cs="Garamond"/>
          <w:color w:val="2A2A2A"/>
          <w:sz w:val="22"/>
          <w:szCs w:val="22"/>
        </w:rPr>
        <w:t xml:space="preserve">(2) All federal elections use Ranked Choice Voting — majority required, not plurality; Consular elections use RCV within the framework of §7.1, which adds the State plurality requirement.</w:t>
      </w:r>
    </w:p>
    <w:p>
      <w:pPr>
        <w:spacing w:after="120"/>
        <w:ind w:left="431"/>
        <w:jc w:val="both"/>
      </w:pPr>
      <w:r>
        <w:rPr>
          <w:rFonts w:ascii="Garamond" w:eastAsia="Garamond" w:hAnsi="Garamond" w:cs="Garamond"/>
          <w:color w:val="2A2A2A"/>
          <w:sz w:val="22"/>
          <w:szCs w:val="22"/>
        </w:rPr>
        <w:t xml:space="preserve">(3) The Legislature defines by statute the specific timing, duration, and structure of the federal electoral period within these constitutional floors.</w:t>
      </w:r>
    </w:p>
    <w:p>
      <w:pPr>
        <w:spacing w:after="120"/>
        <w:ind w:left="431"/>
        <w:jc w:val="both"/>
      </w:pPr>
      <w:r>
        <w:rPr>
          <w:rFonts w:ascii="Garamond" w:eastAsia="Garamond" w:hAnsi="Garamond" w:cs="Garamond"/>
          <w:color w:val="2A2A2A"/>
          <w:sz w:val="22"/>
          <w:szCs w:val="22"/>
        </w:rPr>
        <w:t xml:space="preserve">(4) Federal elections are administered by the States within standards established and enforced by the Elections Panel; all state election systems must connect to and operate through the National Voting System, free from executive interference.</w:t>
      </w:r>
    </w:p>
    <w:p>
      <w:pPr>
        <w:spacing w:after="120"/>
        <w:ind w:left="431"/>
        <w:jc w:val="both"/>
      </w:pPr>
      <w:r>
        <w:rPr>
          <w:rFonts w:ascii="Garamond" w:eastAsia="Garamond" w:hAnsi="Garamond" w:cs="Garamond"/>
          <w:color w:val="2A2A2A"/>
          <w:sz w:val="22"/>
          <w:szCs w:val="22"/>
        </w:rPr>
        <w:t xml:space="preserve">(5)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w:t>
      </w:r>
    </w:p>
    <w:p>
      <w:pPr>
        <w:spacing w:after="120"/>
        <w:ind w:left="431"/>
        <w:jc w:val="both"/>
      </w:pPr>
      <w:r>
        <w:rPr>
          <w:rFonts w:ascii="Garamond" w:eastAsia="Garamond" w:hAnsi="Garamond" w:cs="Garamond"/>
          <w:color w:val="2A2A2A"/>
          <w:sz w:val="22"/>
          <w:szCs w:val="22"/>
        </w:rPr>
        <w:t xml:space="preserve">(6)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pPr>
        <w:spacing w:after="120"/>
        <w:ind w:left="431"/>
        <w:jc w:val="both"/>
      </w:pPr>
      <w:r>
        <w:rPr>
          <w:rFonts w:ascii="Garamond" w:eastAsia="Garamond" w:hAnsi="Garamond" w:cs="Garamond"/>
          <w:color w:val="2A2A2A"/>
          <w:sz w:val="22"/>
          <w:szCs w:val="22"/>
        </w:rPr>
        <w:t xml:space="preserve">(1) 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w:t>
      </w:r>
    </w:p>
    <w:p>
      <w:pPr>
        <w:spacing w:after="120"/>
        <w:ind w:left="431"/>
        <w:jc w:val="both"/>
      </w:pPr>
      <w:r>
        <w:rPr>
          <w:rFonts w:ascii="Garamond" w:eastAsia="Garamond" w:hAnsi="Garamond" w:cs="Garamond"/>
          <w:color w:val="2A2A2A"/>
          <w:sz w:val="22"/>
          <w:szCs w:val="22"/>
        </w:rPr>
        <w:t xml:space="preserve">(2) The audit mandate is information-only; the lottery administration mandate is ministerial — the JM administers the process and certifies the result, but cannot influence the outcome.</w:t>
      </w:r>
    </w:p>
    <w:p>
      <w:pPr>
        <w:spacing w:after="120"/>
        <w:ind w:left="431"/>
        <w:jc w:val="both"/>
      </w:pPr>
      <w:r>
        <w:rPr>
          <w:rFonts w:ascii="Garamond" w:eastAsia="Garamond" w:hAnsi="Garamond" w:cs="Garamond"/>
          <w:color w:val="2A2A2A"/>
          <w:sz w:val="22"/>
          <w:szCs w:val="22"/>
        </w:rPr>
        <w:t xml:space="preserve">(3)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w:t>
      </w:r>
    </w:p>
    <w:p>
      <w:pPr>
        <w:spacing w:after="120"/>
        <w:ind w:left="431"/>
        <w:jc w:val="both"/>
      </w:pPr>
      <w:r>
        <w:rPr>
          <w:rFonts w:ascii="Garamond" w:eastAsia="Garamond" w:hAnsi="Garamond" w:cs="Garamond"/>
          <w:color w:val="2A2A2A"/>
          <w:sz w:val="22"/>
          <w:szCs w:val="22"/>
        </w:rPr>
        <w:t xml:space="preserve">(4) Any candidate removed from a ballot by the Elections Panel may appeal to the Appellate Court within 14 days; the Court reviews only whether eligibility criteria were correctly applied and must rule within 21 days.</w:t>
      </w:r>
    </w:p>
    <w:p>
      <w:pPr>
        <w:spacing w:after="120"/>
        <w:ind w:left="431"/>
        <w:jc w:val="both"/>
      </w:pPr>
      <w:r>
        <w:rPr>
          <w:rFonts w:ascii="Garamond" w:eastAsia="Garamond" w:hAnsi="Garamond" w:cs="Garamond"/>
          <w:color w:val="2A2A2A"/>
          <w:sz w:val="22"/>
          <w:szCs w:val="22"/>
        </w:rPr>
        <w:t xml:space="preserve">(5)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w:t>
      </w:r>
    </w:p>
    <w:p>
      <w:pPr>
        <w:spacing w:after="120"/>
        <w:ind w:left="431"/>
        <w:jc w:val="both"/>
      </w:pPr>
      <w:r>
        <w:rPr>
          <w:rFonts w:ascii="Garamond" w:eastAsia="Garamond" w:hAnsi="Garamond" w:cs="Garamond"/>
          <w:color w:val="2A2A2A"/>
          <w:sz w:val="22"/>
          <w:szCs w:val="22"/>
        </w:rPr>
        <w:t xml:space="preserve">(6) The JM holds no role in constituting or certifying its own candidate pool. The Elections Panel applies the eligibility criteria and enters qualifying applicants into the pool.</w:t>
      </w:r>
    </w:p>
    <w:p>
      <w:pPr>
        <w:spacing w:after="120"/>
        <w:ind w:left="431"/>
        <w:jc w:val="both"/>
      </w:pPr>
      <w:r>
        <w:rPr>
          <w:rFonts w:ascii="Garamond" w:eastAsia="Garamond" w:hAnsi="Garamond" w:cs="Garamond"/>
          <w:color w:val="2A2A2A"/>
          <w:sz w:val="22"/>
          <w:szCs w:val="22"/>
        </w:rPr>
        <w:t xml:space="preserve">(7) The LM's ongoing audit encompasses verification of judicial service records; the EM's ongoing audit encompasses financial disclosure review; both publish findings to the NRS.</w:t>
      </w:r>
    </w:p>
    <w:p>
      <w:pPr>
        <w:spacing w:after="120"/>
        <w:ind w:left="431"/>
        <w:jc w:val="both"/>
      </w:pPr>
      <w:r>
        <w:rPr>
          <w:rFonts w:ascii="Garamond" w:eastAsia="Garamond" w:hAnsi="Garamond" w:cs="Garamond"/>
          <w:color w:val="2A2A2A"/>
          <w:sz w:val="22"/>
          <w:szCs w:val="22"/>
        </w:rPr>
        <w:t xml:space="preserve">(8)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pPr>
        <w:spacing w:after="120"/>
        <w:ind w:left="431"/>
        <w:jc w:val="both"/>
      </w:pPr>
      <w:r>
        <w:rPr>
          <w:rFonts w:ascii="Garamond" w:eastAsia="Garamond" w:hAnsi="Garamond" w:cs="Garamond"/>
          <w:color w:val="2A2A2A"/>
          <w:sz w:val="22"/>
          <w:szCs w:val="22"/>
        </w:rPr>
        <w:t xml:space="preserve">(1) The three Monitor Generals jointly constitute the JMC as the standing coordination body for matters crossing Monitor jurisdictions.</w:t>
      </w:r>
    </w:p>
    <w:p>
      <w:pPr>
        <w:spacing w:after="120"/>
        <w:ind w:left="431"/>
        <w:jc w:val="both"/>
      </w:pPr>
      <w:r>
        <w:rPr>
          <w:rFonts w:ascii="Garamond" w:eastAsia="Garamond" w:hAnsi="Garamond" w:cs="Garamond"/>
          <w:color w:val="2A2A2A"/>
          <w:sz w:val="22"/>
          <w:szCs w:val="22"/>
        </w:rPr>
        <w:t xml:space="preserve">(2) The JMC formally houses all jointly administered constitutional functions — including lottery draws and selection processes throughout the constitution.</w:t>
      </w:r>
    </w:p>
    <w:p>
      <w:pPr>
        <w:spacing w:after="120"/>
        <w:ind w:left="431"/>
        <w:jc w:val="both"/>
      </w:pPr>
      <w:r>
        <w:rPr>
          <w:rFonts w:ascii="Garamond" w:eastAsia="Garamond" w:hAnsi="Garamond" w:cs="Garamond"/>
          <w:color w:val="2A2A2A"/>
          <w:sz w:val="22"/>
          <w:szCs w:val="22"/>
        </w:rPr>
        <w:t xml:space="preserve">(3) The chair of any joint session is the Monitor General whose domain covers the primary subject matter; where all domains are equally engaged, the chair rotates annually.</w:t>
      </w:r>
    </w:p>
    <w:p>
      <w:pPr>
        <w:spacing w:after="120"/>
        <w:ind w:left="431"/>
        <w:jc w:val="both"/>
      </w:pPr>
      <w:r>
        <w:rPr>
          <w:rFonts w:ascii="Garamond" w:eastAsia="Garamond" w:hAnsi="Garamond" w:cs="Garamond"/>
          <w:color w:val="2A2A2A"/>
          <w:sz w:val="22"/>
          <w:szCs w:val="22"/>
        </w:rPr>
        <w:t xml:space="preserve">(4)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w:t>
      </w:r>
    </w:p>
    <w:p>
      <w:pPr>
        <w:spacing w:after="120"/>
        <w:ind w:left="431"/>
        <w:jc w:val="both"/>
      </w:pPr>
      <w:r>
        <w:rPr>
          <w:rFonts w:ascii="Garamond" w:eastAsia="Garamond" w:hAnsi="Garamond" w:cs="Garamond"/>
          <w:color w:val="2A2A2A"/>
          <w:sz w:val="22"/>
          <w:szCs w:val="22"/>
        </w:rPr>
        <w:t xml:space="preserve">(5)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w:t>
      </w:r>
    </w:p>
    <w:p>
      <w:pPr>
        <w:spacing w:after="120"/>
        <w:ind w:left="431"/>
        <w:jc w:val="both"/>
      </w:pPr>
      <w:r>
        <w:rPr>
          <w:rFonts w:ascii="Garamond" w:eastAsia="Garamond" w:hAnsi="Garamond" w:cs="Garamond"/>
          <w:color w:val="2A2A2A"/>
          <w:sz w:val="22"/>
          <w:szCs w:val="22"/>
        </w:rPr>
        <w:t xml:space="preserve">(6)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w:t>
      </w:r>
    </w:p>
    <w:p>
      <w:pPr>
        <w:spacing w:after="120"/>
        <w:ind w:left="431"/>
        <w:jc w:val="both"/>
      </w:pPr>
      <w:r>
        <w:rPr>
          <w:rFonts w:ascii="Garamond" w:eastAsia="Garamond" w:hAnsi="Garamond" w:cs="Garamond"/>
          <w:color w:val="2A2A2A"/>
          <w:sz w:val="22"/>
          <w:szCs w:val="22"/>
        </w:rPr>
        <w:t xml:space="preserve">(7)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w:t>
      </w:r>
    </w:p>
    <w:p>
      <w:pPr>
        <w:spacing w:after="120"/>
        <w:ind w:left="431"/>
        <w:jc w:val="both"/>
      </w:pPr>
      <w:r>
        <w:rPr>
          <w:rFonts w:ascii="Garamond" w:eastAsia="Garamond" w:hAnsi="Garamond" w:cs="Garamond"/>
          <w:color w:val="2A2A2A"/>
          <w:sz w:val="22"/>
          <w:szCs w:val="22"/>
        </w:rPr>
        <w:t xml:space="preserve">(8)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pPr>
        <w:spacing w:after="120"/>
        <w:ind w:left="431"/>
        <w:jc w:val="both"/>
      </w:pPr>
      <w:r>
        <w:rPr>
          <w:rFonts w:ascii="Garamond" w:eastAsia="Garamond" w:hAnsi="Garamond" w:cs="Garamond"/>
          <w:color w:val="2A2A2A"/>
          <w:sz w:val="22"/>
          <w:szCs w:val="22"/>
        </w:rPr>
        <w:t xml:space="preserve">(1) The Elections Panel maintains all constitutional candidate registries and pools, including the Judicial Pool, and administers public access to their records via the NRS.</w:t>
      </w:r>
    </w:p>
    <w:p>
      <w:pPr>
        <w:spacing w:after="120"/>
        <w:ind w:left="431"/>
        <w:jc w:val="both"/>
      </w:pPr>
      <w:r>
        <w:rPr>
          <w:rFonts w:ascii="Garamond" w:eastAsia="Garamond" w:hAnsi="Garamond" w:cs="Garamond"/>
          <w:color w:val="2A2A2A"/>
          <w:sz w:val="22"/>
          <w:szCs w:val="22"/>
        </w:rPr>
        <w:t xml:space="preserve">(2) Each pool is subject to ongoing Monitor audit; findings are published to the NRS.</w:t>
      </w:r>
    </w:p>
    <w:p>
      <w:pPr>
        <w:spacing w:after="120"/>
        <w:ind w:left="431"/>
        <w:jc w:val="both"/>
      </w:pPr>
      <w:r>
        <w:rPr>
          <w:rFonts w:ascii="Garamond" w:eastAsia="Garamond" w:hAnsi="Garamond" w:cs="Garamond"/>
          <w:color w:val="2A2A2A"/>
          <w:sz w:val="22"/>
          <w:szCs w:val="22"/>
        </w:rPr>
        <w:t xml:space="preserve">(3) Lottery draws are conducted by the JMC in a public session and published to the NRS.</w:t>
      </w:r>
    </w:p>
    <w:p>
      <w:pPr>
        <w:spacing w:after="120"/>
        <w:ind w:left="431"/>
        <w:jc w:val="both"/>
      </w:pPr>
      <w:r>
        <w:rPr>
          <w:rFonts w:ascii="Garamond" w:eastAsia="Garamond" w:hAnsi="Garamond" w:cs="Garamond"/>
          <w:color w:val="2A2A2A"/>
          <w:sz w:val="22"/>
          <w:szCs w:val="22"/>
        </w:rPr>
        <w:t xml:space="preserve">(4) The constitutional minimum for all pools is five eligible members; where a pool falls below five, the JM publishes a compliance breach and the relevant nominating bodies must act to restore the minimum within the period defined by statute.</w:t>
      </w:r>
    </w:p>
    <w:p>
      <w:pPr>
        <w:spacing w:after="120"/>
        <w:ind w:left="431"/>
        <w:jc w:val="both"/>
      </w:pPr>
      <w:r>
        <w:rPr>
          <w:rFonts w:ascii="Garamond" w:eastAsia="Garamond" w:hAnsi="Garamond" w:cs="Garamond"/>
          <w:color w:val="2A2A2A"/>
          <w:sz w:val="22"/>
          <w:szCs w:val="22"/>
        </w:rPr>
        <w:t xml:space="preserve">(5)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w:t>
      </w:r>
    </w:p>
    <w:p>
      <w:pPr>
        <w:spacing w:after="120"/>
        <w:ind w:left="431"/>
        <w:jc w:val="both"/>
      </w:pPr>
      <w:r>
        <w:rPr>
          <w:rFonts w:ascii="Garamond" w:eastAsia="Garamond" w:hAnsi="Garamond" w:cs="Garamond"/>
          <w:color w:val="2A2A2A"/>
          <w:sz w:val="22"/>
          <w:szCs w:val="22"/>
        </w:rPr>
        <w:t xml:space="preserve">(6)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w:t>
      </w:r>
    </w:p>
    <w:p>
      <w:pPr>
        <w:spacing w:after="120"/>
        <w:ind w:left="431"/>
        <w:jc w:val="both"/>
      </w:pPr>
      <w:r>
        <w:rPr>
          <w:rFonts w:ascii="Garamond" w:eastAsia="Garamond" w:hAnsi="Garamond" w:cs="Garamond"/>
          <w:color w:val="2A2A2A"/>
          <w:sz w:val="22"/>
          <w:szCs w:val="22"/>
        </w:rPr>
        <w:t xml:space="preserve">(7) Where an applicant is excluded or removed, the administering body must publish the specific grounds to the NRS within 14 days; the applicant may appeal to the SC within 14 days of that publication on the sole ground that the eligibility criteria were misapplied.</w:t>
      </w:r>
    </w:p>
    <w:p>
      <w:pPr>
        <w:spacing w:after="120"/>
        <w:ind w:left="431"/>
        <w:jc w:val="both"/>
      </w:pPr>
      <w:r>
        <w:rPr>
          <w:rFonts w:ascii="Garamond" w:eastAsia="Garamond" w:hAnsi="Garamond" w:cs="Garamond"/>
          <w:color w:val="2A2A2A"/>
          <w:sz w:val="22"/>
          <w:szCs w:val="22"/>
        </w:rPr>
        <w:t xml:space="preserve">(8)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pPr>
        <w:spacing w:after="120"/>
        <w:ind w:left="431"/>
        <w:jc w:val="both"/>
      </w:pPr>
      <w:r>
        <w:rPr>
          <w:rFonts w:ascii="Garamond" w:eastAsia="Garamond" w:hAnsi="Garamond" w:cs="Garamond"/>
          <w:color w:val="2A2A2A"/>
          <w:sz w:val="22"/>
          <w:szCs w:val="22"/>
        </w:rPr>
        <w:t xml:space="preserve">(1) This section governs for-cause removal of all constitutionally confirmed independent officers except Supreme Court justices under §4.3.a and elected executives. Monitor Generals are subject to for-cause removal under this section.</w:t>
      </w:r>
    </w:p>
    <w:p>
      <w:pPr>
        <w:spacing w:after="120"/>
        <w:ind w:left="431"/>
        <w:jc w:val="both"/>
      </w:pPr>
      <w:r>
        <w:rPr>
          <w:rFonts w:ascii="Garamond" w:eastAsia="Garamond" w:hAnsi="Garamond" w:cs="Garamond"/>
          <w:color w:val="2A2A2A"/>
          <w:sz w:val="22"/>
          <w:szCs w:val="22"/>
        </w:rPr>
        <w:t xml:space="preserve">(2) A concurrent resolution of 1/3 of either chamber, or two of the three Monitors jointly, may initiate removal by filing stated grounds with the SC.</w:t>
      </w:r>
    </w:p>
    <w:p>
      <w:pPr>
        <w:spacing w:after="120"/>
        <w:ind w:left="431"/>
        <w:jc w:val="both"/>
      </w:pPr>
      <w:r>
        <w:rPr>
          <w:rFonts w:ascii="Garamond" w:eastAsia="Garamond" w:hAnsi="Garamond" w:cs="Garamond"/>
          <w:color w:val="2A2A2A"/>
          <w:sz w:val="22"/>
          <w:szCs w:val="22"/>
        </w:rPr>
        <w:t xml:space="preserve">(3) The SC determines within 14 days whether the stated grounds constitute at least one statutory removal category for the subject office; the SC reviews constitutional category only, not factual merits.</w:t>
      </w:r>
    </w:p>
    <w:p>
      <w:pPr>
        <w:spacing w:after="120"/>
        <w:ind w:left="431"/>
        <w:jc w:val="both"/>
      </w:pPr>
      <w:r>
        <w:rPr>
          <w:rFonts w:ascii="Garamond" w:eastAsia="Garamond" w:hAnsi="Garamond" w:cs="Garamond"/>
          <w:color w:val="2A2A2A"/>
          <w:sz w:val="22"/>
          <w:szCs w:val="22"/>
        </w:rPr>
        <w:t xml:space="preserve">(4) If grounds are confirmed, duty suspension activates immediately and removal requires a 2/3 concurrent vote of both chambers; no removal vote may be held within 180 days of a major national election without prior SC review within 48 hours.</w:t>
      </w:r>
    </w:p>
    <w:p>
      <w:pPr>
        <w:spacing w:after="120"/>
        <w:ind w:left="431"/>
        <w:jc w:val="both"/>
      </w:pPr>
      <w:r>
        <w:rPr>
          <w:rFonts w:ascii="Garamond" w:eastAsia="Garamond" w:hAnsi="Garamond" w:cs="Garamond"/>
          <w:color w:val="2A2A2A"/>
          <w:sz w:val="22"/>
          <w:szCs w:val="22"/>
        </w:rPr>
        <w:t xml:space="preserve">(5) If grounds are not confirmed, the process closes and may not be reinitiated on the same or substantially similar grounds within six months.</w:t>
      </w:r>
    </w:p>
    <w:p>
      <w:pPr>
        <w:spacing w:after="120"/>
        <w:ind w:left="431"/>
        <w:jc w:val="both"/>
      </w:pPr>
      <w:r>
        <w:rPr>
          <w:rFonts w:ascii="Garamond" w:eastAsia="Garamond" w:hAnsi="Garamond" w:cs="Garamond"/>
          <w:color w:val="2A2A2A"/>
          <w:sz w:val="22"/>
          <w:szCs w:val="22"/>
        </w:rPr>
        <w:t xml:space="preserve">(6)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applicable period, the removal proceeding lapses for that session and may be reinitiated under this section.</w:t>
      </w:r>
    </w:p>
    <w:p>
      <w:pPr>
        <w:spacing w:after="120"/>
        <w:ind w:left="431"/>
        <w:jc w:val="both"/>
      </w:pPr>
      <w:r>
        <w:rPr>
          <w:rFonts w:ascii="Garamond" w:eastAsia="Garamond" w:hAnsi="Garamond" w:cs="Garamond"/>
          <w:color w:val="2A2A2A"/>
          <w:sz w:val="22"/>
          <w:szCs w:val="22"/>
        </w:rPr>
        <w:t xml:space="preserve">(7)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pPr>
        <w:spacing w:after="120"/>
        <w:ind w:left="431"/>
        <w:jc w:val="both"/>
      </w:pPr>
      <w:r>
        <w:rPr>
          <w:rFonts w:ascii="Garamond" w:eastAsia="Garamond" w:hAnsi="Garamond" w:cs="Garamond"/>
          <w:color w:val="2A2A2A"/>
          <w:sz w:val="22"/>
          <w:szCs w:val="22"/>
        </w:rPr>
        <w:t xml:space="preserve">(1) The National Record System is the permanent, tamper-evident public record of the Republic — freely accessible to every Inhabitant at no cost.</w:t>
      </w:r>
    </w:p>
    <w:p>
      <w:pPr>
        <w:spacing w:after="120"/>
        <w:ind w:left="431"/>
        <w:jc w:val="both"/>
      </w:pPr>
      <w:r>
        <w:rPr>
          <w:rFonts w:ascii="Garamond" w:eastAsia="Garamond" w:hAnsi="Garamond" w:cs="Garamond"/>
          <w:color w:val="2A2A2A"/>
          <w:sz w:val="22"/>
          <w:szCs w:val="22"/>
        </w:rPr>
        <w:t xml:space="preserve">(2) Every constitutional act, order, finding, certification, designation, declaration, and determination made under this Constitution is published to the NRS as a permanent record; no provision need state this obligation individually.</w:t>
      </w:r>
    </w:p>
    <w:p>
      <w:pPr>
        <w:spacing w:after="120"/>
        <w:ind w:left="431"/>
        <w:jc w:val="both"/>
      </w:pPr>
      <w:r>
        <w:rPr>
          <w:rFonts w:ascii="Garamond" w:eastAsia="Garamond" w:hAnsi="Garamond" w:cs="Garamond"/>
          <w:color w:val="2A2A2A"/>
          <w:sz w:val="22"/>
          <w:szCs w:val="22"/>
        </w:rPr>
        <w:t xml:space="preserve">(3)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w:t>
      </w:r>
    </w:p>
    <w:p>
      <w:pPr>
        <w:spacing w:after="120"/>
        <w:ind w:left="431"/>
        <w:jc w:val="both"/>
      </w:pPr>
      <w:r>
        <w:rPr>
          <w:rFonts w:ascii="Garamond" w:eastAsia="Garamond" w:hAnsi="Garamond" w:cs="Garamond"/>
          <w:color w:val="2A2A2A"/>
          <w:sz w:val="22"/>
          <w:szCs w:val="22"/>
        </w:rPr>
        <w:t xml:space="preserve">(4) Where a specific publication timeline is provided it governs; otherwise publication occurs at or before the effective moment of the act.</w:t>
      </w:r>
    </w:p>
    <w:p>
      <w:pPr>
        <w:spacing w:after="120"/>
        <w:ind w:left="431"/>
        <w:jc w:val="both"/>
      </w:pPr>
      <w:r>
        <w:rPr>
          <w:rFonts w:ascii="Garamond" w:eastAsia="Garamond" w:hAnsi="Garamond" w:cs="Garamond"/>
          <w:color w:val="2A2A2A"/>
          <w:sz w:val="22"/>
          <w:szCs w:val="22"/>
        </w:rPr>
        <w:t xml:space="preserve">(5) Records may not be deleted, altered, or reclassified after publication; corrections are published as new entries alongside the original.</w:t>
      </w:r>
    </w:p>
    <w:p>
      <w:pPr>
        <w:spacing w:after="120"/>
        <w:ind w:left="431"/>
        <w:jc w:val="both"/>
      </w:pPr>
      <w:r>
        <w:rPr>
          <w:rFonts w:ascii="Garamond" w:eastAsia="Garamond" w:hAnsi="Garamond" w:cs="Garamond"/>
          <w:color w:val="2A2A2A"/>
          <w:sz w:val="22"/>
          <w:szCs w:val="22"/>
        </w:rPr>
        <w:t xml:space="preserve">(6)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w:t>
      </w:r>
    </w:p>
    <w:p>
      <w:pPr>
        <w:spacing w:after="120"/>
        <w:ind w:left="431"/>
        <w:jc w:val="both"/>
      </w:pPr>
      <w:r>
        <w:rPr>
          <w:rFonts w:ascii="Garamond" w:eastAsia="Garamond" w:hAnsi="Garamond" w:cs="Garamond"/>
          <w:color w:val="2A2A2A"/>
          <w:sz w:val="22"/>
          <w:szCs w:val="22"/>
        </w:rPr>
        <w:t xml:space="preserve">(7) Government acts take legal effect from the moment of issuance regardless of NRS status — the NRS is the record of government, not a condition of it.</w:t>
      </w:r>
    </w:p>
    <w:p>
      <w:pPr>
        <w:spacing w:after="120"/>
        <w:ind w:left="431"/>
        <w:jc w:val="both"/>
      </w:pPr>
      <w:r>
        <w:rPr>
          <w:rFonts w:ascii="Garamond" w:eastAsia="Garamond" w:hAnsi="Garamond" w:cs="Garamond"/>
          <w:color w:val="2A2A2A"/>
          <w:sz w:val="22"/>
          <w:szCs w:val="22"/>
        </w:rPr>
        <w:t xml:space="preserve">(8)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w:t>
      </w:r>
    </w:p>
    <w:p>
      <w:pPr>
        <w:spacing w:after="120"/>
        <w:ind w:left="431"/>
        <w:jc w:val="both"/>
      </w:pPr>
      <w:r>
        <w:rPr>
          <w:rFonts w:ascii="Garamond" w:eastAsia="Garamond" w:hAnsi="Garamond" w:cs="Garamond"/>
          <w:color w:val="2A2A2A"/>
          <w:sz w:val="22"/>
          <w:szCs w:val="22"/>
        </w:rPr>
        <w:t xml:space="preserve">(9)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pPr>
        <w:spacing w:after="120"/>
        <w:ind w:left="431"/>
        <w:jc w:val="both"/>
      </w:pPr>
      <w:r>
        <w:rPr>
          <w:rFonts w:ascii="Garamond" w:eastAsia="Garamond" w:hAnsi="Garamond" w:cs="Garamond"/>
          <w:color w:val="2A2A2A"/>
          <w:sz w:val="22"/>
          <w:szCs w:val="22"/>
        </w:rPr>
        <w:t xml:space="preserve">(1) Two constitutionally independent panels — the NRS Panel and the Elections Panel — operate the Republic's permanent record infrastructure and electoral systems respectively.</w:t>
      </w:r>
    </w:p>
    <w:p>
      <w:pPr>
        <w:spacing w:after="120"/>
        <w:ind w:left="431"/>
        <w:jc w:val="both"/>
      </w:pPr>
      <w:r>
        <w:rPr>
          <w:rFonts w:ascii="Garamond" w:eastAsia="Garamond" w:hAnsi="Garamond" w:cs="Garamond"/>
          <w:color w:val="2A2A2A"/>
          <w:sz w:val="22"/>
          <w:szCs w:val="22"/>
        </w:rPr>
        <w:t xml:space="preserve">(2) The NRS Panel operates the National Record System.</w:t>
      </w:r>
    </w:p>
    <w:p>
      <w:pPr>
        <w:spacing w:after="120"/>
        <w:ind w:left="431"/>
        <w:jc w:val="both"/>
      </w:pPr>
      <w:r>
        <w:rPr>
          <w:rFonts w:ascii="Garamond" w:eastAsia="Garamond" w:hAnsi="Garamond" w:cs="Garamond"/>
          <w:color w:val="2A2A2A"/>
          <w:sz w:val="22"/>
          <w:szCs w:val="22"/>
        </w:rPr>
        <w:t xml:space="preserve">(3)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w:t>
      </w:r>
    </w:p>
    <w:p>
      <w:pPr>
        <w:spacing w:after="120"/>
        <w:ind w:left="431"/>
        <w:jc w:val="both"/>
      </w:pPr>
      <w:r>
        <w:rPr>
          <w:rFonts w:ascii="Garamond" w:eastAsia="Garamond" w:hAnsi="Garamond" w:cs="Garamond"/>
          <w:color w:val="2A2A2A"/>
          <w:sz w:val="22"/>
          <w:szCs w:val="22"/>
        </w:rPr>
        <w:t xml:space="preserve">(4) Where the Elections Panel certifies a State's election system as non-compliant before an election, the Panel may withhold result certification for affected districts pending compliance or a special election under §7.2.a.</w:t>
      </w:r>
    </w:p>
    <w:p>
      <w:pPr>
        <w:spacing w:after="120"/>
        <w:ind w:left="431"/>
        <w:jc w:val="both"/>
      </w:pPr>
      <w:r>
        <w:rPr>
          <w:rFonts w:ascii="Garamond" w:eastAsia="Garamond" w:hAnsi="Garamond" w:cs="Garamond"/>
          <w:color w:val="2A2A2A"/>
          <w:sz w:val="22"/>
          <w:szCs w:val="22"/>
        </w:rPr>
        <w:t xml:space="preserve">(5) Each panel is operationally independent of the other, of both executives, and of the Legislature in the exercise of its functions.</w:t>
      </w:r>
    </w:p>
    <w:p>
      <w:pPr>
        <w:spacing w:after="120"/>
        <w:ind w:left="431"/>
        <w:jc w:val="both"/>
      </w:pPr>
      <w:r>
        <w:rPr>
          <w:rFonts w:ascii="Garamond" w:eastAsia="Garamond" w:hAnsi="Garamond" w:cs="Garamond"/>
          <w:color w:val="2A2A2A"/>
          <w:sz w:val="22"/>
          <w:szCs w:val="22"/>
        </w:rPr>
        <w:t xml:space="preserve">(6)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w:t>
      </w:r>
    </w:p>
    <w:p>
      <w:pPr>
        <w:spacing w:after="120"/>
        <w:ind w:left="431"/>
        <w:jc w:val="both"/>
      </w:pPr>
      <w:r>
        <w:rPr>
          <w:rFonts w:ascii="Garamond" w:eastAsia="Garamond" w:hAnsi="Garamond" w:cs="Garamond"/>
          <w:color w:val="2A2A2A"/>
          <w:sz w:val="22"/>
          <w:szCs w:val="22"/>
        </w:rPr>
        <w:t xml:space="preserve">(7) The Chair of each panel is its most senior member by continuous service; where two or more members have equal continuous service, the Chair is determined by lot conducted by the JMC.</w:t>
      </w:r>
    </w:p>
    <w:p>
      <w:pPr>
        <w:spacing w:after="120"/>
        <w:ind w:left="431"/>
        <w:jc w:val="both"/>
      </w:pPr>
      <w:r>
        <w:rPr>
          <w:rFonts w:ascii="Garamond" w:eastAsia="Garamond" w:hAnsi="Garamond" w:cs="Garamond"/>
          <w:color w:val="2A2A2A"/>
          <w:sz w:val="22"/>
          <w:szCs w:val="22"/>
        </w:rPr>
        <w:t xml:space="preserve">(8)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120"/>
        <w:ind w:left="431"/>
        <w:jc w:val="both"/>
      </w:pPr>
      <w:r>
        <w:rPr>
          <w:rFonts w:ascii="Garamond" w:eastAsia="Garamond" w:hAnsi="Garamond" w:cs="Garamond"/>
          <w:color w:val="2A2A2A"/>
          <w:sz w:val="22"/>
          <w:szCs w:val="22"/>
        </w:rPr>
        <w:t xml:space="preserve">(9)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pPr>
        <w:spacing w:after="120"/>
        <w:ind w:left="431"/>
        <w:jc w:val="both"/>
      </w:pPr>
      <w:r>
        <w:rPr>
          <w:rFonts w:ascii="Garamond" w:eastAsia="Garamond" w:hAnsi="Garamond" w:cs="Garamond"/>
          <w:color w:val="2A2A2A"/>
          <w:sz w:val="22"/>
          <w:szCs w:val="22"/>
        </w:rPr>
        <w:t xml:space="preserve">(1) 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w:t>
      </w:r>
    </w:p>
    <w:p>
      <w:pPr>
        <w:spacing w:after="120"/>
        <w:ind w:left="431"/>
        <w:jc w:val="both"/>
      </w:pPr>
      <w:r>
        <w:rPr>
          <w:rFonts w:ascii="Garamond" w:eastAsia="Garamond" w:hAnsi="Garamond" w:cs="Garamond"/>
          <w:color w:val="2A2A2A"/>
          <w:sz w:val="22"/>
          <w:szCs w:val="22"/>
        </w:rPr>
        <w:t xml:space="preserve">(2) The Assembly gives the Consuls' proposals due consideration in preparing the annual budget and is not bound by them.</w:t>
      </w:r>
    </w:p>
    <w:p>
      <w:pPr>
        <w:spacing w:after="120"/>
        <w:ind w:left="431"/>
        <w:jc w:val="both"/>
      </w:pPr>
      <w:r>
        <w:rPr>
          <w:rFonts w:ascii="Garamond" w:eastAsia="Garamond" w:hAnsi="Garamond" w:cs="Garamond"/>
          <w:color w:val="2A2A2A"/>
          <w:sz w:val="22"/>
          <w:szCs w:val="22"/>
        </w:rPr>
        <w:t xml:space="preserve">(3) A Consul's failure to submit a domain proposal does not delay or bar the budget process; the failure is published to the NRS and the Assembly proceeds.</w:t>
      </w:r>
    </w:p>
    <w:p>
      <w:pPr>
        <w:spacing w:after="120"/>
        <w:ind w:left="431"/>
        <w:jc w:val="both"/>
      </w:pPr>
      <w:r>
        <w:rPr>
          <w:rFonts w:ascii="Garamond" w:eastAsia="Garamond" w:hAnsi="Garamond" w:cs="Garamond"/>
          <w:color w:val="2A2A2A"/>
          <w:sz w:val="22"/>
          <w:szCs w:val="22"/>
        </w:rPr>
        <w:t xml:space="preserve">(4) The Legislature must pass a balanced budget or publish a structural deficit justification reviewed by the MA for fiscal accuracy.</w:t>
      </w:r>
    </w:p>
    <w:p>
      <w:pPr>
        <w:spacing w:after="120"/>
        <w:ind w:left="431"/>
        <w:jc w:val="both"/>
      </w:pPr>
      <w:r>
        <w:rPr>
          <w:rFonts w:ascii="Garamond" w:eastAsia="Garamond" w:hAnsi="Garamond" w:cs="Garamond"/>
          <w:color w:val="2A2A2A"/>
          <w:sz w:val="22"/>
          <w:szCs w:val="22"/>
        </w:rPr>
        <w:t xml:space="preserve">(5) Structural deficits above the threshold defined by the MA require a published plan for return to balance.</w:t>
      </w:r>
    </w:p>
    <w:p>
      <w:pPr>
        <w:spacing w:after="120"/>
        <w:ind w:left="431"/>
        <w:jc w:val="both"/>
      </w:pPr>
      <w:r>
        <w:rPr>
          <w:rFonts w:ascii="Garamond" w:eastAsia="Garamond" w:hAnsi="Garamond" w:cs="Garamond"/>
          <w:color w:val="2A2A2A"/>
          <w:sz w:val="22"/>
          <w:szCs w:val="22"/>
        </w:rPr>
        <w:t xml:space="preserve">(6) Where the Legislature fails to enact a budget by the constitutional deadline defined by statute, an interim automatic appropriation takes effect by constitutional operation covering:</w:t>
      </w:r>
    </w:p>
    <w:p>
      <w:pPr>
        <w:spacing w:after="120"/>
        <w:ind w:left="720"/>
        <w:jc w:val="both"/>
      </w:pPr>
      <w:r>
        <w:rPr>
          <w:rFonts w:ascii="Garamond" w:eastAsia="Garamond" w:hAnsi="Garamond" w:cs="Garamond"/>
          <w:color w:val="2A2A2A"/>
          <w:sz w:val="22"/>
          <w:szCs w:val="22"/>
        </w:rPr>
        <w:t xml:space="preserve">— judicial operations, active defense authorizations under §14.2, and social state continuity under §12.1;</w:t>
      </w:r>
    </w:p>
    <w:p>
      <w:pPr>
        <w:spacing w:after="120"/>
        <w:ind w:left="720"/>
        <w:jc w:val="both"/>
      </w:pPr>
      <w:r>
        <w:rPr>
          <w:rFonts w:ascii="Garamond" w:eastAsia="Garamond" w:hAnsi="Garamond" w:cs="Garamond"/>
          <w:color w:val="2A2A2A"/>
          <w:sz w:val="22"/>
          <w:szCs w:val="22"/>
        </w:rPr>
        <w:t xml:space="preserve">— civil service compensation;</w:t>
      </w:r>
    </w:p>
    <w:p>
      <w:pPr>
        <w:spacing w:after="120"/>
        <w:ind w:left="720"/>
        <w:jc w:val="both"/>
      </w:pPr>
      <w:r>
        <w:rPr>
          <w:rFonts w:ascii="Garamond" w:eastAsia="Garamond" w:hAnsi="Garamond" w:cs="Garamond"/>
          <w:color w:val="2A2A2A"/>
          <w:sz w:val="22"/>
          <w:szCs w:val="22"/>
        </w:rPr>
        <w:t xml:space="preserve">— and debt service obligations.</w:t>
      </w:r>
    </w:p>
    <w:p>
      <w:pPr>
        <w:spacing w:after="120"/>
        <w:ind w:left="431"/>
        <w:jc w:val="both"/>
      </w:pPr>
      <w:r>
        <w:rPr>
          <w:rFonts w:ascii="Garamond" w:eastAsia="Garamond" w:hAnsi="Garamond" w:cs="Garamond"/>
          <w:color w:val="2A2A2A"/>
          <w:sz w:val="22"/>
          <w:szCs w:val="22"/>
        </w:rPr>
        <w:t xml:space="preserve">(7) The interim appropriation continues at the prior fiscal year's inflation-adjusted level until a budget is enacted; no new programs may be initiated or expanded under the interim appropriation.</w:t>
      </w:r>
    </w:p>
    <w:p>
      <w:pPr>
        <w:spacing w:after="120"/>
        <w:ind w:left="431"/>
        <w:jc w:val="both"/>
      </w:pPr>
      <w:r>
        <w:rPr>
          <w:rFonts w:ascii="Garamond" w:eastAsia="Garamond" w:hAnsi="Garamond" w:cs="Garamond"/>
          <w:color w:val="2A2A2A"/>
          <w:sz w:val="22"/>
          <w:szCs w:val="22"/>
        </w:rPr>
        <w:t xml:space="preserve">(8)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pPr>
        <w:spacing w:after="120"/>
        <w:ind w:left="431"/>
        <w:jc w:val="both"/>
      </w:pPr>
      <w:r>
        <w:rPr>
          <w:rFonts w:ascii="Garamond" w:eastAsia="Garamond" w:hAnsi="Garamond" w:cs="Garamond"/>
          <w:color w:val="2A2A2A"/>
          <w:sz w:val="22"/>
          <w:szCs w:val="22"/>
        </w:rPr>
        <w:t xml:space="preserve">(1) A financial interest includes any holding, income source, liability, business relationship, or similar economic interest; a financial interest is disqualifying where it creates a direct and material conflict between an officer's personal economic interest and the impartial exercise of their official duties, with statute permitted to further specify categories and thresholds consistent with this standard.</w:t>
      </w:r>
    </w:p>
    <w:p>
      <w:pPr>
        <w:spacing w:after="120"/>
        <w:ind w:left="431"/>
        <w:jc w:val="both"/>
      </w:pPr>
      <w:r>
        <w:rPr>
          <w:rFonts w:ascii="Garamond" w:eastAsia="Garamond" w:hAnsi="Garamond" w:cs="Garamond"/>
          <w:color w:val="2A2A2A"/>
          <w:sz w:val="22"/>
          <w:szCs w:val="22"/>
        </w:rPr>
        <w:t xml:space="preserve">(2)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w:t>
      </w:r>
    </w:p>
    <w:p>
      <w:pPr>
        <w:spacing w:after="120"/>
        <w:ind w:left="431"/>
        <w:jc w:val="both"/>
      </w:pPr>
      <w:r>
        <w:rPr>
          <w:rFonts w:ascii="Garamond" w:eastAsia="Garamond" w:hAnsi="Garamond" w:cs="Garamond"/>
          <w:color w:val="2A2A2A"/>
          <w:sz w:val="22"/>
          <w:szCs w:val="22"/>
        </w:rPr>
        <w:t xml:space="preserve">(3) Candidates for a Monitor General's own candidate pool are audited for financial disclosure by the other two Monitors jointly rather than by the Monitor whose pool they would join, as provided in §9.3 and §9.4.</w:t>
      </w:r>
    </w:p>
    <w:p>
      <w:pPr>
        <w:spacing w:after="120"/>
        <w:ind w:left="431"/>
        <w:jc w:val="both"/>
      </w:pPr>
      <w:r>
        <w:rPr>
          <w:rFonts w:ascii="Garamond" w:eastAsia="Garamond" w:hAnsi="Garamond" w:cs="Garamond"/>
          <w:color w:val="2A2A2A"/>
          <w:sz w:val="22"/>
          <w:szCs w:val="22"/>
        </w:rPr>
        <w:t xml:space="preserve">(4) Any officer with a direct financial interest in a decision within their authority must recuse themselves; recusal is self-executing.</w:t>
      </w:r>
    </w:p>
    <w:p>
      <w:pPr>
        <w:spacing w:after="120"/>
        <w:ind w:left="431"/>
        <w:jc w:val="both"/>
      </w:pPr>
      <w:r>
        <w:rPr>
          <w:rFonts w:ascii="Garamond" w:eastAsia="Garamond" w:hAnsi="Garamond" w:cs="Garamond"/>
          <w:color w:val="2A2A2A"/>
          <w:sz w:val="22"/>
          <w:szCs w:val="22"/>
        </w:rPr>
        <w:t xml:space="preserve">(5) Any decision made without required recusal is voidable; the relevant chamber may void the decision by simple majority within 90 days of the conflict becoming a matter of public record on the NRS.</w:t>
      </w:r>
    </w:p>
    <w:p>
      <w:pPr>
        <w:spacing w:after="120"/>
        <w:ind w:left="431"/>
        <w:jc w:val="both"/>
      </w:pPr>
      <w:r>
        <w:rPr>
          <w:rFonts w:ascii="Garamond" w:eastAsia="Garamond" w:hAnsi="Garamond" w:cs="Garamond"/>
          <w:color w:val="2A2A2A"/>
          <w:sz w:val="22"/>
          <w:szCs w:val="22"/>
        </w:rPr>
        <w:t xml:space="preserve">(6)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w:t>
      </w:r>
    </w:p>
    <w:p>
      <w:pPr>
        <w:spacing w:after="120"/>
        <w:ind w:left="431"/>
        <w:jc w:val="both"/>
      </w:pPr>
      <w:r>
        <w:rPr>
          <w:rFonts w:ascii="Garamond" w:eastAsia="Garamond" w:hAnsi="Garamond" w:cs="Garamond"/>
          <w:color w:val="2A2A2A"/>
          <w:sz w:val="22"/>
          <w:szCs w:val="22"/>
        </w:rPr>
        <w:t xml:space="preserve">(7) Officers may not accept gifts above a de minimis threshold; all gifts above the threshold must be disclosed to their respective Monitor and deposited with the relevant treasury.</w:t>
      </w:r>
    </w:p>
    <w:p>
      <w:pPr>
        <w:spacing w:after="120"/>
        <w:ind w:left="431"/>
        <w:jc w:val="both"/>
      </w:pPr>
      <w:r>
        <w:rPr>
          <w:rFonts w:ascii="Garamond" w:eastAsia="Garamond" w:hAnsi="Garamond" w:cs="Garamond"/>
          <w:color w:val="2A2A2A"/>
          <w:sz w:val="22"/>
          <w:szCs w:val="22"/>
        </w:rPr>
        <w:t xml:space="preserve">(8) All records created in the exercise of official functions are public records and may not be retained, destroyed, or removed by departing officers.</w:t>
      </w:r>
    </w:p>
    <w:p>
      <w:pPr>
        <w:spacing w:after="120"/>
        <w:ind w:left="431"/>
        <w:jc w:val="both"/>
      </w:pPr>
      <w:r>
        <w:rPr>
          <w:rFonts w:ascii="Garamond" w:eastAsia="Garamond" w:hAnsi="Garamond" w:cs="Garamond"/>
          <w:color w:val="2A2A2A"/>
          <w:sz w:val="22"/>
          <w:szCs w:val="22"/>
        </w:rPr>
        <w:t xml:space="preserve">(9)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pPr>
        <w:spacing w:after="120"/>
        <w:ind w:left="431"/>
        <w:jc w:val="both"/>
      </w:pPr>
      <w:r>
        <w:rPr>
          <w:rFonts w:ascii="Garamond" w:eastAsia="Garamond" w:hAnsi="Garamond" w:cs="Garamond"/>
          <w:color w:val="2A2A2A"/>
          <w:sz w:val="22"/>
          <w:szCs w:val="22"/>
        </w:rPr>
        <w:t xml:space="preserve">(1) Citizens may initiate a national referendum to repeal enacted legislation. The petition process begins within 90 days of enactment and proceeds in two phases, each authenticated through the NVS using Citizen Voting Credentials.</w:t>
      </w:r>
    </w:p>
    <w:p>
      <w:pPr>
        <w:spacing w:after="120"/>
        <w:ind w:left="431"/>
        <w:jc w:val="both"/>
      </w:pPr>
      <w:r>
        <w:rPr>
          <w:rFonts w:ascii="Garamond" w:eastAsia="Garamond" w:hAnsi="Garamond" w:cs="Garamond"/>
          <w:color w:val="2A2A2A"/>
          <w:sz w:val="22"/>
          <w:szCs w:val="22"/>
        </w:rPr>
        <w:t xml:space="preserve">(2) Phase One, lasting up to 8 months, requires signatures from citizens equal to a percentage of eligible voters — defined by statute at not less than 0.5% nor more than 3% — in each of at least one-third of all States and Territories.</w:t>
      </w:r>
    </w:p>
    <w:p>
      <w:pPr>
        <w:spacing w:after="120"/>
        <w:ind w:left="431"/>
        <w:jc w:val="both"/>
      </w:pPr>
      <w:r>
        <w:rPr>
          <w:rFonts w:ascii="Garamond" w:eastAsia="Garamond" w:hAnsi="Garamond" w:cs="Garamond"/>
          <w:color w:val="2A2A2A"/>
          <w:sz w:val="22"/>
          <w:szCs w:val="22"/>
        </w:rPr>
        <w:t xml:space="preserve">(3) Phase Two, lasting up to 8 months following Phase One's completion, requires signatures from 5% of eligible voters nationally; signatures gathered in Phase One carry over and count toward this threshold.</w:t>
      </w:r>
    </w:p>
    <w:p>
      <w:pPr>
        <w:spacing w:after="120"/>
        <w:ind w:left="431"/>
        <w:jc w:val="both"/>
      </w:pPr>
      <w:r>
        <w:rPr>
          <w:rFonts w:ascii="Garamond" w:eastAsia="Garamond" w:hAnsi="Garamond" w:cs="Garamond"/>
          <w:color w:val="2A2A2A"/>
          <w:sz w:val="22"/>
          <w:szCs w:val="22"/>
        </w:rPr>
        <w:t xml:space="preserve">(4) Laws that solely or primarily expand an Article I right, budget laws, and laws implementing a constitutionally mandated obligation are ineligible.</w:t>
      </w:r>
    </w:p>
    <w:p>
      <w:pPr>
        <w:spacing w:after="120"/>
        <w:ind w:left="431"/>
        <w:jc w:val="both"/>
      </w:pPr>
      <w:r>
        <w:rPr>
          <w:rFonts w:ascii="Garamond" w:eastAsia="Garamond" w:hAnsi="Garamond" w:cs="Garamond"/>
          <w:color w:val="2A2A2A"/>
          <w:sz w:val="22"/>
          <w:szCs w:val="22"/>
        </w:rPr>
        <w:t xml:space="preserve">(5)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w:t>
      </w:r>
    </w:p>
    <w:p>
      <w:pPr>
        <w:spacing w:after="120"/>
        <w:ind w:left="431"/>
        <w:jc w:val="both"/>
      </w:pPr>
      <w:r>
        <w:rPr>
          <w:rFonts w:ascii="Garamond" w:eastAsia="Garamond" w:hAnsi="Garamond" w:cs="Garamond"/>
          <w:color w:val="2A2A2A"/>
          <w:sz w:val="22"/>
          <w:szCs w:val="22"/>
        </w:rPr>
        <w:t xml:space="preserve">(6)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w:t>
      </w:r>
    </w:p>
    <w:p>
      <w:pPr>
        <w:spacing w:after="120"/>
        <w:ind w:left="431"/>
        <w:jc w:val="both"/>
      </w:pPr>
      <w:r>
        <w:rPr>
          <w:rFonts w:ascii="Garamond" w:eastAsia="Garamond" w:hAnsi="Garamond" w:cs="Garamond"/>
          <w:color w:val="2A2A2A"/>
          <w:sz w:val="22"/>
          <w:szCs w:val="22"/>
        </w:rPr>
        <w:t xml:space="preserve">(7)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pPr>
        <w:spacing w:after="120"/>
        <w:ind w:left="431"/>
        <w:jc w:val="both"/>
      </w:pPr>
      <w:r>
        <w:rPr>
          <w:rFonts w:ascii="Garamond" w:eastAsia="Garamond" w:hAnsi="Garamond" w:cs="Garamond"/>
          <w:color w:val="2A2A2A"/>
          <w:sz w:val="22"/>
          <w:szCs w:val="22"/>
        </w:rPr>
        <w:t xml:space="preserve">(1) 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w:t>
      </w:r>
    </w:p>
    <w:p>
      <w:pPr>
        <w:spacing w:after="120"/>
        <w:ind w:left="431"/>
        <w:jc w:val="both"/>
      </w:pPr>
      <w:r>
        <w:rPr>
          <w:rFonts w:ascii="Garamond" w:eastAsia="Garamond" w:hAnsi="Garamond" w:cs="Garamond"/>
          <w:color w:val="2A2A2A"/>
          <w:sz w:val="22"/>
          <w:szCs w:val="22"/>
        </w:rPr>
        <w:t xml:space="preserve">(2) A person who has made a current disclosure for one federal office satisfies this requirement for elevation to another so long as the disclosure remains accurate.</w:t>
      </w:r>
    </w:p>
    <w:p>
      <w:pPr>
        <w:spacing w:after="120"/>
        <w:ind w:left="431"/>
        <w:jc w:val="both"/>
      </w:pPr>
      <w:r>
        <w:rPr>
          <w:rFonts w:ascii="Garamond" w:eastAsia="Garamond" w:hAnsi="Garamond" w:cs="Garamond"/>
          <w:color w:val="2A2A2A"/>
          <w:sz w:val="22"/>
          <w:szCs w:val="22"/>
        </w:rPr>
        <w:t xml:space="preserve">(3) A false or incomplete disclosure is itself a federal offense.</w:t>
      </w:r>
    </w:p>
    <w:p>
      <w:pPr>
        <w:spacing w:after="120"/>
        <w:ind w:left="431"/>
        <w:jc w:val="both"/>
      </w:pPr>
      <w:r>
        <w:rPr>
          <w:rFonts w:ascii="Garamond" w:eastAsia="Garamond" w:hAnsi="Garamond" w:cs="Garamond"/>
          <w:color w:val="2A2A2A"/>
          <w:sz w:val="22"/>
          <w:szCs w:val="22"/>
        </w:rPr>
        <w:t xml:space="preserve">(4) No criminal conviction bars a person from federal office except as provided in this section; the weight of a disclosed history is for the voters, or for the selecting body, to judge.</w:t>
      </w:r>
    </w:p>
    <w:p>
      <w:pPr>
        <w:spacing w:after="120"/>
        <w:ind w:left="431"/>
        <w:jc w:val="both"/>
      </w:pPr>
      <w:r>
        <w:rPr>
          <w:rFonts w:ascii="Garamond" w:eastAsia="Garamond" w:hAnsi="Garamond" w:cs="Garamond"/>
          <w:color w:val="2A2A2A"/>
          <w:sz w:val="22"/>
          <w:szCs w:val="22"/>
        </w:rPr>
        <w:t xml:space="preserve">(5)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w:t>
      </w:r>
    </w:p>
    <w:p>
      <w:pPr>
        <w:spacing w:after="120"/>
        <w:ind w:left="431"/>
        <w:jc w:val="both"/>
      </w:pPr>
      <w:r>
        <w:rPr>
          <w:rFonts w:ascii="Garamond" w:eastAsia="Garamond" w:hAnsi="Garamond" w:cs="Garamond"/>
          <w:color w:val="2A2A2A"/>
          <w:sz w:val="22"/>
          <w:szCs w:val="22"/>
        </w:rPr>
        <w:t xml:space="preserve">(6) This bar requires a conviction, not an accusation or a pending charge.</w:t>
      </w:r>
    </w:p>
    <w:p>
      <w:pPr>
        <w:spacing w:after="120"/>
        <w:ind w:left="431"/>
        <w:jc w:val="both"/>
      </w:pPr>
      <w:r>
        <w:rPr>
          <w:rFonts w:ascii="Garamond" w:eastAsia="Garamond" w:hAnsi="Garamond" w:cs="Garamond"/>
          <w:color w:val="2A2A2A"/>
          <w:sz w:val="22"/>
          <w:szCs w:val="22"/>
        </w:rPr>
        <w:t xml:space="preserve">(7)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pPr>
        <w:spacing w:after="120"/>
        <w:ind w:left="431"/>
        <w:jc w:val="both"/>
      </w:pPr>
      <w:r>
        <w:rPr>
          <w:rFonts w:ascii="Garamond" w:eastAsia="Garamond" w:hAnsi="Garamond" w:cs="Garamond"/>
          <w:color w:val="2A2A2A"/>
          <w:sz w:val="22"/>
          <w:szCs w:val="22"/>
        </w:rPr>
        <w:t xml:space="preserve">(1) A State enters Mandatory Devolution upon three consecutive annual Statehood Audit findings of failure published by the JMC.</w:t>
      </w:r>
    </w:p>
    <w:p>
      <w:pPr>
        <w:spacing w:after="120"/>
        <w:ind w:left="431"/>
        <w:jc w:val="both"/>
      </w:pPr>
      <w:r>
        <w:rPr>
          <w:rFonts w:ascii="Garamond" w:eastAsia="Garamond" w:hAnsi="Garamond" w:cs="Garamond"/>
          <w:color w:val="2A2A2A"/>
          <w:sz w:val="22"/>
          <w:szCs w:val="22"/>
        </w:rPr>
        <w:t xml:space="preserve">(2) After each failing audit, the JMC publishes an Early Warning specifying compliance requirements; the State must publish a Remediation Plan within the period defined by statute. Upon three consecutive failures, the State enters Provisional status under §15.1.a.</w:t>
      </w:r>
    </w:p>
    <w:p>
      <w:pPr>
        <w:spacing w:after="120"/>
        <w:ind w:left="431"/>
        <w:jc w:val="both"/>
      </w:pPr>
      <w:r>
        <w:rPr>
          <w:rFonts w:ascii="Garamond" w:eastAsia="Garamond" w:hAnsi="Garamond" w:cs="Garamond"/>
          <w:color w:val="2A2A2A"/>
          <w:sz w:val="22"/>
          <w:szCs w:val="22"/>
        </w:rPr>
        <w:t xml:space="preserve">(3)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w:t>
      </w:r>
    </w:p>
    <w:p>
      <w:pPr>
        <w:spacing w:after="120"/>
        <w:ind w:left="431"/>
        <w:jc w:val="both"/>
      </w:pPr>
      <w:r>
        <w:rPr>
          <w:rFonts w:ascii="Garamond" w:eastAsia="Garamond" w:hAnsi="Garamond" w:cs="Garamond"/>
          <w:color w:val="2A2A2A"/>
          <w:sz w:val="22"/>
          <w:szCs w:val="22"/>
        </w:rPr>
        <w:t xml:space="preserve">(4)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w:t>
      </w:r>
    </w:p>
    <w:p>
      <w:pPr>
        <w:spacing w:after="120"/>
        <w:ind w:left="431"/>
        <w:jc w:val="both"/>
      </w:pPr>
      <w:r>
        <w:rPr>
          <w:rFonts w:ascii="Garamond" w:eastAsia="Garamond" w:hAnsi="Garamond" w:cs="Garamond"/>
          <w:color w:val="2A2A2A"/>
          <w:sz w:val="22"/>
          <w:szCs w:val="22"/>
        </w:rPr>
        <w:t xml:space="preserve">(5)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w:t>
      </w:r>
    </w:p>
    <w:p>
      <w:pPr>
        <w:spacing w:after="120"/>
        <w:ind w:left="431"/>
        <w:jc w:val="both"/>
      </w:pPr>
      <w:r>
        <w:rPr>
          <w:rFonts w:ascii="Garamond" w:eastAsia="Garamond" w:hAnsi="Garamond" w:cs="Garamond"/>
          <w:color w:val="2A2A2A"/>
          <w:sz w:val="22"/>
          <w:szCs w:val="22"/>
        </w:rPr>
        <w:t xml:space="preserve">(6) An affirmative vote proceeds through negotiation and Senate ratification under §15.4; the State remains in Provisional status throughout that process; absent an affirmative vote, the State continues in Provisional status under this section.</w:t>
      </w:r>
    </w:p>
    <w:p>
      <w:pPr>
        <w:spacing w:after="120"/>
        <w:ind w:left="431"/>
        <w:jc w:val="both"/>
      </w:pPr>
      <w:r>
        <w:rPr>
          <w:rFonts w:ascii="Garamond" w:eastAsia="Garamond" w:hAnsi="Garamond" w:cs="Garamond"/>
          <w:color w:val="2A2A2A"/>
          <w:sz w:val="22"/>
          <w:szCs w:val="22"/>
        </w:rPr>
        <w:t xml:space="preserve">(7)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pPr>
        <w:spacing w:after="120"/>
        <w:ind w:left="431"/>
        <w:jc w:val="both"/>
      </w:pPr>
      <w:r>
        <w:rPr>
          <w:rFonts w:ascii="Garamond" w:eastAsia="Garamond" w:hAnsi="Garamond" w:cs="Garamond"/>
          <w:color w:val="2A2A2A"/>
          <w:sz w:val="22"/>
          <w:szCs w:val="22"/>
        </w:rPr>
        <w:t xml:space="preserve">(1) A State may seek independence from the Republic through a three-stage process.</w:t>
      </w:r>
    </w:p>
    <w:p>
      <w:pPr>
        <w:spacing w:after="120"/>
        <w:ind w:left="431"/>
        <w:jc w:val="both"/>
      </w:pPr>
      <w:r>
        <w:rPr>
          <w:rFonts w:ascii="Garamond" w:eastAsia="Garamond" w:hAnsi="Garamond" w:cs="Garamond"/>
          <w:color w:val="2A2A2A"/>
          <w:sz w:val="22"/>
          <w:szCs w:val="22"/>
        </w:rPr>
        <w:t xml:space="preserve">(2)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w:t>
      </w:r>
    </w:p>
    <w:p>
      <w:pPr>
        <w:spacing w:after="120"/>
        <w:ind w:left="431"/>
        <w:jc w:val="both"/>
      </w:pPr>
      <w:r>
        <w:rPr>
          <w:rFonts w:ascii="Garamond" w:eastAsia="Garamond" w:hAnsi="Garamond" w:cs="Garamond"/>
          <w:color w:val="2A2A2A"/>
          <w:sz w:val="22"/>
          <w:szCs w:val="22"/>
        </w:rPr>
        <w:t xml:space="preserve">(3) Upon certification of the referendum result, the Elections Panel publishes the independence petition to the NRS; the petition may not be withdrawn by the State while the process continues.</w:t>
      </w:r>
    </w:p>
    <w:p>
      <w:pPr>
        <w:spacing w:after="120"/>
        <w:ind w:left="431"/>
        <w:jc w:val="both"/>
      </w:pPr>
      <w:r>
        <w:rPr>
          <w:rFonts w:ascii="Garamond" w:eastAsia="Garamond" w:hAnsi="Garamond" w:cs="Garamond"/>
          <w:color w:val="2A2A2A"/>
          <w:sz w:val="22"/>
          <w:szCs w:val="22"/>
        </w:rPr>
        <w:t xml:space="preserve">(4) The Republic may not prefer, discourage, or offer inducements toward any independence petition or referendum; the Republic must provide factual information about the process upon request.</w:t>
      </w:r>
    </w:p>
    <w:p>
      <w:pPr>
        <w:spacing w:after="120"/>
        <w:ind w:left="431"/>
        <w:jc w:val="both"/>
      </w:pPr>
      <w:r>
        <w:rPr>
          <w:rFonts w:ascii="Garamond" w:eastAsia="Garamond" w:hAnsi="Garamond" w:cs="Garamond"/>
          <w:color w:val="2A2A2A"/>
          <w:sz w:val="22"/>
          <w:szCs w:val="22"/>
        </w:rPr>
        <w:t xml:space="preserve">(5)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spacing w:after="120"/>
        <w:ind w:left="431"/>
        <w:jc w:val="both"/>
      </w:pPr>
      <w:r>
        <w:rPr>
          <w:rFonts w:ascii="Garamond" w:eastAsia="Garamond" w:hAnsi="Garamond" w:cs="Garamond"/>
          <w:color w:val="2A2A2A"/>
          <w:sz w:val="22"/>
          <w:szCs w:val="22"/>
        </w:rPr>
        <w:t xml:space="preserve">(6) Stage Three requires a national referendum administered by the Elections Panel within 180 days of the Stage Two vote, in which all eligible voters of the Republic — including those of the petitioning State — participate; independence is approved by 60% of votes cast under §7.2 with a minimum 50% citizen participation. Where the referendum fails, the petition lapses and the State may reinitiate Stage One without restriction.</w:t>
      </w:r>
    </w:p>
    <w:p>
      <w:pPr>
        <w:spacing w:after="120"/>
        <w:ind w:left="431"/>
        <w:jc w:val="both"/>
      </w:pPr>
      <w:r>
        <w:rPr>
          <w:rFonts w:ascii="Garamond" w:eastAsia="Garamond" w:hAnsi="Garamond" w:cs="Garamond"/>
          <w:color w:val="2A2A2A"/>
          <w:sz w:val="22"/>
          <w:szCs w:val="22"/>
        </w:rPr>
        <w:t xml:space="preserve">(7)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pPr>
        <w:spacing w:after="120"/>
        <w:ind w:left="431"/>
        <w:jc w:val="both"/>
      </w:pPr>
      <w:r>
        <w:rPr>
          <w:rFonts w:ascii="Garamond" w:eastAsia="Garamond" w:hAnsi="Garamond" w:cs="Garamond"/>
          <w:color w:val="2A2A2A"/>
          <w:sz w:val="22"/>
          <w:szCs w:val="22"/>
        </w:rPr>
        <w:t xml:space="preserve">(1) At ratification, the Republic formally notifies every nation on the founding register of its rights under this section; notification is published to the NRS.</w:t>
      </w:r>
    </w:p>
    <w:p>
      <w:pPr>
        <w:spacing w:after="120"/>
        <w:ind w:left="431"/>
        <w:jc w:val="both"/>
      </w:pPr>
      <w:r>
        <w:rPr>
          <w:rFonts w:ascii="Garamond" w:eastAsia="Garamond" w:hAnsi="Garamond" w:cs="Garamond"/>
          <w:color w:val="2A2A2A"/>
          <w:sz w:val="22"/>
          <w:szCs w:val="22"/>
        </w:rPr>
        <w:t xml:space="preserve">(2)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w:t>
      </w:r>
    </w:p>
    <w:p>
      <w:pPr>
        <w:spacing w:after="120"/>
        <w:ind w:left="431"/>
        <w:jc w:val="both"/>
      </w:pPr>
      <w:r>
        <w:rPr>
          <w:rFonts w:ascii="Garamond" w:eastAsia="Garamond" w:hAnsi="Garamond" w:cs="Garamond"/>
          <w:color w:val="2A2A2A"/>
          <w:sz w:val="22"/>
          <w:szCs w:val="22"/>
        </w:rPr>
        <w:t xml:space="preserve">(3) Associated Community status is the default: a nation that makes no election holds Associated Community status by constitutional operation at the close of the Transition Window.</w:t>
      </w:r>
    </w:p>
    <w:p>
      <w:pPr>
        <w:spacing w:after="120"/>
        <w:ind w:left="431"/>
        <w:jc w:val="both"/>
      </w:pPr>
      <w:r>
        <w:rPr>
          <w:rFonts w:ascii="Garamond" w:eastAsia="Garamond" w:hAnsi="Garamond" w:cs="Garamond"/>
          <w:color w:val="2A2A2A"/>
          <w:sz w:val="22"/>
          <w:szCs w:val="22"/>
        </w:rPr>
        <w:t xml:space="preserve">(4) The Republic may not prefer, discourage, or offer inducements toward any status; it must provide factual information about each status upon request.</w:t>
      </w:r>
    </w:p>
    <w:p>
      <w:pPr>
        <w:spacing w:after="120"/>
        <w:ind w:left="431"/>
        <w:jc w:val="both"/>
      </w:pPr>
      <w:r>
        <w:rPr>
          <w:rFonts w:ascii="Garamond" w:eastAsia="Garamond" w:hAnsi="Garamond" w:cs="Garamond"/>
          <w:color w:val="2A2A2A"/>
          <w:sz w:val="22"/>
          <w:szCs w:val="22"/>
        </w:rPr>
        <w:t xml:space="preserve">(5) Article I applies within the territory of each recognized nation throughout the Transition Window unless the nation, by its own governance process, positively rejects that application, published to the NRS; rejection constitutes an early assertion of the default status.</w:t>
      </w:r>
    </w:p>
    <w:p>
      <w:pPr>
        <w:spacing w:after="120"/>
        <w:ind w:left="431"/>
        <w:jc w:val="both"/>
      </w:pPr>
      <w:r>
        <w:rPr>
          <w:rFonts w:ascii="Garamond" w:eastAsia="Garamond" w:hAnsi="Garamond" w:cs="Garamond"/>
          <w:color w:val="2A2A2A"/>
          <w:sz w:val="22"/>
          <w:szCs w:val="22"/>
        </w:rPr>
        <w:t xml:space="preserve">(6)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w:t>
      </w:r>
    </w:p>
    <w:p>
      <w:pPr>
        <w:spacing w:after="120"/>
        <w:ind w:left="431"/>
        <w:jc w:val="both"/>
      </w:pPr>
      <w:r>
        <w:rPr>
          <w:rFonts w:ascii="Garamond" w:eastAsia="Garamond" w:hAnsi="Garamond" w:cs="Garamond"/>
          <w:color w:val="2A2A2A"/>
          <w:sz w:val="22"/>
          <w:szCs w:val="22"/>
        </w:rPr>
        <w:t xml:space="preserve">(7)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pPr>
        <w:spacing w:after="120"/>
        <w:ind w:left="431"/>
        <w:jc w:val="both"/>
      </w:pPr>
      <w:r>
        <w:rPr>
          <w:rFonts w:ascii="Garamond" w:eastAsia="Garamond" w:hAnsi="Garamond" w:cs="Garamond"/>
          <w:color w:val="2A2A2A"/>
          <w:sz w:val="22"/>
          <w:szCs w:val="22"/>
        </w:rPr>
        <w:t xml:space="preserve">(1) This Constitution may be amended through the parliamentary path or through citizen initiative. No executive signature is required; no executive veto applies. Every member's vote on any amendment is published to the NRS.</w:t>
      </w:r>
    </w:p>
    <w:p>
      <w:pPr>
        <w:spacing w:after="120"/>
        <w:ind w:left="431"/>
        <w:jc w:val="both"/>
      </w:pPr>
      <w:r>
        <w:rPr>
          <w:rFonts w:ascii="Garamond" w:eastAsia="Garamond" w:hAnsi="Garamond" w:cs="Garamond"/>
          <w:color w:val="2A2A2A"/>
          <w:sz w:val="22"/>
          <w:szCs w:val="22"/>
        </w:rPr>
        <w:t xml:space="preserve">(2)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w:t>
      </w:r>
    </w:p>
    <w:p>
      <w:pPr>
        <w:spacing w:after="120"/>
        <w:ind w:left="431"/>
        <w:jc w:val="both"/>
      </w:pPr>
      <w:r>
        <w:rPr>
          <w:rFonts w:ascii="Garamond" w:eastAsia="Garamond" w:hAnsi="Garamond" w:cs="Garamond"/>
          <w:color w:val="2A2A2A"/>
          <w:sz w:val="22"/>
          <w:szCs w:val="22"/>
        </w:rPr>
        <w:t xml:space="preserve">(3)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w:t>
      </w:r>
    </w:p>
    <w:p>
      <w:pPr>
        <w:spacing w:after="120"/>
        <w:ind w:left="431"/>
        <w:jc w:val="both"/>
      </w:pPr>
      <w:r>
        <w:rPr>
          <w:rFonts w:ascii="Garamond" w:eastAsia="Garamond" w:hAnsi="Garamond" w:cs="Garamond"/>
          <w:color w:val="2A2A2A"/>
          <w:sz w:val="22"/>
          <w:szCs w:val="22"/>
        </w:rPr>
        <w:t xml:space="preserve">(4) Amendment of the following provisions requires Popular Ratification regardless of the amendment's origin: the Monitor selection mechanisms and independence protections (§9.2–§9.4), the Monitor information-only mandate and non-dependency principle (§9.1), the Monitor funding guarantee (§9.5),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pPr>
        <w:spacing w:after="120"/>
        <w:ind w:left="431"/>
        <w:jc w:val="both"/>
      </w:pPr>
      <w:r>
        <w:rPr>
          <w:rFonts w:ascii="Garamond" w:eastAsia="Garamond" w:hAnsi="Garamond" w:cs="Garamond"/>
          <w:color w:val="2A2A2A"/>
          <w:sz w:val="22"/>
          <w:szCs w:val="22"/>
        </w:rPr>
        <w:t xml:space="preserve">(1) An amendment that is logically inconsistent with an existing provision must either explicitly repeal the inconsistent provision or the inconsistency is treated as void.</w:t>
      </w:r>
    </w:p>
    <w:p>
      <w:pPr>
        <w:spacing w:after="120"/>
        <w:ind w:left="431"/>
        <w:jc w:val="both"/>
      </w:pPr>
      <w:r>
        <w:rPr>
          <w:rFonts w:ascii="Garamond" w:eastAsia="Garamond" w:hAnsi="Garamond" w:cs="Garamond"/>
          <w:color w:val="2A2A2A"/>
          <w:sz w:val="22"/>
          <w:szCs w:val="22"/>
        </w:rPr>
        <w:t xml:space="preserve">(2)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w:t>
      </w:r>
    </w:p>
    <w:p>
      <w:pPr>
        <w:spacing w:after="120"/>
        <w:ind w:left="431"/>
        <w:jc w:val="both"/>
      </w:pPr>
      <w:r>
        <w:rPr>
          <w:rFonts w:ascii="Garamond" w:eastAsia="Garamond" w:hAnsi="Garamond" w:cs="Garamond"/>
          <w:color w:val="2A2A2A"/>
          <w:sz w:val="22"/>
          <w:szCs w:val="22"/>
        </w:rPr>
        <w:t xml:space="preserve">(3)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w:t>
      </w:r>
    </w:p>
    <w:p>
      <w:pPr>
        <w:spacing w:after="120"/>
        <w:ind w:left="431"/>
        <w:jc w:val="both"/>
      </w:pPr>
      <w:r>
        <w:rPr>
          <w:rFonts w:ascii="Garamond" w:eastAsia="Garamond" w:hAnsi="Garamond" w:cs="Garamond"/>
          <w:color w:val="2A2A2A"/>
          <w:sz w:val="22"/>
          <w:szCs w:val="22"/>
        </w:rPr>
        <w:t xml:space="preserve">(4) Amendments take prospective effect from the date of ratification — they do not retroactively alter the constitutionality of acts that were constitutional when performed.</w:t>
      </w:r>
    </w:p>
    <w:p>
      <w:pPr>
        <w:spacing w:after="120"/>
        <w:ind w:left="431"/>
        <w:jc w:val="both"/>
      </w:pPr>
      <w:r>
        <w:rPr>
          <w:rFonts w:ascii="Garamond" w:eastAsia="Garamond" w:hAnsi="Garamond" w:cs="Garamond"/>
          <w:color w:val="2A2A2A"/>
          <w:sz w:val="22"/>
          <w:szCs w:val="22"/>
        </w:rPr>
        <w:t xml:space="preserve">(5) Two amendments may be simultaneously in the ratification process; if both pass, both are law; where they conflict, the one ratified later prevails; where margins and timing are equal, the LM determines precedence from NRS records.</w:t>
      </w:r>
    </w:p>
    <w:p>
      <w:pPr>
        <w:spacing w:after="120"/>
        <w:ind w:left="431"/>
        <w:jc w:val="both"/>
      </w:pPr>
      <w:r>
        <w:rPr>
          <w:rFonts w:ascii="Garamond" w:eastAsia="Garamond" w:hAnsi="Garamond" w:cs="Garamond"/>
          <w:color w:val="2A2A2A"/>
          <w:sz w:val="22"/>
          <w:szCs w:val="22"/>
        </w:rPr>
        <w:t xml:space="preserve">(6)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pPr>
        <w:spacing w:after="120"/>
        <w:ind w:left="431"/>
        <w:jc w:val="both"/>
      </w:pPr>
      <w:r>
        <w:rPr>
          <w:rFonts w:ascii="Garamond" w:eastAsia="Garamond" w:hAnsi="Garamond" w:cs="Garamond"/>
          <w:color w:val="2A2A2A"/>
          <w:sz w:val="22"/>
          <w:szCs w:val="22"/>
        </w:rPr>
        <w:t xml:space="preserve">(1) The Republic assumes the public debt obligations of its predecessor government as a constitutional matter — it does not inherit a clean slate.</w:t>
      </w:r>
    </w:p>
    <w:p>
      <w:pPr>
        <w:spacing w:after="120"/>
        <w:ind w:left="431"/>
        <w:jc w:val="both"/>
      </w:pPr>
      <w:r>
        <w:rPr>
          <w:rFonts w:ascii="Garamond" w:eastAsia="Garamond" w:hAnsi="Garamond" w:cs="Garamond"/>
          <w:color w:val="2A2A2A"/>
          <w:sz w:val="22"/>
          <w:szCs w:val="22"/>
        </w:rPr>
        <w:t xml:space="preserve">(2)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w:t>
      </w:r>
    </w:p>
    <w:p>
      <w:pPr>
        <w:spacing w:after="120"/>
        <w:ind w:left="431"/>
        <w:jc w:val="both"/>
      </w:pPr>
      <w:r>
        <w:rPr>
          <w:rFonts w:ascii="Garamond" w:eastAsia="Garamond" w:hAnsi="Garamond" w:cs="Garamond"/>
          <w:color w:val="2A2A2A"/>
          <w:sz w:val="22"/>
          <w:szCs w:val="22"/>
        </w:rPr>
        <w:t xml:space="preserve">(3) Social insurance programs — retirement pensions, disability benefits, health coverage — continue uninterrupted during the Transition Window.</w:t>
      </w:r>
    </w:p>
    <w:p>
      <w:pPr>
        <w:spacing w:after="120"/>
        <w:ind w:left="431"/>
        <w:jc w:val="both"/>
      </w:pPr>
      <w:r>
        <w:rPr>
          <w:rFonts w:ascii="Garamond" w:eastAsia="Garamond" w:hAnsi="Garamond" w:cs="Garamond"/>
          <w:color w:val="2A2A2A"/>
          <w:sz w:val="22"/>
          <w:szCs w:val="22"/>
        </w:rPr>
        <w:t xml:space="preserve">(4) All benefit obligations to persons who served in military or national service under the prior government are inherited and honored; the Legislature must pass a Veterans and National Service Benefits Act within the first budget cycle following Phase 4.</w:t>
      </w:r>
    </w:p>
    <w:p>
      <w:pPr>
        <w:spacing w:after="120"/>
        <w:ind w:left="431"/>
        <w:jc w:val="both"/>
      </w:pPr>
      <w:r>
        <w:rPr>
          <w:rFonts w:ascii="Garamond" w:eastAsia="Garamond" w:hAnsi="Garamond" w:cs="Garamond"/>
          <w:color w:val="2A2A2A"/>
          <w:sz w:val="22"/>
          <w:szCs w:val="22"/>
        </w:rPr>
        <w:t xml:space="preserve">(5)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w:t>
      </w:r>
    </w:p>
    <w:p>
      <w:pPr>
        <w:spacing w:after="120"/>
        <w:ind w:left="431"/>
        <w:jc w:val="both"/>
      </w:pPr>
      <w:r>
        <w:rPr>
          <w:rFonts w:ascii="Garamond" w:eastAsia="Garamond" w:hAnsi="Garamond" w:cs="Garamond"/>
          <w:color w:val="2A2A2A"/>
          <w:sz w:val="22"/>
          <w:szCs w:val="22"/>
        </w:rPr>
        <w:t xml:space="preserve">(6)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pPr>
        <w:spacing w:after="120"/>
        <w:ind w:left="431"/>
        <w:jc w:val="both"/>
      </w:pPr>
      <w:r>
        <w:rPr>
          <w:rFonts w:ascii="Garamond" w:eastAsia="Garamond" w:hAnsi="Garamond" w:cs="Garamond"/>
          <w:color w:val="2A2A2A"/>
          <w:sz w:val="22"/>
          <w:szCs w:val="22"/>
        </w:rPr>
        <w:t xml:space="preserve">(1) Territories or subdivisions meeting the Statehood Audit by Phase 2 end may petition to enter as State or Territory. Those failing the Statehood Audit enter as Territory and may begin the Statehood Audit immediately.</w:t>
      </w:r>
    </w:p>
    <w:p>
      <w:pPr>
        <w:spacing w:after="120"/>
        <w:ind w:left="431"/>
        <w:jc w:val="both"/>
      </w:pPr>
      <w:r>
        <w:rPr>
          <w:rFonts w:ascii="Garamond" w:eastAsia="Garamond" w:hAnsi="Garamond" w:cs="Garamond"/>
          <w:color w:val="2A2A2A"/>
          <w:sz w:val="22"/>
          <w:szCs w:val="22"/>
        </w:rPr>
        <w:t xml:space="preserve">(2) Any territory may choose Territory status by simple legislative vote regardless of whether it meets the Statehood Audit.</w:t>
      </w:r>
    </w:p>
    <w:p>
      <w:pPr>
        <w:spacing w:after="120"/>
        <w:ind w:left="431"/>
        <w:jc w:val="both"/>
      </w:pPr>
      <w:r>
        <w:rPr>
          <w:rFonts w:ascii="Garamond" w:eastAsia="Garamond" w:hAnsi="Garamond" w:cs="Garamond"/>
          <w:color w:val="2A2A2A"/>
          <w:sz w:val="22"/>
          <w:szCs w:val="22"/>
        </w:rPr>
        <w:t xml:space="preserve">(3) Prior government states or territories may voluntarily subdivide during the Transition Window by vote of their existing legislative body; new subdivisions are treated as separate petitioning entities.</w:t>
      </w:r>
    </w:p>
    <w:p>
      <w:pPr>
        <w:spacing w:after="120"/>
        <w:ind w:left="431"/>
        <w:jc w:val="both"/>
      </w:pPr>
      <w:r>
        <w:rPr>
          <w:rFonts w:ascii="Garamond" w:eastAsia="Garamond" w:hAnsi="Garamond" w:cs="Garamond"/>
          <w:color w:val="2A2A2A"/>
          <w:sz w:val="22"/>
          <w:szCs w:val="22"/>
        </w:rPr>
        <w:t xml:space="preserve">(4) Where a State fails the Phase 2 Statehood Audit, it enters as a Territory; its population retains all Article I rights and participates in first Assembly elections proportionally.</w:t>
      </w:r>
    </w:p>
    <w:p>
      <w:pPr>
        <w:spacing w:after="120"/>
        <w:ind w:left="431"/>
        <w:jc w:val="both"/>
      </w:pPr>
      <w:r>
        <w:rPr>
          <w:rFonts w:ascii="Garamond" w:eastAsia="Garamond" w:hAnsi="Garamond" w:cs="Garamond"/>
          <w:color w:val="2A2A2A"/>
          <w:sz w:val="22"/>
          <w:szCs w:val="22"/>
        </w:rPr>
        <w:t xml:space="preserve">(5)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120"/>
        <w:ind w:left="431"/>
        <w:jc w:val="both"/>
      </w:pPr>
      <w:r>
        <w:rPr>
          <w:rFonts w:ascii="Garamond" w:eastAsia="Garamond" w:hAnsi="Garamond" w:cs="Garamond"/>
          <w:color w:val="2A2A2A"/>
          <w:sz w:val="22"/>
          <w:szCs w:val="22"/>
        </w:rPr>
        <w:t xml:space="preserve">(6) Political entities that held recognized State or equivalent status immediately prior to ratification and choose to enter the Republic as States do so as full States from Day Zero for the purpose of constituting the Senate and seating their legislators.</w:t>
      </w:r>
    </w:p>
    <w:p>
      <w:pPr>
        <w:spacing w:after="120"/>
        <w:ind w:left="431"/>
        <w:jc w:val="both"/>
      </w:pPr>
      <w:r>
        <w:rPr>
          <w:rFonts w:ascii="Garamond" w:eastAsia="Garamond" w:hAnsi="Garamond" w:cs="Garamond"/>
          <w:color w:val="2A2A2A"/>
          <w:sz w:val="22"/>
          <w:szCs w:val="22"/>
        </w:rPr>
        <w:t xml:space="preserve">(7)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pPr>
        <w:spacing w:after="120"/>
        <w:ind w:left="431"/>
        <w:jc w:val="both"/>
      </w:pPr>
      <w:r>
        <w:rPr>
          <w:rFonts w:ascii="Garamond" w:eastAsia="Garamond" w:hAnsi="Garamond" w:cs="Garamond"/>
          <w:color w:val="2A2A2A"/>
          <w:sz w:val="22"/>
          <w:szCs w:val="22"/>
        </w:rPr>
        <w:t xml:space="preserve">(1) No compact may be entered or ratified with any entity whose governance practices include, authorize, or systematically permit violations of any of the non-derogable rights established in §1.19.a, committed against any person within its jurisdiction.</w:t>
      </w:r>
    </w:p>
    <w:p>
      <w:pPr>
        <w:spacing w:after="120"/>
        <w:ind w:left="431"/>
        <w:jc w:val="both"/>
      </w:pPr>
      <w:r>
        <w:rPr>
          <w:rFonts w:ascii="Garamond" w:eastAsia="Garamond" w:hAnsi="Garamond" w:cs="Garamond"/>
          <w:color w:val="2A2A2A"/>
          <w:sz w:val="22"/>
          <w:szCs w:val="22"/>
        </w:rPr>
        <w:t xml:space="preserve">(2)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w:t>
      </w:r>
    </w:p>
    <w:p>
      <w:pPr>
        <w:spacing w:after="120"/>
        <w:ind w:left="431"/>
        <w:jc w:val="both"/>
      </w:pPr>
      <w:r>
        <w:rPr>
          <w:rFonts w:ascii="Garamond" w:eastAsia="Garamond" w:hAnsi="Garamond" w:cs="Garamond"/>
          <w:color w:val="2A2A2A"/>
          <w:sz w:val="22"/>
          <w:szCs w:val="22"/>
        </w:rPr>
        <w:t xml:space="preserve">(3) The arbitration panel may determine compact termination on confirmed violations without remediation within the period the compact specifies.</w:t>
      </w:r>
    </w:p>
    <w:p>
      <w:pPr>
        <w:spacing w:after="120"/>
        <w:ind w:left="431"/>
        <w:jc w:val="both"/>
      </w:pPr>
      <w:r>
        <w:rPr>
          <w:rFonts w:ascii="Garamond" w:eastAsia="Garamond" w:hAnsi="Garamond" w:cs="Garamond"/>
          <w:color w:val="2A2A2A"/>
          <w:sz w:val="22"/>
          <w:szCs w:val="22"/>
        </w:rPr>
        <w:t xml:space="preserve">(4) Economic value of the compact relationship is not a factor in JM assessment or arbitration review.</w:t>
      </w:r>
    </w:p>
    <w:p>
      <w:pPr>
        <w:spacing w:after="120"/>
        <w:ind w:left="431"/>
        <w:jc w:val="both"/>
      </w:pPr>
      <w:r>
        <w:rPr>
          <w:rFonts w:ascii="Garamond" w:eastAsia="Garamond" w:hAnsi="Garamond" w:cs="Garamond"/>
          <w:color w:val="2A2A2A"/>
          <w:sz w:val="22"/>
          <w:szCs w:val="22"/>
        </w:rPr>
        <w:t xml:space="preserve">(5)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w:t>
      </w:r>
    </w:p>
    <w:p>
      <w:pPr>
        <w:spacing w:after="120"/>
        <w:ind w:left="431"/>
        <w:jc w:val="both"/>
      </w:pPr>
      <w:r>
        <w:rPr>
          <w:rFonts w:ascii="Garamond" w:eastAsia="Garamond" w:hAnsi="Garamond" w:cs="Garamond"/>
          <w:color w:val="2A2A2A"/>
          <w:sz w:val="22"/>
          <w:szCs w:val="22"/>
        </w:rPr>
        <w:t xml:space="preserve">(6)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