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of Access to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 a self-executing right that courts may not make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§4.5 and lawful sentences of community service imposed by a court do not constitute forced labor under this provision.</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Freedom of Expression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431"/>
        <w:jc w:val="left"/>
      </w:pPr>
      <w:r>
        <w:rPr>
          <w:rFonts w:ascii="Courier New" w:cs="Courier New" w:eastAsia="Courier New" w:hAnsi="Courier New"/>
          <w:b/>
          <w:bCs/>
          <w:color w:val="1B2A4A"/>
          <w:sz w:val="18"/>
          <w:szCs w:val="18"/>
        </w:rPr>
        <w:t xml:space="preserve">§1.5.a  </w:t>
      </w:r>
      <w:r>
        <w:rPr>
          <w:rFonts w:ascii="Garamond" w:cs="Garamond" w:eastAsia="Garamond" w:hAnsi="Garamond"/>
          <w:b/>
          <w:bCs/>
          <w:i w:val="false"/>
          <w:iCs w:val="false"/>
          <w:color w:val="1B2A4A"/>
          <w:sz w:val="22"/>
          <w:szCs w:val="22"/>
        </w:rPr>
        <w:t xml:space="preserve">Censorship by Proxy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Freedom of Thought, Conscience, and Religion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jc w:val="left"/>
      </w:pPr>
      <w:r>
        <w:rPr>
          <w:rFonts w:ascii="Courier New" w:cs="Courier New" w:eastAsia="Courier New" w:hAnsi="Courier New"/>
          <w:b/>
          <w:bCs/>
          <w:color w:val="1B2A4A"/>
          <w:sz w:val="18"/>
          <w:szCs w:val="18"/>
        </w:rPr>
        <w:t xml:space="preserve">§1.6.a  </w:t>
      </w:r>
      <w:r>
        <w:rPr>
          <w:rFonts w:ascii="Garamond" w:cs="Garamond" w:eastAsia="Garamond" w:hAnsi="Garamond"/>
          <w:b/>
          <w:bCs/>
          <w:i w:val="false"/>
          <w:iCs w:val="false"/>
          <w:color w:val="1B2A4A"/>
          <w:sz w:val="22"/>
          <w:szCs w:val="22"/>
        </w:rPr>
        <w:t xml:space="preserve">Separation of Church and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Freedom of Association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Right to Petition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Bodily Autonomy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431"/>
        <w:jc w:val="left"/>
      </w:pPr>
      <w:r>
        <w:rPr>
          <w:rFonts w:ascii="Courier New" w:cs="Courier New" w:eastAsia="Courier New" w:hAnsi="Courier New"/>
          <w:b/>
          <w:bCs/>
          <w:color w:val="1B2A4A"/>
          <w:sz w:val="18"/>
          <w:szCs w:val="18"/>
        </w:rPr>
        <w:t xml:space="preserve">§1.10.a  </w:t>
      </w:r>
      <w:r>
        <w:rPr>
          <w:rFonts w:ascii="Garamond" w:cs="Garamond" w:eastAsia="Garamond" w:hAnsi="Garamond"/>
          <w:b/>
          <w:bCs/>
          <w:i w:val="false"/>
          <w:iCs w:val="false"/>
          <w:color w:val="1B2A4A"/>
          <w:sz w:val="22"/>
          <w:szCs w:val="22"/>
        </w:rPr>
        <w:t xml:space="preserve">Physical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431"/>
        <w:jc w:val="left"/>
      </w:pPr>
      <w:r>
        <w:rPr>
          <w:rFonts w:ascii="Courier New" w:cs="Courier New" w:eastAsia="Courier New" w:hAnsi="Courier New"/>
          <w:b/>
          <w:bCs/>
          <w:color w:val="1B2A4A"/>
          <w:sz w:val="18"/>
          <w:szCs w:val="18"/>
        </w:rPr>
        <w:t xml:space="preserve">§1.10.b  </w:t>
      </w:r>
      <w:r>
        <w:rPr>
          <w:rFonts w:ascii="Garamond" w:cs="Garamond" w:eastAsia="Garamond" w:hAnsi="Garamond"/>
          <w:b/>
          <w:bCs/>
          <w:i w:val="false"/>
          <w:iCs w:val="false"/>
          <w:color w:val="1B2A4A"/>
          <w:sz w:val="22"/>
          <w:szCs w:val="22"/>
        </w:rPr>
        <w:t xml:space="preserve">Data Ownership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431"/>
        <w:jc w:val="left"/>
      </w:pPr>
      <w:r>
        <w:rPr>
          <w:rFonts w:ascii="Courier New" w:cs="Courier New" w:eastAsia="Courier New" w:hAnsi="Courier New"/>
          <w:b/>
          <w:bCs/>
          <w:color w:val="1B2A4A"/>
          <w:sz w:val="18"/>
          <w:szCs w:val="18"/>
        </w:rPr>
        <w:t xml:space="preserve">§1.10.c  </w:t>
      </w:r>
      <w:r>
        <w:rPr>
          <w:rFonts w:ascii="Garamond" w:cs="Garamond" w:eastAsia="Garamond" w:hAnsi="Garamond"/>
          <w:b/>
          <w:bCs/>
          <w:i w:val="false"/>
          <w:iCs w:val="false"/>
          <w:color w:val="1B2A4A"/>
          <w:sz w:val="22"/>
          <w:szCs w:val="22"/>
        </w:rPr>
        <w:t xml:space="preserve">Encryption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Cryptographic keys are private property. No court or agency may compel their disclosure.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Inviolability of the Home and Property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Home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Eminent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Self-Defense and the 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personal defense and hunting must not be infringed. The scope and limits of this right are established in §1.12.a through §1.12.c.</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431"/>
        <w:jc w:val="left"/>
      </w:pPr>
      <w:r>
        <w:rPr>
          <w:rFonts w:ascii="Courier New" w:cs="Courier New" w:eastAsia="Courier New" w:hAnsi="Courier New"/>
          <w:b/>
          <w:bCs/>
          <w:color w:val="1B2A4A"/>
          <w:sz w:val="18"/>
          <w:szCs w:val="18"/>
        </w:rPr>
        <w:t xml:space="preserve">§1.12.b  </w:t>
      </w:r>
      <w:r>
        <w:rPr>
          <w:rFonts w:ascii="Garamond" w:cs="Garamond" w:eastAsia="Garamond" w:hAnsi="Garamond"/>
          <w:b/>
          <w:bCs/>
          <w:i w:val="false"/>
          <w:iCs w:val="false"/>
          <w:color w:val="1B2A4A"/>
          <w:sz w:val="22"/>
          <w:szCs w:val="22"/>
        </w:rPr>
        <w:t xml:space="preserve">State Licensing Latitude</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431"/>
        <w:jc w:val="left"/>
      </w:pPr>
      <w:r>
        <w:rPr>
          <w:rFonts w:ascii="Courier New" w:cs="Courier New" w:eastAsia="Courier New" w:hAnsi="Courier New"/>
          <w:b/>
          <w:bCs/>
          <w:color w:val="1B2A4A"/>
          <w:sz w:val="18"/>
          <w:szCs w:val="18"/>
        </w:rPr>
        <w:t xml:space="preserve">§1.12.c  </w:t>
      </w:r>
      <w:r>
        <w:rPr>
          <w:rFonts w:ascii="Garamond" w:cs="Garamond" w:eastAsia="Garamond" w:hAnsi="Garamond"/>
          <w:b/>
          <w:bCs/>
          <w:i w:val="false"/>
          <w:iCs w:val="false"/>
          <w:color w:val="1B2A4A"/>
          <w:sz w:val="22"/>
          <w:szCs w:val="22"/>
        </w:rPr>
        <w:t xml:space="preserve">Non-Prohibition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Freedom of Movement and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Detention and Habeas Corpus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431"/>
        <w:jc w:val="left"/>
      </w:pPr>
      <w:r>
        <w:rPr>
          <w:rFonts w:ascii="Courier New" w:cs="Courier New" w:eastAsia="Courier New" w:hAnsi="Courier New"/>
          <w:b/>
          <w:bCs/>
          <w:color w:val="1B2A4A"/>
          <w:sz w:val="18"/>
          <w:szCs w:val="18"/>
        </w:rPr>
        <w:t xml:space="preserve">§1.14.a  </w:t>
      </w:r>
      <w:r>
        <w:rPr>
          <w:rFonts w:ascii="Garamond" w:cs="Garamond" w:eastAsia="Garamond" w:hAnsi="Garamond"/>
          <w:b/>
          <w:bCs/>
          <w:i w:val="false"/>
          <w:iCs w:val="false"/>
          <w:color w:val="1B2A4A"/>
          <w:sz w:val="22"/>
          <w:szCs w:val="22"/>
        </w:rPr>
        <w:t xml:space="preserve">First Appearance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431"/>
        <w:jc w:val="left"/>
      </w:pPr>
      <w:r>
        <w:rPr>
          <w:rFonts w:ascii="Courier New" w:cs="Courier New" w:eastAsia="Courier New" w:hAnsi="Courier New"/>
          <w:b/>
          <w:bCs/>
          <w:color w:val="1B2A4A"/>
          <w:sz w:val="18"/>
          <w:szCs w:val="18"/>
        </w:rPr>
        <w:t xml:space="preserve">§1.14.b  </w:t>
      </w:r>
      <w:r>
        <w:rPr>
          <w:rFonts w:ascii="Garamond" w:cs="Garamond" w:eastAsia="Garamond" w:hAnsi="Garamond"/>
          <w:b/>
          <w:bCs/>
          <w:i w:val="false"/>
          <w:iCs w:val="false"/>
          <w:color w:val="1B2A4A"/>
          <w:sz w:val="22"/>
          <w:szCs w:val="22"/>
        </w:rPr>
        <w:t xml:space="preserve">Habeas Corpus Response Deadline</w:t>
      </w:r>
    </w:p>
    <w:p>
      <w:pPr>
        <w:spacing w:after="120" w:before="0"/>
        <w:ind w:left="431"/>
        <w:jc w:val="both"/>
      </w:pPr>
      <w:r>
        <w:rPr>
          <w:rFonts w:ascii="Garamond" w:cs="Garamond" w:eastAsia="Garamond" w:hAnsi="Garamond"/>
          <w:b w:val="false"/>
          <w:bCs w:val="false"/>
          <w:i w:val="false"/>
          <w:iCs w:val="false"/>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431"/>
        <w:jc w:val="left"/>
      </w:pPr>
      <w:r>
        <w:rPr>
          <w:rFonts w:ascii="Courier New" w:cs="Courier New" w:eastAsia="Courier New" w:hAnsi="Courier New"/>
          <w:b/>
          <w:bCs/>
          <w:color w:val="1B2A4A"/>
          <w:sz w:val="18"/>
          <w:szCs w:val="18"/>
        </w:rPr>
        <w:t xml:space="preserve">§1.14.c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Rights of the Accused</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431"/>
        <w:jc w:val="left"/>
      </w:pPr>
      <w:r>
        <w:rPr>
          <w:rFonts w:ascii="Courier New" w:cs="Courier New" w:eastAsia="Courier New" w:hAnsi="Courier New"/>
          <w:b/>
          <w:bCs/>
          <w:color w:val="1B2A4A"/>
          <w:sz w:val="18"/>
          <w:szCs w:val="18"/>
        </w:rPr>
        <w:t xml:space="preserve">§1.15.a  </w:t>
      </w:r>
      <w:r>
        <w:rPr>
          <w:rFonts w:ascii="Garamond" w:cs="Garamond" w:eastAsia="Garamond" w:hAnsi="Garamond"/>
          <w:b/>
          <w:bCs/>
          <w:i w:val="false"/>
          <w:iCs w:val="false"/>
          <w:color w:val="1B2A4A"/>
          <w:sz w:val="22"/>
          <w:szCs w:val="22"/>
        </w:rPr>
        <w:t xml:space="preserve">Right to Counsel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431"/>
        <w:jc w:val="left"/>
      </w:pPr>
      <w:r>
        <w:rPr>
          <w:rFonts w:ascii="Courier New" w:cs="Courier New" w:eastAsia="Courier New" w:hAnsi="Courier New"/>
          <w:b/>
          <w:bCs/>
          <w:color w:val="1B2A4A"/>
          <w:sz w:val="18"/>
          <w:szCs w:val="18"/>
        </w:rPr>
        <w:t xml:space="preserve">§1.15.b  </w:t>
      </w:r>
      <w:r>
        <w:rPr>
          <w:rFonts w:ascii="Garamond" w:cs="Garamond" w:eastAsia="Garamond" w:hAnsi="Garamond"/>
          <w:b/>
          <w:bCs/>
          <w:i w:val="false"/>
          <w:iCs w:val="false"/>
          <w:color w:val="1B2A4A"/>
          <w:sz w:val="22"/>
          <w:szCs w:val="22"/>
        </w:rPr>
        <w:t xml:space="preserve">Caseload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431"/>
        <w:jc w:val="left"/>
      </w:pPr>
      <w:r>
        <w:rPr>
          <w:rFonts w:ascii="Courier New" w:cs="Courier New" w:eastAsia="Courier New" w:hAnsi="Courier New"/>
          <w:b/>
          <w:bCs/>
          <w:color w:val="1B2A4A"/>
          <w:sz w:val="18"/>
          <w:szCs w:val="18"/>
        </w:rPr>
        <w:t xml:space="preserve">§1.15.c  </w:t>
      </w:r>
      <w:r>
        <w:rPr>
          <w:rFonts w:ascii="Garamond" w:cs="Garamond" w:eastAsia="Garamond" w:hAnsi="Garamond"/>
          <w:b/>
          <w:bCs/>
          <w:i w:val="false"/>
          <w:iCs w:val="false"/>
          <w:color w:val="1B2A4A"/>
          <w:sz w:val="22"/>
          <w:szCs w:val="22"/>
        </w:rPr>
        <w:t xml:space="preserve">Right to Be Informed of Charges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431"/>
        <w:jc w:val="left"/>
      </w:pPr>
      <w:r>
        <w:rPr>
          <w:rFonts w:ascii="Courier New" w:cs="Courier New" w:eastAsia="Courier New" w:hAnsi="Courier New"/>
          <w:b/>
          <w:bCs/>
          <w:color w:val="1B2A4A"/>
          <w:sz w:val="18"/>
          <w:szCs w:val="18"/>
        </w:rPr>
        <w:t xml:space="preserve">§1.15.d  </w:t>
      </w:r>
      <w:r>
        <w:rPr>
          <w:rFonts w:ascii="Garamond" w:cs="Garamond" w:eastAsia="Garamond" w:hAnsi="Garamond"/>
          <w:b/>
          <w:bCs/>
          <w:i w:val="false"/>
          <w:iCs w:val="false"/>
          <w:color w:val="1B2A4A"/>
          <w:sz w:val="22"/>
          <w:szCs w:val="22"/>
        </w:rPr>
        <w:t xml:space="preserve">Right to 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Fair Trial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431"/>
        <w:jc w:val="left"/>
      </w:pPr>
      <w:r>
        <w:rPr>
          <w:rFonts w:ascii="Courier New" w:cs="Courier New" w:eastAsia="Courier New" w:hAnsi="Courier New"/>
          <w:b/>
          <w:bCs/>
          <w:color w:val="1B2A4A"/>
          <w:sz w:val="18"/>
          <w:szCs w:val="18"/>
        </w:rPr>
        <w:t xml:space="preserve">§1.16.a  </w:t>
      </w:r>
      <w:r>
        <w:rPr>
          <w:rFonts w:ascii="Garamond" w:cs="Garamond" w:eastAsia="Garamond" w:hAnsi="Garamond"/>
          <w:b/>
          <w:bCs/>
          <w:i w:val="false"/>
          <w:iCs w:val="false"/>
          <w:color w:val="1B2A4A"/>
          <w:sz w:val="22"/>
          <w:szCs w:val="22"/>
        </w:rPr>
        <w:t xml:space="preserve">Speedy Trial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431"/>
        <w:jc w:val="left"/>
      </w:pPr>
      <w:r>
        <w:rPr>
          <w:rFonts w:ascii="Courier New" w:cs="Courier New" w:eastAsia="Courier New" w:hAnsi="Courier New"/>
          <w:b/>
          <w:bCs/>
          <w:color w:val="1B2A4A"/>
          <w:sz w:val="18"/>
          <w:szCs w:val="18"/>
        </w:rPr>
        <w:t xml:space="preserve">§1.16.b  </w:t>
      </w:r>
      <w:r>
        <w:rPr>
          <w:rFonts w:ascii="Garamond" w:cs="Garamond" w:eastAsia="Garamond" w:hAnsi="Garamond"/>
          <w:b/>
          <w:bCs/>
          <w:i w:val="false"/>
          <w:iCs w:val="false"/>
          <w:color w:val="1B2A4A"/>
          <w:sz w:val="22"/>
          <w:szCs w:val="22"/>
        </w:rPr>
        <w:t xml:space="preserve">Bail Proportionality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431"/>
        <w:jc w:val="left"/>
      </w:pPr>
      <w:r>
        <w:rPr>
          <w:rFonts w:ascii="Courier New" w:cs="Courier New" w:eastAsia="Courier New" w:hAnsi="Courier New"/>
          <w:b/>
          <w:bCs/>
          <w:color w:val="1B2A4A"/>
          <w:sz w:val="18"/>
          <w:szCs w:val="18"/>
        </w:rPr>
        <w:t xml:space="preserve">§1.16.c  </w:t>
      </w:r>
      <w:r>
        <w:rPr>
          <w:rFonts w:ascii="Garamond" w:cs="Garamond" w:eastAsia="Garamond" w:hAnsi="Garamond"/>
          <w:b/>
          <w:bCs/>
          <w:i w:val="false"/>
          <w:iCs w:val="false"/>
          <w:color w:val="1B2A4A"/>
          <w:sz w:val="22"/>
          <w:szCs w:val="22"/>
        </w:rPr>
        <w:t xml:space="preserve">Protection from Trial Penalties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431"/>
        <w:jc w:val="left"/>
      </w:pPr>
      <w:r>
        <w:rPr>
          <w:rFonts w:ascii="Courier New" w:cs="Courier New" w:eastAsia="Courier New" w:hAnsi="Courier New"/>
          <w:b/>
          <w:bCs/>
          <w:color w:val="1B2A4A"/>
          <w:sz w:val="18"/>
          <w:szCs w:val="18"/>
        </w:rPr>
        <w:t xml:space="preserve">§1.16.d  </w:t>
      </w:r>
      <w:r>
        <w:rPr>
          <w:rFonts w:ascii="Garamond" w:cs="Garamond" w:eastAsia="Garamond" w:hAnsi="Garamond"/>
          <w:b/>
          <w:bCs/>
          <w:i w:val="false"/>
          <w:iCs w:val="false"/>
          <w:color w:val="1B2A4A"/>
          <w:sz w:val="22"/>
          <w:szCs w:val="22"/>
        </w:rPr>
        <w:t xml:space="preserve">Source Code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Right to Silence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Criminal Law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No Retroactive Criminal Laws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Democratic Participation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Right to Marry and Found a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Rights of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431"/>
        <w:jc w:val="left"/>
      </w:pPr>
      <w:r>
        <w:rPr>
          <w:rFonts w:ascii="Courier New" w:cs="Courier New" w:eastAsia="Courier New" w:hAnsi="Courier New"/>
          <w:b/>
          <w:bCs/>
          <w:color w:val="1B2A4A"/>
          <w:sz w:val="18"/>
          <w:szCs w:val="18"/>
        </w:rPr>
        <w:t xml:space="preserve">§1.23.a  </w:t>
      </w:r>
      <w:r>
        <w:rPr>
          <w:rFonts w:ascii="Garamond" w:cs="Garamond" w:eastAsia="Garamond" w:hAnsi="Garamond"/>
          <w:b/>
          <w:bCs/>
          <w:i w:val="false"/>
          <w:iCs w:val="false"/>
          <w:color w:val="1B2A4A"/>
          <w:sz w:val="22"/>
          <w:szCs w:val="22"/>
        </w:rPr>
        <w:t xml:space="preserve">Government Non-Harm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431"/>
        <w:jc w:val="left"/>
      </w:pPr>
      <w:r>
        <w:rPr>
          <w:rFonts w:ascii="Courier New" w:cs="Courier New" w:eastAsia="Courier New" w:hAnsi="Courier New"/>
          <w:b/>
          <w:bCs/>
          <w:color w:val="1B2A4A"/>
          <w:sz w:val="18"/>
          <w:szCs w:val="18"/>
        </w:rPr>
        <w:t xml:space="preserve">§1.23.b  </w:t>
      </w:r>
      <w:r>
        <w:rPr>
          <w:rFonts w:ascii="Garamond" w:cs="Garamond" w:eastAsia="Garamond" w:hAnsi="Garamond"/>
          <w:b/>
          <w:bCs/>
          <w:i w:val="false"/>
          <w:iCs w:val="false"/>
          <w:color w:val="1B2A4A"/>
          <w:sz w:val="22"/>
          <w:szCs w:val="22"/>
        </w:rPr>
        <w:t xml:space="preserve">Environmental Stewardship</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Education and Literacy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Federal Education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431"/>
        <w:jc w:val="left"/>
      </w:pPr>
      <w:r>
        <w:rPr>
          <w:rFonts w:ascii="Courier New" w:cs="Courier New" w:eastAsia="Courier New" w:hAnsi="Courier New"/>
          <w:b/>
          <w:bCs/>
          <w:color w:val="1B2A4A"/>
          <w:sz w:val="18"/>
          <w:szCs w:val="18"/>
        </w:rPr>
        <w:t xml:space="preserve">§1.24.b  </w:t>
      </w:r>
      <w:r>
        <w:rPr>
          <w:rFonts w:ascii="Garamond" w:cs="Garamond" w:eastAsia="Garamond" w:hAnsi="Garamond"/>
          <w:b/>
          <w:bCs/>
          <w:i w:val="false"/>
          <w:iCs w:val="false"/>
          <w:color w:val="1B2A4A"/>
          <w:sz w:val="22"/>
          <w:szCs w:val="22"/>
        </w:rPr>
        <w:t xml:space="preserve">Constitutional Literacy</w:t>
      </w:r>
    </w:p>
    <w:p>
      <w:pPr>
        <w:spacing w:after="120" w:before="0"/>
        <w:ind w:left="431"/>
        <w:jc w:val="both"/>
      </w:pPr>
      <w:r>
        <w:rPr>
          <w:rFonts w:ascii="Garamond" w:cs="Garamond" w:eastAsia="Garamond" w:hAnsi="Garamond"/>
          <w:b w:val="false"/>
          <w:bCs w:val="false"/>
          <w:i w:val="false"/>
          <w:iCs w:val="false"/>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431"/>
        <w:jc w:val="left"/>
      </w:pPr>
      <w:r>
        <w:rPr>
          <w:rFonts w:ascii="Courier New" w:cs="Courier New" w:eastAsia="Courier New" w:hAnsi="Courier New"/>
          <w:b/>
          <w:bCs/>
          <w:color w:val="1B2A4A"/>
          <w:sz w:val="18"/>
          <w:szCs w:val="18"/>
        </w:rPr>
        <w:t xml:space="preserve">§1.24.c  </w:t>
      </w:r>
      <w:r>
        <w:rPr>
          <w:rFonts w:ascii="Garamond" w:cs="Garamond" w:eastAsia="Garamond" w:hAnsi="Garamond"/>
          <w:b/>
          <w:bCs/>
          <w:i w:val="false"/>
          <w:iCs w:val="false"/>
          <w:color w:val="1B2A4A"/>
          <w:sz w:val="22"/>
          <w:szCs w:val="22"/>
        </w:rPr>
        <w:t xml:space="preserve">Parental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Housing Non-Exclusion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is a constitutional right — no government authority may use its powers to exclude persons from housing on discriminatory grounds or to deny housing to those who cannot independently secure it. The non-exclusion principle is established in §1.25.a and the BNF housing obligation in §1.25.b.</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Non-Exclusion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BNF Housing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for persons who cannot independently secure it is a Basic Needs Floor obligation under §10.1. Housing exclusion is an enforceable constitutional violation.</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Associated Community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jc w:val="left"/>
      </w:pPr>
      <w:r>
        <w:rPr>
          <w:rFonts w:ascii="Courier New" w:cs="Courier New" w:eastAsia="Courier New" w:hAnsi="Courier New"/>
          <w:b/>
          <w:bCs/>
          <w:color w:val="1B2A4A"/>
          <w:sz w:val="18"/>
          <w:szCs w:val="18"/>
        </w:rPr>
        <w:t xml:space="preserve">§1.29  </w:t>
      </w:r>
      <w:r>
        <w:rPr>
          <w:rFonts w:ascii="Garamond" w:cs="Garamond" w:eastAsia="Garamond" w:hAnsi="Garamond"/>
          <w:b/>
          <w:bCs/>
          <w:i w:val="false"/>
          <w:iCs w:val="false"/>
          <w:color w:val="1B2A4A"/>
          <w:sz w:val="22"/>
          <w:szCs w:val="22"/>
        </w:rPr>
        <w:t xml:space="preserve">Medical Autonomy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belong to the patient and their licensed provider. The State's legitimate role is safety and standards: licensing, scope of practice, and quality regulation. State governments may regulate which services licensed professionals offer within their jurisdiction. No State may impose civil or criminal liability on a person for receiving lawful medical care outside that State's jurisdiction, on a person who assists another in travelling to receive such care, on a provider within the State who refers a patient to out-of-state care or provides information about it, or on an out-of-state provider who performs care lawful where it is performed.</w:t>
      </w:r>
    </w:p>
    <w:p>
      <w:pPr>
        <w:spacing w:after="60" w:before="200"/>
        <w:ind w:left="431"/>
        <w:jc w:val="left"/>
      </w:pPr>
      <w:r>
        <w:rPr>
          <w:rFonts w:ascii="Courier New" w:cs="Courier New" w:eastAsia="Courier New" w:hAnsi="Courier New"/>
          <w:b/>
          <w:bCs/>
          <w:color w:val="1B2A4A"/>
          <w:sz w:val="18"/>
          <w:szCs w:val="18"/>
        </w:rPr>
        <w:t xml:space="preserve">§1.30  </w:t>
      </w:r>
      <w:r>
        <w:rPr>
          <w:rFonts w:ascii="Garamond" w:cs="Garamond" w:eastAsia="Garamond" w:hAnsi="Garamond"/>
          <w:b/>
          <w:bCs/>
          <w:i w:val="false"/>
          <w:iCs w:val="false"/>
          <w:color w:val="1B2A4A"/>
          <w:sz w:val="22"/>
          <w:szCs w:val="22"/>
        </w:rPr>
        <w:t xml:space="preserve">Right to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431"/>
        <w:jc w:val="left"/>
      </w:pPr>
      <w:r>
        <w:rPr>
          <w:rFonts w:ascii="Courier New" w:cs="Courier New" w:eastAsia="Courier New" w:hAnsi="Courier New"/>
          <w:b/>
          <w:bCs/>
          <w:color w:val="1B2A4A"/>
          <w:sz w:val="18"/>
          <w:szCs w:val="18"/>
        </w:rPr>
        <w:t xml:space="preserve">§1.30.a  </w:t>
      </w:r>
      <w:r>
        <w:rPr>
          <w:rFonts w:ascii="Garamond" w:cs="Garamond" w:eastAsia="Garamond" w:hAnsi="Garamond"/>
          <w:b/>
          <w:bCs/>
          <w:i w:val="false"/>
          <w:iCs w:val="false"/>
          <w:color w:val="1B2A4A"/>
          <w:sz w:val="22"/>
          <w:szCs w:val="22"/>
        </w:rPr>
        <w:t xml:space="preserve">Searches and Seizures</w:t>
      </w:r>
    </w:p>
    <w:p>
      <w:pPr>
        <w:spacing w:after="120" w:before="0"/>
        <w:ind w:left="431"/>
        <w:jc w:val="both"/>
      </w:pPr>
      <w:r>
        <w:rPr>
          <w:rFonts w:ascii="Garamond" w:cs="Garamond" w:eastAsia="Garamond" w:hAnsi="Garamond"/>
          <w:b w:val="false"/>
          <w:bCs w:val="false"/>
          <w:i w:val="false"/>
          <w:iCs w:val="false"/>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431"/>
        <w:jc w:val="left"/>
      </w:pPr>
      <w:r>
        <w:rPr>
          <w:rFonts w:ascii="Courier New" w:cs="Courier New" w:eastAsia="Courier New" w:hAnsi="Courier New"/>
          <w:b/>
          <w:bCs/>
          <w:color w:val="1B2A4A"/>
          <w:sz w:val="18"/>
          <w:szCs w:val="18"/>
        </w:rPr>
        <w:t xml:space="preserve">§1.30.b  </w:t>
      </w:r>
      <w:r>
        <w:rPr>
          <w:rFonts w:ascii="Garamond" w:cs="Garamond" w:eastAsia="Garamond" w:hAnsi="Garamond"/>
          <w:b/>
          <w:bCs/>
          <w:i w:val="false"/>
          <w:iCs w:val="false"/>
          <w:color w:val="1B2A4A"/>
          <w:sz w:val="22"/>
          <w:szCs w:val="22"/>
        </w:rPr>
        <w:t xml:space="preserve">Medical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431"/>
        <w:jc w:val="left"/>
      </w:pPr>
      <w:r>
        <w:rPr>
          <w:rFonts w:ascii="Courier New" w:cs="Courier New" w:eastAsia="Courier New" w:hAnsi="Courier New"/>
          <w:b/>
          <w:bCs/>
          <w:color w:val="1B2A4A"/>
          <w:sz w:val="18"/>
          <w:szCs w:val="18"/>
        </w:rPr>
        <w:t xml:space="preserve">§1.30.c  </w:t>
      </w:r>
      <w:r>
        <w:rPr>
          <w:rFonts w:ascii="Garamond" w:cs="Garamond" w:eastAsia="Garamond" w:hAnsi="Garamond"/>
          <w:b/>
          <w:bCs/>
          <w:i w:val="false"/>
          <w:iCs w:val="false"/>
          <w:color w:val="1B2A4A"/>
          <w:sz w:val="22"/>
          <w:szCs w:val="22"/>
        </w:rPr>
        <w:t xml:space="preserve">Communications and Data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431"/>
        <w:jc w:val="left"/>
      </w:pPr>
      <w:r>
        <w:rPr>
          <w:rFonts w:ascii="Courier New" w:cs="Courier New" w:eastAsia="Courier New" w:hAnsi="Courier New"/>
          <w:b/>
          <w:bCs/>
          <w:color w:val="1B2A4A"/>
          <w:sz w:val="18"/>
          <w:szCs w:val="18"/>
        </w:rPr>
        <w:t xml:space="preserve">§1.30.d  </w:t>
      </w:r>
      <w:r>
        <w:rPr>
          <w:rFonts w:ascii="Garamond" w:cs="Garamond" w:eastAsia="Garamond" w:hAnsi="Garamond"/>
          <w:b/>
          <w:bCs/>
          <w:i w:val="false"/>
          <w:iCs w:val="false"/>
          <w:color w:val="1B2A4A"/>
          <w:sz w:val="22"/>
          <w:szCs w:val="22"/>
        </w:rPr>
        <w:t xml:space="preserve">Intelligence Firewall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431"/>
        <w:jc w:val="left"/>
      </w:pPr>
      <w:r>
        <w:rPr>
          <w:rFonts w:ascii="Courier New" w:cs="Courier New" w:eastAsia="Courier New" w:hAnsi="Courier New"/>
          <w:b/>
          <w:bCs/>
          <w:color w:val="1B2A4A"/>
          <w:sz w:val="18"/>
          <w:szCs w:val="18"/>
        </w:rPr>
        <w:t xml:space="preserve">§1.30.e  </w:t>
      </w:r>
      <w:r>
        <w:rPr>
          <w:rFonts w:ascii="Garamond" w:cs="Garamond" w:eastAsia="Garamond" w:hAnsi="Garamond"/>
          <w:b/>
          <w:bCs/>
          <w:i w:val="false"/>
          <w:iCs w:val="false"/>
          <w:color w:val="1B2A4A"/>
          <w:sz w:val="22"/>
          <w:szCs w:val="22"/>
        </w:rPr>
        <w:t xml:space="preserve">Associational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Term and Transfer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431"/>
        <w:jc w:val="left"/>
      </w:pPr>
      <w:r>
        <w:rPr>
          <w:rFonts w:ascii="Courier New" w:cs="Courier New" w:eastAsia="Courier New" w:hAnsi="Courier New"/>
          <w:b/>
          <w:bCs/>
          <w:color w:val="1B2A4A"/>
          <w:sz w:val="18"/>
          <w:szCs w:val="18"/>
        </w:rPr>
        <w:t xml:space="preserve">§2.1.a  </w:t>
      </w:r>
      <w:r>
        <w:rPr>
          <w:rFonts w:ascii="Garamond" w:cs="Garamond" w:eastAsia="Garamond" w:hAnsi="Garamond"/>
          <w:b/>
          <w:bCs/>
          <w:i w:val="false"/>
          <w:iCs w:val="false"/>
          <w:color w:val="1B2A4A"/>
          <w:sz w:val="22"/>
          <w:szCs w:val="22"/>
        </w:rPr>
        <w:t xml:space="preserve">Tier 1 — Immediate Defensive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431"/>
        <w:jc w:val="left"/>
      </w:pPr>
      <w:r>
        <w:rPr>
          <w:rFonts w:ascii="Courier New" w:cs="Courier New" w:eastAsia="Courier New" w:hAnsi="Courier New"/>
          <w:b/>
          <w:bCs/>
          <w:color w:val="1B2A4A"/>
          <w:sz w:val="18"/>
          <w:szCs w:val="18"/>
        </w:rPr>
        <w:t xml:space="preserve">§2.1.b  </w:t>
      </w:r>
      <w:r>
        <w:rPr>
          <w:rFonts w:ascii="Garamond" w:cs="Garamond" w:eastAsia="Garamond" w:hAnsi="Garamond"/>
          <w:b/>
          <w:bCs/>
          <w:i w:val="false"/>
          <w:iCs w:val="false"/>
          <w:color w:val="1B2A4A"/>
          <w:sz w:val="22"/>
          <w:szCs w:val="22"/>
        </w:rPr>
        <w:t xml:space="preserve">Tier 2 — Senate Armed Services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431"/>
        <w:jc w:val="left"/>
      </w:pPr>
      <w:r>
        <w:rPr>
          <w:rFonts w:ascii="Courier New" w:cs="Courier New" w:eastAsia="Courier New" w:hAnsi="Courier New"/>
          <w:b/>
          <w:bCs/>
          <w:color w:val="1B2A4A"/>
          <w:sz w:val="18"/>
          <w:szCs w:val="18"/>
        </w:rPr>
        <w:t xml:space="preserve">§2.1.c  </w:t>
      </w:r>
      <w:r>
        <w:rPr>
          <w:rFonts w:ascii="Garamond" w:cs="Garamond" w:eastAsia="Garamond" w:hAnsi="Garamond"/>
          <w:b/>
          <w:bCs/>
          <w:i w:val="false"/>
          <w:iCs w:val="false"/>
          <w:color w:val="1B2A4A"/>
          <w:sz w:val="22"/>
          <w:szCs w:val="22"/>
        </w:rPr>
        <w:t xml:space="preserve">Tier 3 — 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431"/>
        <w:jc w:val="left"/>
      </w:pPr>
      <w:r>
        <w:rPr>
          <w:rFonts w:ascii="Courier New" w:cs="Courier New" w:eastAsia="Courier New" w:hAnsi="Courier New"/>
          <w:b/>
          <w:bCs/>
          <w:color w:val="1B2A4A"/>
          <w:sz w:val="18"/>
          <w:szCs w:val="18"/>
        </w:rPr>
        <w:t xml:space="preserve">§2.1.d  </w:t>
      </w:r>
      <w:r>
        <w:rPr>
          <w:rFonts w:ascii="Garamond" w:cs="Garamond" w:eastAsia="Garamond" w:hAnsi="Garamond"/>
          <w:b/>
          <w:bCs/>
          <w:i w:val="false"/>
          <w:iCs w:val="false"/>
          <w:color w:val="1B2A4A"/>
          <w:sz w:val="22"/>
          <w:szCs w:val="22"/>
        </w:rPr>
        <w:t xml:space="preserve">Funding Lock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431"/>
        <w:jc w:val="left"/>
      </w:pPr>
      <w:r>
        <w:rPr>
          <w:rFonts w:ascii="Courier New" w:cs="Courier New" w:eastAsia="Courier New" w:hAnsi="Courier New"/>
          <w:b/>
          <w:bCs/>
          <w:color w:val="1B2A4A"/>
          <w:sz w:val="18"/>
          <w:szCs w:val="18"/>
        </w:rPr>
        <w:t xml:space="preserve">§2.1.e  </w:t>
      </w:r>
      <w:r>
        <w:rPr>
          <w:rFonts w:ascii="Garamond" w:cs="Garamond" w:eastAsia="Garamond" w:hAnsi="Garamond"/>
          <w:b/>
          <w:bCs/>
          <w:i w:val="false"/>
          <w:iCs w:val="false"/>
          <w:color w:val="1B2A4A"/>
          <w:sz w:val="22"/>
          <w:szCs w:val="22"/>
        </w:rPr>
        <w:t xml:space="preserve">Presidential Intelligence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431"/>
        <w:jc w:val="left"/>
      </w:pPr>
      <w:r>
        <w:rPr>
          <w:rFonts w:ascii="Courier New" w:cs="Courier New" w:eastAsia="Courier New" w:hAnsi="Courier New"/>
          <w:b/>
          <w:bCs/>
          <w:color w:val="1B2A4A"/>
          <w:sz w:val="18"/>
          <w:szCs w:val="18"/>
        </w:rPr>
        <w:t xml:space="preserve">§2.1.f  </w:t>
      </w:r>
      <w:r>
        <w:rPr>
          <w:rFonts w:ascii="Garamond" w:cs="Garamond" w:eastAsia="Garamond" w:hAnsi="Garamond"/>
          <w:b/>
          <w:bCs/>
          <w:i w:val="false"/>
          <w:iCs w:val="false"/>
          <w:color w:val="1B2A4A"/>
          <w:sz w:val="22"/>
          <w:szCs w:val="22"/>
        </w:rPr>
        <w:t xml:space="preserve">Presidential Veto —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431"/>
        <w:jc w:val="left"/>
      </w:pPr>
      <w:r>
        <w:rPr>
          <w:rFonts w:ascii="Courier New" w:cs="Courier New" w:eastAsia="Courier New" w:hAnsi="Courier New"/>
          <w:b/>
          <w:bCs/>
          <w:color w:val="1B2A4A"/>
          <w:sz w:val="18"/>
          <w:szCs w:val="18"/>
        </w:rPr>
        <w:t xml:space="preserve">§2.1.f.i  </w:t>
      </w:r>
      <w:r>
        <w:rPr>
          <w:rFonts w:ascii="Garamond" w:cs="Garamond" w:eastAsia="Garamond" w:hAnsi="Garamond"/>
          <w:b/>
          <w:bCs/>
          <w:i w:val="false"/>
          <w:iCs w:val="false"/>
          <w:color w:val="1B2A4A"/>
          <w:sz w:val="22"/>
          <w:szCs w:val="22"/>
        </w:rPr>
        <w:t xml:space="preserve">Judicial Review and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431"/>
        <w:jc w:val="left"/>
      </w:pPr>
      <w:r>
        <w:rPr>
          <w:rFonts w:ascii="Courier New" w:cs="Courier New" w:eastAsia="Courier New" w:hAnsi="Courier New"/>
          <w:b/>
          <w:bCs/>
          <w:color w:val="1B2A4A"/>
          <w:sz w:val="18"/>
          <w:szCs w:val="18"/>
        </w:rPr>
        <w:t xml:space="preserve">§2.1.f.ii  </w:t>
      </w:r>
      <w:r>
        <w:rPr>
          <w:rFonts w:ascii="Garamond" w:cs="Garamond" w:eastAsia="Garamond" w:hAnsi="Garamond"/>
          <w:b/>
          <w:bCs/>
          <w:i w:val="false"/>
          <w:iCs w:val="false"/>
          <w:color w:val="1B2A4A"/>
          <w:sz w:val="22"/>
          <w:szCs w:val="22"/>
        </w:rPr>
        <w:t xml:space="preserve">Veto Suspension for Repeated Void Vetoes</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Supreme Court voids three Presidential vetoes on scope or justification grounds within any 180-day period, the President's veto authority is suspended for the remainder of that period. The Legislative Inspectorate publishes a finding to the NRS upon suspension. Suspension affects only the veto power — all other presidential authority, including Tier 1 through Tier 3 military authorization, remains fully operative.</w:t>
      </w:r>
    </w:p>
    <w:p>
      <w:pPr>
        <w:spacing w:after="60" w:before="200"/>
        <w:ind w:left="431"/>
        <w:jc w:val="left"/>
      </w:pPr>
      <w:r>
        <w:rPr>
          <w:rFonts w:ascii="Courier New" w:cs="Courier New" w:eastAsia="Courier New" w:hAnsi="Courier New"/>
          <w:b/>
          <w:bCs/>
          <w:color w:val="1B2A4A"/>
          <w:sz w:val="18"/>
          <w:szCs w:val="18"/>
        </w:rPr>
        <w:t xml:space="preserve">§2.1.g  </w:t>
      </w:r>
      <w:r>
        <w:rPr>
          <w:rFonts w:ascii="Garamond" w:cs="Garamond" w:eastAsia="Garamond" w:hAnsi="Garamond"/>
          <w:b/>
          <w:bCs/>
          <w:i w:val="false"/>
          <w:iCs w:val="false"/>
          <w:color w:val="1B2A4A"/>
          <w:sz w:val="22"/>
          <w:szCs w:val="22"/>
        </w:rPr>
        <w:t xml:space="preserve">Presidential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431"/>
        <w:jc w:val="left"/>
      </w:pPr>
      <w:r>
        <w:rPr>
          <w:rFonts w:ascii="Courier New" w:cs="Courier New" w:eastAsia="Courier New" w:hAnsi="Courier New"/>
          <w:b/>
          <w:bCs/>
          <w:color w:val="1B2A4A"/>
          <w:sz w:val="18"/>
          <w:szCs w:val="18"/>
        </w:rPr>
        <w:t xml:space="preserve">§2.1.h  </w:t>
      </w:r>
      <w:r>
        <w:rPr>
          <w:rFonts w:ascii="Garamond" w:cs="Garamond" w:eastAsia="Garamond" w:hAnsi="Garamond"/>
          <w:b/>
          <w:bCs/>
          <w:i w:val="false"/>
          <w:iCs w:val="false"/>
          <w:color w:val="1B2A4A"/>
          <w:sz w:val="22"/>
          <w:szCs w:val="22"/>
        </w:rPr>
        <w:t xml:space="preserve">Dual Executive Conflict Resolution During Active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431"/>
        <w:jc w:val="left"/>
      </w:pPr>
      <w:r>
        <w:rPr>
          <w:rFonts w:ascii="Courier New" w:cs="Courier New" w:eastAsia="Courier New" w:hAnsi="Courier New"/>
          <w:b/>
          <w:bCs/>
          <w:color w:val="1B2A4A"/>
          <w:sz w:val="18"/>
          <w:szCs w:val="18"/>
        </w:rPr>
        <w:t xml:space="preserve">§2.1.i  </w:t>
      </w:r>
      <w:r>
        <w:rPr>
          <w:rFonts w:ascii="Garamond" w:cs="Garamond" w:eastAsia="Garamond" w:hAnsi="Garamond"/>
          <w:b/>
          <w:bCs/>
          <w:i w:val="false"/>
          <w:iCs w:val="false"/>
          <w:color w:val="1B2A4A"/>
          <w:sz w:val="22"/>
          <w:szCs w:val="22"/>
        </w:rPr>
        <w:t xml:space="preserve">International Trade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where the agreement materially affects the domestic economy. National treatment obligations within Republic territory require PM concurrence, as they directly govern how domestic industry is regulated. Where PM concurrence is withheld, domestic provisions may be transmitted to the House Speaker as ordinary legislation. Ratification requires a 2/3 Senate majority under §3.2.e.</w:t>
      </w:r>
    </w:p>
    <w:p>
      <w:pPr>
        <w:spacing w:after="60" w:before="200"/>
        <w:ind w:left="431"/>
        <w:jc w:val="left"/>
      </w:pPr>
      <w:r>
        <w:rPr>
          <w:rFonts w:ascii="Courier New" w:cs="Courier New" w:eastAsia="Courier New" w:hAnsi="Courier New"/>
          <w:b/>
          <w:bCs/>
          <w:color w:val="1B2A4A"/>
          <w:sz w:val="18"/>
          <w:szCs w:val="18"/>
        </w:rPr>
        <w:t xml:space="preserve">§2.1.j  </w:t>
      </w:r>
      <w:r>
        <w:rPr>
          <w:rFonts w:ascii="Garamond" w:cs="Garamond" w:eastAsia="Garamond" w:hAnsi="Garamond"/>
          <w:b/>
          <w:bCs/>
          <w:i w:val="false"/>
          <w:iCs w:val="false"/>
          <w:color w:val="1B2A4A"/>
          <w:sz w:val="22"/>
          <w:szCs w:val="22"/>
        </w:rPr>
        <w:t xml:space="preserve">Presidential Officer Appointments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If the Senate has not voted within that period, the President may name an Acting officer from among civil service employees or existing confirmed executive branch officers. All nominations, confirmations, and Acting appointments are published to the NRS within 24 hours. Acting status runs for up to 6 months from the date of appointment. After 6 months, the Acting officer must either be confirmed by the Senate under the standard process or be re-appointed by the President for one further 30-day extension. After that extension expires without Senate confirmation, the most senior career officer in the relevant department holds the role until a nomination is confirmed. The one-extension limit prevents indefinite Acting appointments circumventing Senate confirmation. An officer subject to an active §3.8 impeachment proceeding may not be removed by the President until those proceedings conclude.</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431"/>
        <w:jc w:val="left"/>
      </w:pPr>
      <w:r>
        <w:rPr>
          <w:rFonts w:ascii="Courier New" w:cs="Courier New" w:eastAsia="Courier New" w:hAnsi="Courier New"/>
          <w:b/>
          <w:bCs/>
          <w:color w:val="1B2A4A"/>
          <w:sz w:val="18"/>
          <w:szCs w:val="18"/>
        </w:rPr>
        <w:t xml:space="preserve">§2.2.a  </w:t>
      </w:r>
      <w:r>
        <w:rPr>
          <w:rFonts w:ascii="Garamond" w:cs="Garamond" w:eastAsia="Garamond" w:hAnsi="Garamond"/>
          <w:b/>
          <w:bCs/>
          <w:i w:val="false"/>
          <w:iCs w:val="false"/>
          <w:color w:val="1B2A4A"/>
          <w:sz w:val="22"/>
          <w:szCs w:val="22"/>
        </w:rPr>
        <w:t xml:space="preserve">Domestic Policy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431"/>
        <w:jc w:val="left"/>
      </w:pPr>
      <w:r>
        <w:rPr>
          <w:rFonts w:ascii="Courier New" w:cs="Courier New" w:eastAsia="Courier New" w:hAnsi="Courier New"/>
          <w:b/>
          <w:bCs/>
          <w:color w:val="1B2A4A"/>
          <w:sz w:val="18"/>
          <w:szCs w:val="18"/>
        </w:rPr>
        <w:t xml:space="preserve">§2.2.b  </w:t>
      </w:r>
      <w:r>
        <w:rPr>
          <w:rFonts w:ascii="Garamond" w:cs="Garamond" w:eastAsia="Garamond" w:hAnsi="Garamond"/>
          <w:b/>
          <w:bCs/>
          <w:i w:val="false"/>
          <w:iCs w:val="false"/>
          <w:color w:val="1B2A4A"/>
          <w:sz w:val="22"/>
          <w:szCs w:val="22"/>
        </w:rPr>
        <w:t xml:space="preserve">Ministerial Appointments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PM appoints senior domestic officers from candidates whose qualifications have been certified by the JI against criteria established by statute.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431"/>
        <w:jc w:val="left"/>
      </w:pPr>
      <w:r>
        <w:rPr>
          <w:rFonts w:ascii="Courier New" w:cs="Courier New" w:eastAsia="Courier New" w:hAnsi="Courier New"/>
          <w:b/>
          <w:bCs/>
          <w:color w:val="1B2A4A"/>
          <w:sz w:val="18"/>
          <w:szCs w:val="18"/>
        </w:rPr>
        <w:t xml:space="preserve">§2.2.c  </w:t>
      </w:r>
      <w:r>
        <w:rPr>
          <w:rFonts w:ascii="Garamond" w:cs="Garamond" w:eastAsia="Garamond" w:hAnsi="Garamond"/>
          <w:b/>
          <w:bCs/>
          <w:i w:val="false"/>
          <w:iCs w:val="false"/>
          <w:color w:val="1B2A4A"/>
          <w:sz w:val="22"/>
          <w:szCs w:val="22"/>
        </w:rPr>
        <w:t xml:space="preserve">PM Fiscal and Budget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431"/>
        <w:jc w:val="left"/>
      </w:pPr>
      <w:r>
        <w:rPr>
          <w:rFonts w:ascii="Courier New" w:cs="Courier New" w:eastAsia="Courier New" w:hAnsi="Courier New"/>
          <w:b/>
          <w:bCs/>
          <w:color w:val="1B2A4A"/>
          <w:sz w:val="18"/>
          <w:szCs w:val="18"/>
        </w:rPr>
        <w:t xml:space="preserve">§2.2.d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reviews all enacted legislation and may sign, apply a Fiscal Objection, or apply a Suspensive Veto. Silence within the Legislative Review Period triggers Deemed Enactment — there is no veto by inaction. The Suspensive Veto returns the bill to the Legislature, which may override by 2/3 of both chambers simultaneously.</w:t>
      </w:r>
    </w:p>
    <w:p>
      <w:pPr>
        <w:spacing w:after="60" w:before="200"/>
        <w:ind w:left="431"/>
        <w:jc w:val="left"/>
      </w:pPr>
      <w:r>
        <w:rPr>
          <w:rFonts w:ascii="Courier New" w:cs="Courier New" w:eastAsia="Courier New" w:hAnsi="Courier New"/>
          <w:b/>
          <w:bCs/>
          <w:color w:val="1B2A4A"/>
          <w:sz w:val="18"/>
          <w:szCs w:val="18"/>
        </w:rPr>
        <w:t xml:space="preserve">§2.2.e  </w:t>
      </w:r>
      <w:r>
        <w:rPr>
          <w:rFonts w:ascii="Garamond" w:cs="Garamond" w:eastAsia="Garamond" w:hAnsi="Garamond"/>
          <w:b/>
          <w:bCs/>
          <w:i w:val="false"/>
          <w:iCs w:val="false"/>
          <w:color w:val="1B2A4A"/>
          <w:sz w:val="22"/>
          <w:szCs w:val="22"/>
        </w:rPr>
        <w:t xml:space="preserve">Domestic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431"/>
        <w:jc w:val="left"/>
      </w:pPr>
      <w:r>
        <w:rPr>
          <w:rFonts w:ascii="Courier New" w:cs="Courier New" w:eastAsia="Courier New" w:hAnsi="Courier New"/>
          <w:b/>
          <w:bCs/>
          <w:color w:val="1B2A4A"/>
          <w:sz w:val="18"/>
          <w:szCs w:val="18"/>
        </w:rPr>
        <w:t xml:space="preserve">§2.2.f  </w:t>
      </w:r>
      <w:r>
        <w:rPr>
          <w:rFonts w:ascii="Garamond" w:cs="Garamond" w:eastAsia="Garamond" w:hAnsi="Garamond"/>
          <w:b/>
          <w:bCs/>
          <w:i w:val="false"/>
          <w:iCs w:val="false"/>
          <w:color w:val="1B2A4A"/>
          <w:sz w:val="22"/>
          <w:szCs w:val="22"/>
        </w:rPr>
        <w:t xml:space="preserve">PM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431"/>
        <w:jc w:val="left"/>
      </w:pPr>
      <w:r>
        <w:rPr>
          <w:rFonts w:ascii="Courier New" w:cs="Courier New" w:eastAsia="Courier New" w:hAnsi="Courier New"/>
          <w:b/>
          <w:bCs/>
          <w:color w:val="1B2A4A"/>
          <w:sz w:val="18"/>
          <w:szCs w:val="18"/>
        </w:rPr>
        <w:t xml:space="preserve">§2.2.g  </w:t>
      </w:r>
      <w:r>
        <w:rPr>
          <w:rFonts w:ascii="Garamond" w:cs="Garamond" w:eastAsia="Garamond" w:hAnsi="Garamond"/>
          <w:b/>
          <w:bCs/>
          <w:i w:val="false"/>
          <w:iCs w:val="false"/>
          <w:color w:val="1B2A4A"/>
          <w:sz w:val="22"/>
          <w:szCs w:val="22"/>
        </w:rPr>
        <w:t xml:space="preserve">PM Information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431"/>
        <w:jc w:val="left"/>
      </w:pPr>
      <w:r>
        <w:rPr>
          <w:rFonts w:ascii="Courier New" w:cs="Courier New" w:eastAsia="Courier New" w:hAnsi="Courier New"/>
          <w:b/>
          <w:bCs/>
          <w:color w:val="1B2A4A"/>
          <w:sz w:val="18"/>
          <w:szCs w:val="18"/>
        </w:rPr>
        <w:t xml:space="preserve">§2.2.h  </w:t>
      </w:r>
      <w:r>
        <w:rPr>
          <w:rFonts w:ascii="Garamond" w:cs="Garamond" w:eastAsia="Garamond" w:hAnsi="Garamond"/>
          <w:b/>
          <w:bCs/>
          <w:i w:val="false"/>
          <w:iCs w:val="false"/>
          <w:color w:val="1B2A4A"/>
          <w:sz w:val="22"/>
          <w:szCs w:val="22"/>
        </w:rPr>
        <w:t xml:space="preserve">Caretaker PM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PM is temporarily unable to exercise authority, the most senior confirmed Cabinet Minister by continuous length of service, as certified by the JI, serves as Caretaker PM. The Caretaker PM's authority is limited to maintaining existing policy and emergency functions. Caretaker status expires when a new PM is confirmed by the House or the PM resumes their duties, whichever occurs first.</w:t>
      </w:r>
    </w:p>
    <w:p>
      <w:pPr>
        <w:spacing w:after="60" w:before="200"/>
        <w:ind w:left="431"/>
        <w:jc w:val="left"/>
      </w:pPr>
      <w:r>
        <w:rPr>
          <w:rFonts w:ascii="Courier New" w:cs="Courier New" w:eastAsia="Courier New" w:hAnsi="Courier New"/>
          <w:b/>
          <w:bCs/>
          <w:color w:val="1B2A4A"/>
          <w:sz w:val="18"/>
          <w:szCs w:val="18"/>
        </w:rPr>
        <w:t xml:space="preserve">§2.2.i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Civil servants must refuse and report any order that lacks required PM fund certification, violates any Article I right, or has not been recorded on the National Record System. A civil servant who refuses an unconstitutional order may not be dismissed, demoted, or penalized for that refusal. The EI reports any attempt to penalize a refusing civil servant to the NRS.</w:t>
      </w:r>
    </w:p>
    <w:p>
      <w:pPr>
        <w:spacing w:after="60" w:before="200"/>
        <w:ind w:left="431"/>
        <w:jc w:val="left"/>
      </w:pPr>
      <w:r>
        <w:rPr>
          <w:rFonts w:ascii="Courier New" w:cs="Courier New" w:eastAsia="Courier New" w:hAnsi="Courier New"/>
          <w:b/>
          <w:bCs/>
          <w:color w:val="1B2A4A"/>
          <w:sz w:val="18"/>
          <w:szCs w:val="18"/>
        </w:rPr>
        <w:t xml:space="preserve">§2.2.j  </w:t>
      </w:r>
      <w:r>
        <w:rPr>
          <w:rFonts w:ascii="Garamond" w:cs="Garamond" w:eastAsia="Garamond" w:hAnsi="Garamond"/>
          <w:b/>
          <w:bCs/>
          <w:i w:val="false"/>
          <w:iCs w:val="false"/>
          <w:color w:val="1B2A4A"/>
          <w:sz w:val="22"/>
          <w:szCs w:val="22"/>
        </w:rPr>
        <w:t xml:space="preserve">Civil Service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jc w:val="left"/>
      </w:pPr>
      <w:r>
        <w:rPr>
          <w:rFonts w:ascii="Courier New" w:cs="Courier New" w:eastAsia="Courier New" w:hAnsi="Courier New"/>
          <w:b/>
          <w:bCs/>
          <w:color w:val="1B2A4A"/>
          <w:sz w:val="18"/>
          <w:szCs w:val="18"/>
        </w:rPr>
        <w:t xml:space="preserve">§2.2.k  </w:t>
      </w:r>
      <w:r>
        <w:rPr>
          <w:rFonts w:ascii="Garamond" w:cs="Garamond" w:eastAsia="Garamond" w:hAnsi="Garamond"/>
          <w:b/>
          <w:bCs/>
          <w:i w:val="false"/>
          <w:iCs w:val="false"/>
          <w:color w:val="1B2A4A"/>
          <w:sz w:val="22"/>
          <w:szCs w:val="22"/>
        </w:rPr>
        <w:t xml:space="preserve">Domestic Affairs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domestic executive functions through the Domestic Affairs Council — the coordinating body of senior Cabinet Ministers responsible for the delivery of BNF obligations, oversight of devolved Territories, co-management of National Trust lands, and other domestic functions assigned by statute. The Domestic Affairs Council is chaired by the PM. Its membership, structure, and operational mandate are defined by statute. The Council operates under the PM's constitutional domestic authority and is not an independent constitutional body.</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Prime Minister —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431"/>
        <w:jc w:val="left"/>
      </w:pPr>
      <w:r>
        <w:rPr>
          <w:rFonts w:ascii="Courier New" w:cs="Courier New" w:eastAsia="Courier New" w:hAnsi="Courier New"/>
          <w:b/>
          <w:bCs/>
          <w:color w:val="1B2A4A"/>
          <w:sz w:val="18"/>
          <w:szCs w:val="18"/>
        </w:rPr>
        <w:t xml:space="preserve">§2.3.a  </w:t>
      </w:r>
      <w:r>
        <w:rPr>
          <w:rFonts w:ascii="Garamond" w:cs="Garamond" w:eastAsia="Garamond" w:hAnsi="Garamond"/>
          <w:b/>
          <w:bCs/>
          <w:i w:val="false"/>
          <w:iCs w:val="false"/>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431"/>
        <w:jc w:val="left"/>
      </w:pPr>
      <w:r>
        <w:rPr>
          <w:rFonts w:ascii="Courier New" w:cs="Courier New" w:eastAsia="Courier New" w:hAnsi="Courier New"/>
          <w:b/>
          <w:bCs/>
          <w:color w:val="1B2A4A"/>
          <w:sz w:val="18"/>
          <w:szCs w:val="18"/>
        </w:rPr>
        <w:t xml:space="preserve">§2.3.b  </w:t>
      </w:r>
      <w:r>
        <w:rPr>
          <w:rFonts w:ascii="Garamond" w:cs="Garamond" w:eastAsia="Garamond" w:hAnsi="Garamond"/>
          <w:b/>
          <w:bCs/>
          <w:i w:val="false"/>
          <w:iCs w:val="false"/>
          <w:color w:val="1B2A4A"/>
          <w:sz w:val="22"/>
          <w:szCs w:val="22"/>
        </w:rPr>
        <w:t xml:space="preserve">PM Maximum Consecutive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431"/>
        <w:jc w:val="left"/>
      </w:pPr>
      <w:r>
        <w:rPr>
          <w:rFonts w:ascii="Courier New" w:cs="Courier New" w:eastAsia="Courier New" w:hAnsi="Courier New"/>
          <w:b/>
          <w:bCs/>
          <w:color w:val="1B2A4A"/>
          <w:sz w:val="18"/>
          <w:szCs w:val="18"/>
        </w:rPr>
        <w:t xml:space="preserve">§2.3.c  </w:t>
      </w:r>
      <w:r>
        <w:rPr>
          <w:rFonts w:ascii="Garamond" w:cs="Garamond" w:eastAsia="Garamond" w:hAnsi="Garamond"/>
          <w:b/>
          <w:bCs/>
          <w:i w:val="false"/>
          <w:iCs w:val="false"/>
          <w:color w:val="1B2A4A"/>
          <w:sz w:val="22"/>
          <w:szCs w:val="22"/>
        </w:rPr>
        <w:t xml:space="preserve">PM Formation and Senate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elects the PM by absolute majority of full seated membership within 30 days of any general election. The House may attempt to elect a PM at any time. If the House has not elected a PM within 30 days, the most senior confirmed Cabinet Minister by continuous length of service continues as Caretaker PM under §2.2.h.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elected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Prime Minister —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two instruments for engaging the Legislature on enacted bills: the Suspensive Veto and the Fiscal Objection.</w:t>
      </w:r>
    </w:p>
    <w:p>
      <w:pPr>
        <w:spacing w:after="60" w:before="200"/>
        <w:ind w:left="431"/>
        <w:jc w:val="left"/>
      </w:pPr>
      <w:r>
        <w:rPr>
          <w:rFonts w:ascii="Courier New" w:cs="Courier New" w:eastAsia="Courier New" w:hAnsi="Courier New"/>
          <w:b/>
          <w:bCs/>
          <w:color w:val="1B2A4A"/>
          <w:sz w:val="18"/>
          <w:szCs w:val="18"/>
        </w:rPr>
        <w:t xml:space="preserve">§2.4.a  </w:t>
      </w:r>
      <w:r>
        <w:rPr>
          <w:rFonts w:ascii="Garamond" w:cs="Garamond" w:eastAsia="Garamond" w:hAnsi="Garamond"/>
          <w:b/>
          <w:bCs/>
          <w:i w:val="false"/>
          <w:iCs w:val="false"/>
          <w:color w:val="1B2A4A"/>
          <w:sz w:val="22"/>
          <w:szCs w:val="22"/>
        </w:rPr>
        <w:t xml:space="preserve">Suspensive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90 days of the bill being returned, the bill lapses. The PM may apply the suspensive veto to any single bill only once.</w:t>
      </w:r>
    </w:p>
    <w:p>
      <w:pPr>
        <w:spacing w:after="60" w:before="200"/>
        <w:ind w:left="431"/>
        <w:jc w:val="left"/>
      </w:pPr>
      <w:r>
        <w:rPr>
          <w:rFonts w:ascii="Courier New" w:cs="Courier New" w:eastAsia="Courier New" w:hAnsi="Courier New"/>
          <w:b/>
          <w:bCs/>
          <w:color w:val="1B2A4A"/>
          <w:sz w:val="18"/>
          <w:szCs w:val="18"/>
        </w:rPr>
        <w:t xml:space="preserve">§2.4.b  </w:t>
      </w:r>
      <w:r>
        <w:rPr>
          <w:rFonts w:ascii="Garamond" w:cs="Garamond" w:eastAsia="Garamond" w:hAnsi="Garamond"/>
          <w:b/>
          <w:bCs/>
          <w:i w:val="false"/>
          <w:iCs w:val="false"/>
          <w:color w:val="1B2A4A"/>
          <w:sz w:val="22"/>
          <w:szCs w:val="22"/>
        </w:rPr>
        <w:t xml:space="preserve">Fiscal Objection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431"/>
        <w:jc w:val="left"/>
      </w:pPr>
      <w:r>
        <w:rPr>
          <w:rFonts w:ascii="Courier New" w:cs="Courier New" w:eastAsia="Courier New" w:hAnsi="Courier New"/>
          <w:b/>
          <w:bCs/>
          <w:color w:val="1B2A4A"/>
          <w:sz w:val="18"/>
          <w:szCs w:val="18"/>
        </w:rPr>
        <w:t xml:space="preserve">§2.4.c  </w:t>
      </w:r>
      <w:r>
        <w:rPr>
          <w:rFonts w:ascii="Garamond" w:cs="Garamond" w:eastAsia="Garamond" w:hAnsi="Garamond"/>
          <w:b/>
          <w:bCs/>
          <w:i w:val="false"/>
          <w:iCs w:val="false"/>
          <w:color w:val="1B2A4A"/>
          <w:sz w:val="22"/>
          <w:szCs w:val="22"/>
        </w:rPr>
        <w:t xml:space="preserve">Deemed Enactment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PM neither signs nor objects within the Legislative Review Period, the bill is automatically enacted. Silence is not a veto.</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hold a concurrent review period following final passage of any bill.</w:t>
      </w:r>
    </w:p>
    <w:p>
      <w:pPr>
        <w:spacing w:after="60" w:before="200"/>
        <w:ind w:left="431"/>
        <w:jc w:val="left"/>
      </w:pPr>
      <w:r>
        <w:rPr>
          <w:rFonts w:ascii="Courier New" w:cs="Courier New" w:eastAsia="Courier New" w:hAnsi="Courier New"/>
          <w:b/>
          <w:bCs/>
          <w:color w:val="1B2A4A"/>
          <w:sz w:val="18"/>
          <w:szCs w:val="18"/>
        </w:rPr>
        <w:t xml:space="preserve">§2.5.a  </w:t>
      </w:r>
      <w:r>
        <w:rPr>
          <w:rFonts w:ascii="Garamond" w:cs="Garamond" w:eastAsia="Garamond" w:hAnsi="Garamond"/>
          <w:b/>
          <w:bCs/>
          <w:i w:val="false"/>
          <w:iCs w:val="false"/>
          <w:color w:val="1B2A4A"/>
          <w:sz w:val="22"/>
          <w:szCs w:val="22"/>
        </w:rPr>
        <w:t xml:space="preserve">Legislative Review Period — Duration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Presidential Succession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President's succession and acting authority framework is established in §2.6.a through §2.6.c.</w:t>
      </w:r>
    </w:p>
    <w:p>
      <w:pPr>
        <w:spacing w:after="60" w:before="200"/>
        <w:ind w:left="431"/>
        <w:jc w:val="left"/>
      </w:pPr>
      <w:r>
        <w:rPr>
          <w:rFonts w:ascii="Courier New" w:cs="Courier New" w:eastAsia="Courier New" w:hAnsi="Courier New"/>
          <w:b/>
          <w:bCs/>
          <w:color w:val="1B2A4A"/>
          <w:sz w:val="18"/>
          <w:szCs w:val="18"/>
        </w:rPr>
        <w:t xml:space="preserve">§2.6.a  </w:t>
      </w:r>
      <w:r>
        <w:rPr>
          <w:rFonts w:ascii="Garamond" w:cs="Garamond" w:eastAsia="Garamond" w:hAnsi="Garamond"/>
          <w:b/>
          <w:bCs/>
          <w:i w:val="false"/>
          <w:iCs w:val="false"/>
          <w:color w:val="1B2A4A"/>
          <w:sz w:val="22"/>
          <w:szCs w:val="22"/>
        </w:rPr>
        <w:t xml:space="preserve">Presidential Succession Line</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 a permanent succession event — their Senate seat is immediately vacated and the Deputy Speaker assumes the Speaker role. A special presidential election must be held within 90 days of the vacancy. This seat vacation applies only to §2.6.a permanent succession; it does not apply to Temporary Acting Presidential Authority under §2.6.b.</w:t>
      </w:r>
    </w:p>
    <w:p>
      <w:pPr>
        <w:spacing w:after="60" w:before="200"/>
        <w:ind w:left="431"/>
        <w:jc w:val="left"/>
      </w:pPr>
      <w:r>
        <w:rPr>
          <w:rFonts w:ascii="Courier New" w:cs="Courier New" w:eastAsia="Courier New" w:hAnsi="Courier New"/>
          <w:b/>
          <w:bCs/>
          <w:color w:val="1B2A4A"/>
          <w:sz w:val="18"/>
          <w:szCs w:val="18"/>
        </w:rPr>
        <w:t xml:space="preserve">§2.6.b  </w:t>
      </w:r>
      <w:r>
        <w:rPr>
          <w:rFonts w:ascii="Garamond" w:cs="Garamond" w:eastAsia="Garamond" w:hAnsi="Garamond"/>
          <w:b/>
          <w:bCs/>
          <w:i w:val="false"/>
          <w:iCs w:val="false"/>
          <w:color w:val="1B2A4A"/>
          <w:sz w:val="22"/>
          <w:szCs w:val="22"/>
        </w:rPr>
        <w:t xml:space="preserve">Temporary Acting Presidential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Temporary Acting Presidential Authority activates through one of two mechanisms. (a) Voluntary transfer: the President publishes a declaration of temporary transfer to the NRS specifying the reason and expected duration; Acting Presidential Authority activates at the moment of NRS publication. (b) Involuntary certification: where the President is suddenly incapacitated and cannot make a voluntary declaration, the Executive Inspectorate and Legislative Inspectorate jointly assess the President's capacity to perform presidential functions. If both Inspectorates reach the same conclusion, they publish a joint assessment to the NRS within 6 hours. The Prime Minister must affirm or formally decline the joint assessment within 3 hours of its NRS publication. If the PM affirms, the Senate Speaker activates Acting Presidential Authority immediately upon NRS publication of the PM's affirmation. If the PM formally declines or fails to respond within 3 hours, either Inspectorate may refer the matter to the most senior available Supreme Court justice. If the justice agrees with the joint Inspectorate assessment, the Senate Speaker acts as Acting President on a provisional basis until an emergency Supreme Court panel delivers a definitive ruling, or the President resumes presidential duties, whichever occurs first. If the justice does not agree, no provisional activation occurs; the matter proceeds to the court panel with the President remaining in office. If the EI and LI reach different conclusions in their assessments, no certification is possible and there is no further recourse under this provision; the President remains in office. A PM who formally declines a joint Inspectorate incapacity assessment without stating constitutional grounds is in constitutional compliance failure; the EI publishes a finding of that failure to the NRS. During any period of Temporary Acting Presidential Authority: (1) the Senate Speaker exercises all constitutional powers of the presidential office, including Tier 1 through Tier 3 military authority, treaty functions, and intelligence oversight; (2) the Senate Speaker retains their Senate seat, which is not vacated; (3) the Deputy Speaker assumes the Senate's presiding functions and the Speaker's position in the presidential succession line for the duration; (4) no special presidential election is triggered; (5) the acting period does not constitute a succession event under §2.6.a and does not expend or initiate any presidential term. Temporary Acting Presidential Authority ends upon: (i) the President publishing a restoration declaration to the NRS, at which point the President immediately resumes full authority; or (ii) the EI and LI jointly certifying and publishing to the NRS that the incapacity has ended, with PM affirmation within 3 hours, at which point the President immediately resumes full authority. Where Temporary Acting Presidential Authority extends beyond 90 consecutive days without restoration, the EI and LI must jointly assess whether the incapacity has become permanent and publish their assessment to the NRS within 7 days of the 90-day mark, with PM affirmation required within 3 hours. The PM refusal mechanism applies identically to this reassessment. If permanent incapacity is certified, §2.6.a succession activates immediately — Acting Presidential Authority converts to full succession, the Speaker's Senate seat is vacated, and the Deputy Speaker assumes the Speaker role permanently. If continued temporary incapacity is certified, Acting Presidential Authority continues and the assessment repeats every 30 days until restoration or permanent certification.</w:t>
      </w:r>
    </w:p>
    <w:p>
      <w:pPr>
        <w:spacing w:after="60" w:before="200"/>
        <w:ind w:left="431"/>
        <w:jc w:val="left"/>
      </w:pPr>
      <w:r>
        <w:rPr>
          <w:rFonts w:ascii="Courier New" w:cs="Courier New" w:eastAsia="Courier New" w:hAnsi="Courier New"/>
          <w:b/>
          <w:bCs/>
          <w:color w:val="1B2A4A"/>
          <w:sz w:val="18"/>
          <w:szCs w:val="18"/>
        </w:rPr>
        <w:t xml:space="preserve">§2.6.c  </w:t>
      </w:r>
      <w:r>
        <w:rPr>
          <w:rFonts w:ascii="Garamond" w:cs="Garamond" w:eastAsia="Garamond" w:hAnsi="Garamond"/>
          <w:b/>
          <w:bCs/>
          <w:i w:val="false"/>
          <w:iCs w:val="false"/>
          <w:color w:val="1B2A4A"/>
          <w:sz w:val="22"/>
          <w:szCs w:val="22"/>
        </w:rPr>
        <w:t xml:space="preserve">Succession-Based Presidential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A person who assumes the presidency by succession under §2.6.a does not thereby expend their single non-renewable term. They must stand for election at the next regular National Election Day presidential cycle, or at a special presidential election called by the Legislature within 90 days of succession, to continue serving beyond the succession period. If elected, that term constitutes their single non-renewable term. If not elected, the next person in the succession line assumes the office or a new election is called.</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Executive Transparency and NRS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Emergency Governance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431"/>
        <w:jc w:val="left"/>
      </w:pPr>
      <w:r>
        <w:rPr>
          <w:rFonts w:ascii="Courier New" w:cs="Courier New" w:eastAsia="Courier New" w:hAnsi="Courier New"/>
          <w:b/>
          <w:bCs/>
          <w:color w:val="1B2A4A"/>
          <w:sz w:val="18"/>
          <w:szCs w:val="18"/>
        </w:rPr>
        <w:t xml:space="preserve">§2.8.a  </w:t>
      </w:r>
      <w:r>
        <w:rPr>
          <w:rFonts w:ascii="Garamond" w:cs="Garamond" w:eastAsia="Garamond" w:hAnsi="Garamond"/>
          <w:b/>
          <w:bCs/>
          <w:i w:val="false"/>
          <w:iCs w:val="false"/>
          <w:color w:val="1B2A4A"/>
          <w:sz w:val="22"/>
          <w:szCs w:val="22"/>
        </w:rPr>
        <w:t xml:space="preserve">Expedited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Clemency and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431"/>
        <w:jc w:val="left"/>
      </w:pPr>
      <w:r>
        <w:rPr>
          <w:rFonts w:ascii="Courier New" w:cs="Courier New" w:eastAsia="Courier New" w:hAnsi="Courier New"/>
          <w:b/>
          <w:bCs/>
          <w:color w:val="1B2A4A"/>
          <w:sz w:val="18"/>
          <w:szCs w:val="18"/>
        </w:rPr>
        <w:t xml:space="preserve">§2.9.a  </w:t>
      </w:r>
      <w:r>
        <w:rPr>
          <w:rFonts w:ascii="Garamond" w:cs="Garamond" w:eastAsia="Garamond" w:hAnsi="Garamond"/>
          <w:b/>
          <w:bCs/>
          <w:i w:val="false"/>
          <w:iCs w:val="false"/>
          <w:color w:val="1B2A4A"/>
          <w:sz w:val="22"/>
          <w:szCs w:val="22"/>
        </w:rPr>
        <w:t xml:space="preserve">Legislative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431"/>
        <w:jc w:val="left"/>
      </w:pPr>
      <w:r>
        <w:rPr>
          <w:rFonts w:ascii="Courier New" w:cs="Courier New" w:eastAsia="Courier New" w:hAnsi="Courier New"/>
          <w:b/>
          <w:bCs/>
          <w:color w:val="1B2A4A"/>
          <w:sz w:val="18"/>
          <w:szCs w:val="18"/>
        </w:rPr>
        <w:t xml:space="preserve">§2.9.b  </w:t>
      </w:r>
      <w:r>
        <w:rPr>
          <w:rFonts w:ascii="Garamond" w:cs="Garamond" w:eastAsia="Garamond" w:hAnsi="Garamond"/>
          <w:b/>
          <w:bCs/>
          <w:i w:val="false"/>
          <w:iCs w:val="false"/>
          <w:color w:val="1B2A4A"/>
          <w:sz w:val="22"/>
          <w:szCs w:val="22"/>
        </w:rPr>
        <w:t xml:space="preserve">Self-Clemency Absolute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431"/>
        <w:jc w:val="left"/>
      </w:pPr>
      <w:r>
        <w:rPr>
          <w:rFonts w:ascii="Courier New" w:cs="Courier New" w:eastAsia="Courier New" w:hAnsi="Courier New"/>
          <w:b/>
          <w:bCs/>
          <w:color w:val="1B2A4A"/>
          <w:sz w:val="18"/>
          <w:szCs w:val="18"/>
        </w:rPr>
        <w:t xml:space="preserve">§2.9.c  </w:t>
      </w:r>
      <w:r>
        <w:rPr>
          <w:rFonts w:ascii="Garamond" w:cs="Garamond" w:eastAsia="Garamond" w:hAnsi="Garamond"/>
          <w:b/>
          <w:bCs/>
          <w:i w:val="false"/>
          <w:iCs w:val="false"/>
          <w:color w:val="1B2A4A"/>
          <w:sz w:val="22"/>
          <w:szCs w:val="22"/>
        </w:rPr>
        <w:t xml:space="preserve">Cross-Chamber Clemency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clemency grant — whether by the President under §2.1.g or by the PM under §2.2.f — is subject to cross-chamber legislative review. The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NRS.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NRS and together form the complete clemency record for any grant. The reviewing chamber's 45-day period begins from the date of EI publication. Neither executive may grant clemency for offenses committed within the other executive's domain; any such grant is void without requiring a disapproval vote.</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Presidential Removal — Two Political Tracks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w:t>
      </w:r>
    </w:p>
    <w:p>
      <w:pPr>
        <w:spacing w:after="60" w:before="200"/>
        <w:ind w:left="431"/>
        <w:jc w:val="left"/>
      </w:pPr>
      <w:r>
        <w:rPr>
          <w:rFonts w:ascii="Courier New" w:cs="Courier New" w:eastAsia="Courier New" w:hAnsi="Courier New"/>
          <w:b/>
          <w:bCs/>
          <w:color w:val="1B2A4A"/>
          <w:sz w:val="18"/>
          <w:szCs w:val="18"/>
        </w:rPr>
        <w:t xml:space="preserve">§2.10.a  </w:t>
      </w:r>
      <w:r>
        <w:rPr>
          <w:rFonts w:ascii="Garamond" w:cs="Garamond" w:eastAsia="Garamond" w:hAnsi="Garamond"/>
          <w:b/>
          <w:bCs/>
          <w:i w:val="false"/>
          <w:iCs w:val="false"/>
          <w:color w:val="1B2A4A"/>
          <w:sz w:val="22"/>
          <w:szCs w:val="22"/>
        </w:rPr>
        <w:t xml:space="preserve">Legislative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431"/>
        <w:jc w:val="left"/>
      </w:pPr>
      <w:r>
        <w:rPr>
          <w:rFonts w:ascii="Courier New" w:cs="Courier New" w:eastAsia="Courier New" w:hAnsi="Courier New"/>
          <w:b/>
          <w:bCs/>
          <w:color w:val="1B2A4A"/>
          <w:sz w:val="18"/>
          <w:szCs w:val="18"/>
        </w:rPr>
        <w:t xml:space="preserve">§2.10.b  </w:t>
      </w:r>
      <w:r>
        <w:rPr>
          <w:rFonts w:ascii="Garamond" w:cs="Garamond" w:eastAsia="Garamond" w:hAnsi="Garamond"/>
          <w:b/>
          <w:bCs/>
          <w:i w:val="false"/>
          <w:iCs w:val="false"/>
          <w:color w:val="1B2A4A"/>
          <w:sz w:val="22"/>
          <w:szCs w:val="22"/>
        </w:rPr>
        <w:t xml:space="preserve">Senate Referral to Popular Recall</w:t>
      </w:r>
    </w:p>
    <w:p>
      <w:pPr>
        <w:spacing w:after="120" w:before="0"/>
        <w:ind w:left="431"/>
        <w:jc w:val="both"/>
      </w:pPr>
      <w:r>
        <w:rPr>
          <w:rFonts w:ascii="Garamond" w:cs="Garamond" w:eastAsia="Garamond" w:hAnsi="Garamond"/>
          <w:b w:val="false"/>
          <w:bCs w:val="false"/>
          <w:i w:val="false"/>
          <w:iCs w:val="false"/>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431"/>
        <w:jc w:val="left"/>
      </w:pPr>
      <w:r>
        <w:rPr>
          <w:rFonts w:ascii="Courier New" w:cs="Courier New" w:eastAsia="Courier New" w:hAnsi="Courier New"/>
          <w:b/>
          <w:bCs/>
          <w:color w:val="1B2A4A"/>
          <w:sz w:val="18"/>
          <w:szCs w:val="18"/>
        </w:rPr>
        <w:t xml:space="preserve">§2.10.c  </w:t>
      </w:r>
      <w:r>
        <w:rPr>
          <w:rFonts w:ascii="Garamond" w:cs="Garamond" w:eastAsia="Garamond" w:hAnsi="Garamond"/>
          <w:b/>
          <w:bCs/>
          <w:i w:val="false"/>
          <w:iCs w:val="false"/>
          <w:color w:val="1B2A4A"/>
          <w:sz w:val="22"/>
          <w:szCs w:val="22"/>
        </w:rPr>
        <w:t xml:space="preserve">One Referral Per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 Both States and Territories send voting members to the House. Territorial members hold full voting rights on all House business, including legislation, confidence motions, and committee assignments. There are no second-class members of the House.</w:t>
      </w:r>
    </w:p>
    <w:p>
      <w:pPr>
        <w:spacing w:after="60" w:before="200"/>
        <w:ind w:left="431"/>
        <w:jc w:val="left"/>
      </w:pPr>
      <w:r>
        <w:rPr>
          <w:rFonts w:ascii="Courier New" w:cs="Courier New" w:eastAsia="Courier New" w:hAnsi="Courier New"/>
          <w:b/>
          <w:bCs/>
          <w:color w:val="1B2A4A"/>
          <w:sz w:val="18"/>
          <w:szCs w:val="18"/>
        </w:rPr>
        <w:t xml:space="preserve">§3.1.a  </w:t>
      </w:r>
      <w:r>
        <w:rPr>
          <w:rFonts w:ascii="Garamond" w:cs="Garamond" w:eastAsia="Garamond" w:hAnsi="Garamond"/>
          <w:b/>
          <w:bCs/>
          <w:i w:val="false"/>
          <w:iCs w:val="false"/>
          <w:color w:val="1B2A4A"/>
          <w:sz w:val="22"/>
          <w:szCs w:val="22"/>
        </w:rPr>
        <w:t xml:space="preserve">House Seat Allocation — Webster Method</w:t>
      </w:r>
    </w:p>
    <w:p>
      <w:pPr>
        <w:spacing w:after="120" w:before="0"/>
        <w:ind w:left="431"/>
        <w:jc w:val="both"/>
      </w:pPr>
      <w:r>
        <w:rPr>
          <w:rFonts w:ascii="Garamond" w:cs="Garamond" w:eastAsia="Garamond" w:hAnsi="Garamond"/>
          <w:b w:val="false"/>
          <w:bCs w:val="false"/>
          <w:i w:val="false"/>
          <w:iCs w:val="false"/>
          <w:color w:val="2a2520"/>
          <w:sz w:val="22"/>
          <w:szCs w:val="22"/>
        </w:rPr>
        <w:t xml:space="preserve">House seats are allocated by the Webster method: each State and Territory receives the number of seats nearest to its population divided by the Republic's standard constituency divisor, with a minimum of one seat per State or Territory regardless of population. The constituency divisor is set at 750,000 citizens per seat and may be adjusted by the Legislature by statute, provided no adjustment reduces any State or Territory below its one-seat minimum and no adjustment takes effect until the census following its enactment. The LI administers the allocation following each census and publishes the certified seat counts to the NRS within 30 days of census completion. No adjustment to the constituency divisor may be made in the 12 months preceding or during a census year.</w:t>
      </w:r>
    </w:p>
    <w:p>
      <w:pPr>
        <w:spacing w:after="60" w:before="200"/>
        <w:ind w:left="431"/>
        <w:jc w:val="left"/>
      </w:pPr>
      <w:r>
        <w:rPr>
          <w:rFonts w:ascii="Courier New" w:cs="Courier New" w:eastAsia="Courier New" w:hAnsi="Courier New"/>
          <w:b/>
          <w:bCs/>
          <w:color w:val="1B2A4A"/>
          <w:sz w:val="18"/>
          <w:szCs w:val="18"/>
        </w:rPr>
        <w:t xml:space="preserve">§3.1.b  </w:t>
      </w:r>
      <w:r>
        <w:rPr>
          <w:rFonts w:ascii="Garamond" w:cs="Garamond" w:eastAsia="Garamond" w:hAnsi="Garamond"/>
          <w:b/>
          <w:bCs/>
          <w:i w:val="false"/>
          <w:iCs w:val="false"/>
          <w:color w:val="1B2A4A"/>
          <w:sz w:val="22"/>
          <w:szCs w:val="22"/>
        </w:rPr>
        <w:t xml:space="preserve">Census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population census is conducted by the Legislative Inspectorate every ten years and whenever the Legislature requires reapportionment. Census methodology is published to the NRS before each census. Results are published to the NRS within 90 days of completion and used as the basis for House seat allocation.</w:t>
      </w:r>
    </w:p>
    <w:p>
      <w:pPr>
        <w:spacing w:after="60" w:before="200"/>
        <w:ind w:left="431"/>
        <w:jc w:val="left"/>
      </w:pPr>
      <w:r>
        <w:rPr>
          <w:rFonts w:ascii="Courier New" w:cs="Courier New" w:eastAsia="Courier New" w:hAnsi="Courier New"/>
          <w:b/>
          <w:bCs/>
          <w:color w:val="1B2A4A"/>
          <w:sz w:val="18"/>
          <w:szCs w:val="18"/>
        </w:rPr>
        <w:t xml:space="preserve">§3.1.c  </w:t>
      </w:r>
      <w:r>
        <w:rPr>
          <w:rFonts w:ascii="Garamond" w:cs="Garamond" w:eastAsia="Garamond" w:hAnsi="Garamond"/>
          <w:b/>
          <w:bCs/>
          <w:i w:val="false"/>
          <w:iCs w:val="false"/>
          <w:color w:val="1B2A4A"/>
          <w:sz w:val="22"/>
          <w:szCs w:val="22"/>
        </w:rPr>
        <w:t xml:space="preserve">Single-Subject Rule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431"/>
        <w:jc w:val="left"/>
      </w:pPr>
      <w:r>
        <w:rPr>
          <w:rFonts w:ascii="Courier New" w:cs="Courier New" w:eastAsia="Courier New" w:hAnsi="Courier New"/>
          <w:b/>
          <w:bCs/>
          <w:color w:val="1B2A4A"/>
          <w:sz w:val="18"/>
          <w:szCs w:val="18"/>
        </w:rPr>
        <w:t xml:space="preserve">§3.1.d  </w:t>
      </w:r>
      <w:r>
        <w:rPr>
          <w:rFonts w:ascii="Garamond" w:cs="Garamond" w:eastAsia="Garamond" w:hAnsi="Garamond"/>
          <w:b/>
          <w:bCs/>
          <w:i w:val="false"/>
          <w:iCs w:val="false"/>
          <w:color w:val="1B2A4A"/>
          <w:sz w:val="22"/>
          <w:szCs w:val="22"/>
        </w:rPr>
        <w:t xml:space="preserve">Bill Exposure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431"/>
        <w:jc w:val="left"/>
      </w:pPr>
      <w:r>
        <w:rPr>
          <w:rFonts w:ascii="Courier New" w:cs="Courier New" w:eastAsia="Courier New" w:hAnsi="Courier New"/>
          <w:b/>
          <w:bCs/>
          <w:color w:val="1B2A4A"/>
          <w:sz w:val="18"/>
          <w:szCs w:val="18"/>
        </w:rPr>
        <w:t xml:space="preserve">§3.1.e  </w:t>
      </w:r>
      <w:r>
        <w:rPr>
          <w:rFonts w:ascii="Garamond" w:cs="Garamond" w:eastAsia="Garamond" w:hAnsi="Garamond"/>
          <w:b/>
          <w:bCs/>
          <w:i w:val="false"/>
          <w:iCs w:val="false"/>
          <w:color w:val="1B2A4A"/>
          <w:sz w:val="22"/>
          <w:szCs w:val="22"/>
        </w:rPr>
        <w:t xml:space="preserve">Legislative Calendar and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431"/>
        <w:jc w:val="left"/>
      </w:pPr>
      <w:r>
        <w:rPr>
          <w:rFonts w:ascii="Courier New" w:cs="Courier New" w:eastAsia="Courier New" w:hAnsi="Courier New"/>
          <w:b/>
          <w:bCs/>
          <w:color w:val="1B2A4A"/>
          <w:sz w:val="18"/>
          <w:szCs w:val="18"/>
        </w:rPr>
        <w:t xml:space="preserve">§3.1.f  </w:t>
      </w:r>
      <w:r>
        <w:rPr>
          <w:rFonts w:ascii="Garamond" w:cs="Garamond" w:eastAsia="Garamond" w:hAnsi="Garamond"/>
          <w:b/>
          <w:bCs/>
          <w:i w:val="false"/>
          <w:iCs w:val="false"/>
          <w:color w:val="1B2A4A"/>
          <w:sz w:val="22"/>
          <w:szCs w:val="22"/>
        </w:rPr>
        <w:t xml:space="preserve">Legislative Compensation and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431"/>
        <w:jc w:val="left"/>
      </w:pPr>
      <w:r>
        <w:rPr>
          <w:rFonts w:ascii="Courier New" w:cs="Courier New" w:eastAsia="Courier New" w:hAnsi="Courier New"/>
          <w:b/>
          <w:bCs/>
          <w:color w:val="1B2A4A"/>
          <w:sz w:val="18"/>
          <w:szCs w:val="18"/>
        </w:rPr>
        <w:t xml:space="preserve">§3.1.g  </w:t>
      </w:r>
      <w:r>
        <w:rPr>
          <w:rFonts w:ascii="Garamond" w:cs="Garamond" w:eastAsia="Garamond" w:hAnsi="Garamond"/>
          <w:b/>
          <w:bCs/>
          <w:i w:val="false"/>
          <w:iCs w:val="false"/>
          <w:color w:val="1B2A4A"/>
          <w:sz w:val="22"/>
          <w:szCs w:val="22"/>
        </w:rPr>
        <w:t xml:space="preserve">House Term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Senate — States as Constitutional Actors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431"/>
        <w:jc w:val="left"/>
      </w:pPr>
      <w:r>
        <w:rPr>
          <w:rFonts w:ascii="Courier New" w:cs="Courier New" w:eastAsia="Courier New" w:hAnsi="Courier New"/>
          <w:b/>
          <w:bCs/>
          <w:color w:val="1B2A4A"/>
          <w:sz w:val="18"/>
          <w:szCs w:val="18"/>
        </w:rPr>
        <w:t xml:space="preserve">§3.2.a  </w:t>
      </w:r>
      <w:r>
        <w:rPr>
          <w:rFonts w:ascii="Garamond" w:cs="Garamond" w:eastAsia="Garamond" w:hAnsi="Garamond"/>
          <w:b/>
          <w:bCs/>
          <w:i w:val="false"/>
          <w:iCs w:val="false"/>
          <w:color w:val="1B2A4A"/>
          <w:sz w:val="22"/>
          <w:szCs w:val="22"/>
        </w:rPr>
        <w:t xml:space="preserve">Senate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431"/>
        <w:jc w:val="left"/>
      </w:pPr>
      <w:r>
        <w:rPr>
          <w:rFonts w:ascii="Courier New" w:cs="Courier New" w:eastAsia="Courier New" w:hAnsi="Courier New"/>
          <w:b/>
          <w:bCs/>
          <w:color w:val="1B2A4A"/>
          <w:sz w:val="18"/>
          <w:szCs w:val="18"/>
        </w:rPr>
        <w:t xml:space="preserve">§3.2.b  </w:t>
      </w:r>
      <w:r>
        <w:rPr>
          <w:rFonts w:ascii="Garamond" w:cs="Garamond" w:eastAsia="Garamond" w:hAnsi="Garamond"/>
          <w:b/>
          <w:bCs/>
          <w:i w:val="false"/>
          <w:iCs w:val="false"/>
          <w:color w:val="1B2A4A"/>
          <w:sz w:val="22"/>
          <w:szCs w:val="22"/>
        </w:rPr>
        <w:t xml:space="preserve">Legislative Origination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431"/>
        <w:jc w:val="left"/>
      </w:pPr>
      <w:r>
        <w:rPr>
          <w:rFonts w:ascii="Courier New" w:cs="Courier New" w:eastAsia="Courier New" w:hAnsi="Courier New"/>
          <w:b/>
          <w:bCs/>
          <w:color w:val="1B2A4A"/>
          <w:sz w:val="18"/>
          <w:szCs w:val="18"/>
        </w:rPr>
        <w:t xml:space="preserve">§3.2.c  </w:t>
      </w:r>
      <w:r>
        <w:rPr>
          <w:rFonts w:ascii="Garamond" w:cs="Garamond" w:eastAsia="Garamond" w:hAnsi="Garamond"/>
          <w:b/>
          <w:bCs/>
          <w:i w:val="false"/>
          <w:iCs w:val="false"/>
          <w:color w:val="1B2A4A"/>
          <w:sz w:val="22"/>
          <w:szCs w:val="22"/>
        </w:rPr>
        <w:t xml:space="preserve">Senate Must Act on Every House Bill</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431"/>
        <w:jc w:val="left"/>
      </w:pPr>
      <w:r>
        <w:rPr>
          <w:rFonts w:ascii="Courier New" w:cs="Courier New" w:eastAsia="Courier New" w:hAnsi="Courier New"/>
          <w:b/>
          <w:bCs/>
          <w:color w:val="1B2A4A"/>
          <w:sz w:val="18"/>
          <w:szCs w:val="18"/>
        </w:rPr>
        <w:t xml:space="preserve">§3.2.d  </w:t>
      </w:r>
      <w:r>
        <w:rPr>
          <w:rFonts w:ascii="Garamond" w:cs="Garamond" w:eastAsia="Garamond" w:hAnsi="Garamond"/>
          <w:b/>
          <w:bCs/>
          <w:i w:val="false"/>
          <w:iCs w:val="false"/>
          <w:color w:val="1B2A4A"/>
          <w:sz w:val="22"/>
          <w:szCs w:val="22"/>
        </w:rPr>
        <w:t xml:space="preserve">Judicial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confirms all judicial appointments by a supermajority defined by statute (not less than 55%, not more than 67% of full Senate membership). Failure to vote within the confirmation period triggers Deemed Confirmation. The supermajority requirement ensures judicial appointments require cross-party support.</w:t>
      </w:r>
    </w:p>
    <w:p>
      <w:pPr>
        <w:spacing w:after="60" w:before="200"/>
        <w:ind w:left="431"/>
        <w:jc w:val="left"/>
      </w:pPr>
      <w:r>
        <w:rPr>
          <w:rFonts w:ascii="Courier New" w:cs="Courier New" w:eastAsia="Courier New" w:hAnsi="Courier New"/>
          <w:b/>
          <w:bCs/>
          <w:color w:val="1B2A4A"/>
          <w:sz w:val="18"/>
          <w:szCs w:val="18"/>
        </w:rPr>
        <w:t xml:space="preserve">§3.2.e  </w:t>
      </w:r>
      <w:r>
        <w:rPr>
          <w:rFonts w:ascii="Garamond" w:cs="Garamond" w:eastAsia="Garamond" w:hAnsi="Garamond"/>
          <w:b/>
          <w:bCs/>
          <w:i w:val="false"/>
          <w:iCs w:val="false"/>
          <w:color w:val="1B2A4A"/>
          <w:sz w:val="22"/>
          <w:szCs w:val="22"/>
        </w:rPr>
        <w:t xml:space="preserve">Treaty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a 2/3 majority of the full seated Senate.</w:t>
      </w:r>
    </w:p>
    <w:p>
      <w:pPr>
        <w:spacing w:after="60" w:before="200"/>
        <w:ind w:left="431"/>
        <w:jc w:val="left"/>
      </w:pPr>
      <w:r>
        <w:rPr>
          <w:rFonts w:ascii="Courier New" w:cs="Courier New" w:eastAsia="Courier New" w:hAnsi="Courier New"/>
          <w:b/>
          <w:bCs/>
          <w:color w:val="1B2A4A"/>
          <w:sz w:val="18"/>
          <w:szCs w:val="18"/>
        </w:rPr>
        <w:t xml:space="preserve">§3.2.e.i  </w:t>
      </w:r>
      <w:r>
        <w:rPr>
          <w:rFonts w:ascii="Garamond" w:cs="Garamond" w:eastAsia="Garamond" w:hAnsi="Garamond"/>
          <w:b/>
          <w:bCs/>
          <w:i w:val="false"/>
          <w:iCs w:val="false"/>
          <w:color w:val="1B2A4A"/>
          <w:sz w:val="22"/>
          <w:szCs w:val="22"/>
        </w:rPr>
        <w:t xml:space="preserve">Treaty Domestic Application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431"/>
        <w:jc w:val="left"/>
      </w:pPr>
      <w:r>
        <w:rPr>
          <w:rFonts w:ascii="Courier New" w:cs="Courier New" w:eastAsia="Courier New" w:hAnsi="Courier New"/>
          <w:b/>
          <w:bCs/>
          <w:color w:val="1B2A4A"/>
          <w:sz w:val="18"/>
          <w:szCs w:val="18"/>
        </w:rPr>
        <w:t xml:space="preserve">§3.2.e.ii  </w:t>
      </w:r>
      <w:r>
        <w:rPr>
          <w:rFonts w:ascii="Garamond" w:cs="Garamond" w:eastAsia="Garamond" w:hAnsi="Garamond"/>
          <w:b/>
          <w:bCs/>
          <w:i w:val="false"/>
          <w:iCs w:val="false"/>
          <w:color w:val="1B2A4A"/>
          <w:sz w:val="22"/>
          <w:szCs w:val="22"/>
        </w:rPr>
        <w:t xml:space="preserve">Non-Disaggregable Treaties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431"/>
        <w:jc w:val="left"/>
      </w:pPr>
      <w:r>
        <w:rPr>
          <w:rFonts w:ascii="Courier New" w:cs="Courier New" w:eastAsia="Courier New" w:hAnsi="Courier New"/>
          <w:b/>
          <w:bCs/>
          <w:color w:val="1B2A4A"/>
          <w:sz w:val="18"/>
          <w:szCs w:val="18"/>
        </w:rPr>
        <w:t xml:space="preserve">§3.2.e.iii  </w:t>
      </w:r>
      <w:r>
        <w:rPr>
          <w:rFonts w:ascii="Garamond" w:cs="Garamond" w:eastAsia="Garamond" w:hAnsi="Garamond"/>
          <w:b/>
          <w:bCs/>
          <w:i w:val="false"/>
          <w:iCs w:val="false"/>
          <w:color w:val="1B2A4A"/>
          <w:sz w:val="22"/>
          <w:szCs w:val="22"/>
        </w:rPr>
        <w:t xml:space="preserve">Treaty Withdrawal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431"/>
        <w:jc w:val="left"/>
      </w:pPr>
      <w:r>
        <w:rPr>
          <w:rFonts w:ascii="Courier New" w:cs="Courier New" w:eastAsia="Courier New" w:hAnsi="Courier New"/>
          <w:b/>
          <w:bCs/>
          <w:color w:val="1B2A4A"/>
          <w:sz w:val="18"/>
          <w:szCs w:val="18"/>
        </w:rPr>
        <w:t xml:space="preserve">§3.2.f  </w:t>
      </w:r>
      <w:r>
        <w:rPr>
          <w:rFonts w:ascii="Garamond" w:cs="Garamond" w:eastAsia="Garamond" w:hAnsi="Garamond"/>
          <w:b/>
          <w:bCs/>
          <w:i w:val="false"/>
          <w:iCs w:val="false"/>
          <w:color w:val="1B2A4A"/>
          <w:sz w:val="22"/>
          <w:szCs w:val="22"/>
        </w:rPr>
        <w:t xml:space="preserve">Senate Electoral Functions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administers the Presidential election in the absence of a functioning Electoral Commission — as certified by the JI following a finding that the EC cannot administer a constitutionally valid election — presides over contested electoral proceedings, and certifies Presidential election results. A direct role in executive accountability that does not depend on the House.</w:t>
      </w:r>
    </w:p>
    <w:p>
      <w:pPr>
        <w:spacing w:after="60" w:before="200"/>
        <w:ind w:left="431"/>
        <w:jc w:val="left"/>
      </w:pPr>
      <w:r>
        <w:rPr>
          <w:rFonts w:ascii="Courier New" w:cs="Courier New" w:eastAsia="Courier New" w:hAnsi="Courier New"/>
          <w:b/>
          <w:bCs/>
          <w:color w:val="1B2A4A"/>
          <w:sz w:val="18"/>
          <w:szCs w:val="18"/>
        </w:rPr>
        <w:t xml:space="preserve">§3.2.g  </w:t>
      </w:r>
      <w:r>
        <w:rPr>
          <w:rFonts w:ascii="Garamond" w:cs="Garamond" w:eastAsia="Garamond" w:hAnsi="Garamond"/>
          <w:b/>
          <w:bCs/>
          <w:i w:val="false"/>
          <w:iCs w:val="false"/>
          <w:color w:val="1B2A4A"/>
          <w:sz w:val="22"/>
          <w:szCs w:val="22"/>
        </w:rPr>
        <w:t xml:space="preserve">Senate Internal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431"/>
        <w:jc w:val="left"/>
      </w:pPr>
      <w:r>
        <w:rPr>
          <w:rFonts w:ascii="Courier New" w:cs="Courier New" w:eastAsia="Courier New" w:hAnsi="Courier New"/>
          <w:b/>
          <w:bCs/>
          <w:color w:val="1B2A4A"/>
          <w:sz w:val="18"/>
          <w:szCs w:val="18"/>
        </w:rPr>
        <w:t xml:space="preserve">§3.2.h  </w:t>
      </w:r>
      <w:r>
        <w:rPr>
          <w:rFonts w:ascii="Garamond" w:cs="Garamond" w:eastAsia="Garamond" w:hAnsi="Garamond"/>
          <w:b/>
          <w:bCs/>
          <w:i w:val="false"/>
          <w:iCs w:val="false"/>
          <w:color w:val="1B2A4A"/>
          <w:sz w:val="22"/>
          <w:szCs w:val="22"/>
        </w:rPr>
        <w:t xml:space="preserve">Senate Committees</w:t>
      </w:r>
    </w:p>
    <w:p>
      <w:pPr>
        <w:spacing w:after="120" w:before="0"/>
        <w:ind w:left="431"/>
        <w:jc w:val="both"/>
      </w:pPr>
      <w:r>
        <w:rPr>
          <w:rFonts w:ascii="Garamond" w:cs="Garamond" w:eastAsia="Garamond" w:hAnsi="Garamond"/>
          <w:b w:val="false"/>
          <w:bCs w:val="false"/>
          <w:i w:val="false"/>
          <w:iCs w:val="false"/>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431"/>
        <w:jc w:val="left"/>
      </w:pPr>
      <w:r>
        <w:rPr>
          <w:rFonts w:ascii="Courier New" w:cs="Courier New" w:eastAsia="Courier New" w:hAnsi="Courier New"/>
          <w:b/>
          <w:bCs/>
          <w:color w:val="1B2A4A"/>
          <w:sz w:val="18"/>
          <w:szCs w:val="18"/>
        </w:rPr>
        <w:t xml:space="preserve">§3.2.i  </w:t>
      </w:r>
      <w:r>
        <w:rPr>
          <w:rFonts w:ascii="Garamond" w:cs="Garamond" w:eastAsia="Garamond" w:hAnsi="Garamond"/>
          <w:b/>
          <w:bCs/>
          <w:i w:val="false"/>
          <w:iCs w:val="false"/>
          <w:color w:val="1B2A4A"/>
          <w:sz w:val="22"/>
          <w:szCs w:val="22"/>
        </w:rPr>
        <w:t xml:space="preserve">Senate Amendment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431"/>
        <w:jc w:val="left"/>
      </w:pPr>
      <w:r>
        <w:rPr>
          <w:rFonts w:ascii="Courier New" w:cs="Courier New" w:eastAsia="Courier New" w:hAnsi="Courier New"/>
          <w:b/>
          <w:bCs/>
          <w:color w:val="1B2A4A"/>
          <w:sz w:val="18"/>
          <w:szCs w:val="18"/>
        </w:rPr>
        <w:t xml:space="preserve">§3.2.j  </w:t>
      </w:r>
      <w:r>
        <w:rPr>
          <w:rFonts w:ascii="Garamond" w:cs="Garamond" w:eastAsia="Garamond" w:hAnsi="Garamond"/>
          <w:b/>
          <w:bCs/>
          <w:i w:val="false"/>
          <w:iCs w:val="false"/>
          <w:color w:val="1B2A4A"/>
          <w:sz w:val="22"/>
          <w:szCs w:val="22"/>
        </w:rPr>
        <w:t xml:space="preserve">Senate Speaker Role Limit</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become law by absolute majority of the full seated membership of both chambers; higher thresholds apply as specified.</w:t>
      </w:r>
    </w:p>
    <w:p>
      <w:pPr>
        <w:spacing w:after="60" w:before="200"/>
        <w:ind w:left="431"/>
        <w:jc w:val="left"/>
      </w:pPr>
      <w:r>
        <w:rPr>
          <w:rFonts w:ascii="Courier New" w:cs="Courier New" w:eastAsia="Courier New" w:hAnsi="Courier New"/>
          <w:b/>
          <w:bCs/>
          <w:color w:val="1B2A4A"/>
          <w:sz w:val="18"/>
          <w:szCs w:val="18"/>
        </w:rPr>
        <w:t xml:space="preserve">§3.3.a  </w:t>
      </w:r>
      <w:r>
        <w:rPr>
          <w:rFonts w:ascii="Garamond" w:cs="Garamond" w:eastAsia="Garamond" w:hAnsi="Garamond"/>
          <w:b/>
          <w:bCs/>
          <w:i w:val="false"/>
          <w:iCs w:val="false"/>
          <w:color w:val="1B2A4A"/>
          <w:sz w:val="22"/>
          <w:szCs w:val="22"/>
        </w:rPr>
        <w:t xml:space="preserve">Standard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431"/>
        <w:jc w:val="left"/>
      </w:pPr>
      <w:r>
        <w:rPr>
          <w:rFonts w:ascii="Courier New" w:cs="Courier New" w:eastAsia="Courier New" w:hAnsi="Courier New"/>
          <w:b/>
          <w:bCs/>
          <w:color w:val="1B2A4A"/>
          <w:sz w:val="18"/>
          <w:szCs w:val="18"/>
        </w:rPr>
        <w:t xml:space="preserve">§3.3.b  </w:t>
      </w:r>
      <w:r>
        <w:rPr>
          <w:rFonts w:ascii="Garamond" w:cs="Garamond" w:eastAsia="Garamond" w:hAnsi="Garamond"/>
          <w:b/>
          <w:bCs/>
          <w:i w:val="false"/>
          <w:iCs w:val="false"/>
          <w:color w:val="1B2A4A"/>
          <w:sz w:val="22"/>
          <w:szCs w:val="22"/>
        </w:rPr>
        <w:t xml:space="preserve">Presidential Veto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431"/>
        <w:jc w:val="left"/>
      </w:pPr>
      <w:r>
        <w:rPr>
          <w:rFonts w:ascii="Courier New" w:cs="Courier New" w:eastAsia="Courier New" w:hAnsi="Courier New"/>
          <w:b/>
          <w:bCs/>
          <w:color w:val="1B2A4A"/>
          <w:sz w:val="18"/>
          <w:szCs w:val="18"/>
        </w:rPr>
        <w:t xml:space="preserve">§3.3.c  </w:t>
      </w:r>
      <w:r>
        <w:rPr>
          <w:rFonts w:ascii="Garamond" w:cs="Garamond" w:eastAsia="Garamond" w:hAnsi="Garamond"/>
          <w:b/>
          <w:bCs/>
          <w:i w:val="false"/>
          <w:iCs w:val="false"/>
          <w:color w:val="1B2A4A"/>
          <w:sz w:val="22"/>
          <w:szCs w:val="22"/>
        </w:rPr>
        <w:t xml:space="preserve">Record System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431"/>
        <w:jc w:val="left"/>
      </w:pPr>
      <w:r>
        <w:rPr>
          <w:rFonts w:ascii="Courier New" w:cs="Courier New" w:eastAsia="Courier New" w:hAnsi="Courier New"/>
          <w:b/>
          <w:bCs/>
          <w:color w:val="1B2A4A"/>
          <w:sz w:val="18"/>
          <w:szCs w:val="18"/>
        </w:rPr>
        <w:t xml:space="preserve">§3.3.d  </w:t>
      </w:r>
      <w:r>
        <w:rPr>
          <w:rFonts w:ascii="Garamond" w:cs="Garamond" w:eastAsia="Garamond" w:hAnsi="Garamond"/>
          <w:b/>
          <w:bCs/>
          <w:i w:val="false"/>
          <w:iCs w:val="false"/>
          <w:color w:val="1B2A4A"/>
          <w:sz w:val="22"/>
          <w:szCs w:val="22"/>
        </w:rPr>
        <w:t xml:space="preserve">Legislative Mandate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following each census, subject to compliance review by the Legislative Inspectorate against the criteria established in §3.4.a. Where a State fails repeated review, the Electoral Commission draws an interim compliant map under §3.4.b pending State compliance. A State may request drawing consulting from the EC at any point in the redistricting process; such consulting is advisory and does not transfer the State's map-drawing responsibility to the EC. Territorial district maps are drawn by the Electoral Commission under §3.4.c, subject to the same §3.4.a criteria and LI compliance review. District maps are drawn after each census, every ten years. Emergency redistricting may occur if a State's population changes significantly between census cycles. A State may not redistrict more than once per census cycle without LI approval.</w:t>
      </w:r>
    </w:p>
    <w:p>
      <w:pPr>
        <w:spacing w:after="60" w:before="200"/>
        <w:ind w:left="431"/>
        <w:jc w:val="left"/>
      </w:pPr>
      <w:r>
        <w:rPr>
          <w:rFonts w:ascii="Courier New" w:cs="Courier New" w:eastAsia="Courier New" w:hAnsi="Courier New"/>
          <w:b/>
          <w:bCs/>
          <w:color w:val="1B2A4A"/>
          <w:sz w:val="18"/>
          <w:szCs w:val="18"/>
        </w:rPr>
        <w:t xml:space="preserve">§3.4.a  </w:t>
      </w:r>
      <w:r>
        <w:rPr>
          <w:rFonts w:ascii="Garamond" w:cs="Garamond" w:eastAsia="Garamond" w:hAnsi="Garamond"/>
          <w:b/>
          <w:bCs/>
          <w:i w:val="false"/>
          <w:iCs w:val="false"/>
          <w:color w:val="1B2A4A"/>
          <w:sz w:val="22"/>
          <w:szCs w:val="22"/>
        </w:rPr>
        <w:t xml:space="preserve">Criteria Hierarchy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431"/>
        <w:jc w:val="left"/>
      </w:pPr>
      <w:r>
        <w:rPr>
          <w:rFonts w:ascii="Courier New" w:cs="Courier New" w:eastAsia="Courier New" w:hAnsi="Courier New"/>
          <w:b/>
          <w:bCs/>
          <w:color w:val="1B2A4A"/>
          <w:sz w:val="18"/>
          <w:szCs w:val="18"/>
        </w:rPr>
        <w:t xml:space="preserve">§3.4.b  </w:t>
      </w:r>
      <w:r>
        <w:rPr>
          <w:rFonts w:ascii="Garamond" w:cs="Garamond" w:eastAsia="Garamond" w:hAnsi="Garamond"/>
          <w:b/>
          <w:bCs/>
          <w:i w:val="false"/>
          <w:iCs w:val="false"/>
          <w:color w:val="1B2A4A"/>
          <w:sz w:val="22"/>
          <w:szCs w:val="22"/>
        </w:rPr>
        <w:t xml:space="preserve">LI Redistricting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all State-drawn district maps within 60 days of submission and publishes its compliance findings to the NRS. If a map fails the §3.4.a criteria, the LI publishes specific findings and the State must submit a corrected map within 30 days. If the corrected map still fails, the Electoral Commission draws an interim compliant map using the §3.4.a criteria, which takes effect at the next election. The EC-drawn interim map is not permanent — it is retired automatically when the State submits and the LI certifies a compliant State-drawn map. Until then, elections proceed on the EC-drawn map. The LI cannot draw district maps; its role is compliance review only. The EC cannot impose a permanent map; its interim map creates an incentive for State compliance, not a substitute for it.</w:t>
      </w:r>
    </w:p>
    <w:p>
      <w:pPr>
        <w:spacing w:after="60" w:before="200"/>
        <w:ind w:left="431"/>
        <w:jc w:val="left"/>
      </w:pPr>
      <w:r>
        <w:rPr>
          <w:rFonts w:ascii="Courier New" w:cs="Courier New" w:eastAsia="Courier New" w:hAnsi="Courier New"/>
          <w:b/>
          <w:bCs/>
          <w:color w:val="1B2A4A"/>
          <w:sz w:val="18"/>
          <w:szCs w:val="18"/>
        </w:rPr>
        <w:t xml:space="preserve">§3.4.c  </w:t>
      </w:r>
      <w:r>
        <w:rPr>
          <w:rFonts w:ascii="Garamond" w:cs="Garamond" w:eastAsia="Garamond" w:hAnsi="Garamond"/>
          <w:b/>
          <w:bCs/>
          <w:i w:val="false"/>
          <w:iCs w:val="false"/>
          <w:color w:val="1B2A4A"/>
          <w:sz w:val="22"/>
          <w:szCs w:val="22"/>
        </w:rPr>
        <w:t xml:space="preserve">Territorial District Drawing</w:t>
      </w:r>
    </w:p>
    <w:p>
      <w:pPr>
        <w:spacing w:after="120" w:before="0"/>
        <w:ind w:left="431"/>
        <w:jc w:val="both"/>
      </w:pPr>
      <w:r>
        <w:rPr>
          <w:rFonts w:ascii="Garamond" w:cs="Garamond" w:eastAsia="Garamond" w:hAnsi="Garamond"/>
          <w:b w:val="false"/>
          <w:bCs w:val="false"/>
          <w:i w:val="false"/>
          <w:iCs w:val="false"/>
          <w:color w:val="2a2520"/>
          <w:sz w:val="22"/>
          <w:szCs w:val="22"/>
        </w:rPr>
        <w:t xml:space="preserve">For Territories holding one House seat, the Territory is a single at-large constituency — no district drawing is required and the EC administers the election directly through the NVS. For Territories holding two or more House seats, the Electoral Commission draws district boundaries following each census using the criteria established in §3.4.a. The EC publishes a draft map to the NRS and opens a 60-day public comment period during which the Territory's governing council may submit formal written objections. The EC must respond in writing to each formal objection before publishing a final proposed map. The LI then reviews the final proposed map under §3.4.a standards and publishes its compliance findings to the NRS within 30 days. If the LI finds criteria violations, the EC must revise and republish within 30 days; the LI reviews the revision within 14 days. A map that passes LI review is certified and takes effect at the next general election. The EC administers all Territorial House elections through the NVS on the same schedule as State elections.</w:t>
      </w:r>
    </w:p>
    <w:p>
      <w:pPr>
        <w:spacing w:after="60" w:before="200"/>
        <w:ind w:left="431"/>
        <w:jc w:val="left"/>
      </w:pPr>
      <w:r>
        <w:rPr>
          <w:rFonts w:ascii="Courier New" w:cs="Courier New" w:eastAsia="Courier New" w:hAnsi="Courier New"/>
          <w:b/>
          <w:bCs/>
          <w:color w:val="1B2A4A"/>
          <w:sz w:val="18"/>
          <w:szCs w:val="18"/>
        </w:rPr>
        <w:t xml:space="preserve">§3.4.e  </w:t>
      </w:r>
      <w:r>
        <w:rPr>
          <w:rFonts w:ascii="Garamond" w:cs="Garamond" w:eastAsia="Garamond" w:hAnsi="Garamond"/>
          <w:b/>
          <w:bCs/>
          <w:i w:val="false"/>
          <w:iCs w:val="false"/>
          <w:color w:val="1B2A4A"/>
          <w:sz w:val="22"/>
          <w:szCs w:val="22"/>
        </w:rPr>
        <w:t xml:space="preserve">At-Large Seats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431"/>
        <w:jc w:val="left"/>
      </w:pPr>
      <w:r>
        <w:rPr>
          <w:rFonts w:ascii="Courier New" w:cs="Courier New" w:eastAsia="Courier New" w:hAnsi="Courier New"/>
          <w:b/>
          <w:bCs/>
          <w:color w:val="1B2A4A"/>
          <w:sz w:val="18"/>
          <w:szCs w:val="18"/>
        </w:rPr>
        <w:t xml:space="preserve">§3.4.f  </w:t>
      </w:r>
      <w:r>
        <w:rPr>
          <w:rFonts w:ascii="Garamond" w:cs="Garamond" w:eastAsia="Garamond" w:hAnsi="Garamond"/>
          <w:b/>
          <w:bCs/>
          <w:i w:val="false"/>
          <w:iCs w:val="false"/>
          <w:color w:val="1B2A4A"/>
          <w:sz w:val="22"/>
          <w:szCs w:val="22"/>
        </w:rPr>
        <w:t xml:space="preserve">District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House district seat falls vacant mid-term, the Electoral Commission administers a special election within 90 days. The replacement serves only the remainder of the original term. If fewer than 90 days remain in the term, the vacancy is not filled.</w:t>
      </w:r>
    </w:p>
    <w:p>
      <w:pPr>
        <w:spacing w:after="60" w:before="200"/>
        <w:ind w:left="431"/>
        <w:jc w:val="left"/>
      </w:pPr>
      <w:r>
        <w:rPr>
          <w:rFonts w:ascii="Courier New" w:cs="Courier New" w:eastAsia="Courier New" w:hAnsi="Courier New"/>
          <w:b/>
          <w:bCs/>
          <w:color w:val="1B2A4A"/>
          <w:sz w:val="18"/>
          <w:szCs w:val="18"/>
        </w:rPr>
        <w:t xml:space="preserve">§3.4.g  </w:t>
      </w:r>
      <w:r>
        <w:rPr>
          <w:rFonts w:ascii="Garamond" w:cs="Garamond" w:eastAsia="Garamond" w:hAnsi="Garamond"/>
          <w:b/>
          <w:bCs/>
          <w:i w:val="false"/>
          <w:iCs w:val="false"/>
          <w:color w:val="1B2A4A"/>
          <w:sz w:val="22"/>
          <w:szCs w:val="22"/>
        </w:rPr>
        <w:t xml:space="preserve">Redistricting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431"/>
        <w:jc w:val="left"/>
      </w:pPr>
      <w:r>
        <w:rPr>
          <w:rFonts w:ascii="Courier New" w:cs="Courier New" w:eastAsia="Courier New" w:hAnsi="Courier New"/>
          <w:b/>
          <w:bCs/>
          <w:color w:val="1B2A4A"/>
          <w:sz w:val="18"/>
          <w:szCs w:val="18"/>
        </w:rPr>
        <w:t xml:space="preserve">§3.4.h  </w:t>
      </w:r>
      <w:r>
        <w:rPr>
          <w:rFonts w:ascii="Garamond" w:cs="Garamond" w:eastAsia="Garamond" w:hAnsi="Garamond"/>
          <w:b/>
          <w:bCs/>
          <w:i w:val="false"/>
          <w:iCs w:val="false"/>
          <w:color w:val="1B2A4A"/>
          <w:sz w:val="22"/>
          <w:szCs w:val="22"/>
        </w:rPr>
        <w:t xml:space="preserve">Redistricting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House — Composition and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structured and administered as established in this section and §3.1.</w:t>
      </w:r>
    </w:p>
    <w:p>
      <w:pPr>
        <w:spacing w:after="60" w:before="200"/>
        <w:ind w:left="431"/>
        <w:jc w:val="left"/>
      </w:pPr>
      <w:r>
        <w:rPr>
          <w:rFonts w:ascii="Courier New" w:cs="Courier New" w:eastAsia="Courier New" w:hAnsi="Courier New"/>
          <w:b/>
          <w:bCs/>
          <w:color w:val="1B2A4A"/>
          <w:sz w:val="18"/>
          <w:szCs w:val="18"/>
        </w:rPr>
        <w:t xml:space="preserve">§3.5.a  </w:t>
      </w:r>
      <w:r>
        <w:rPr>
          <w:rFonts w:ascii="Garamond" w:cs="Garamond" w:eastAsia="Garamond" w:hAnsi="Garamond"/>
          <w:b/>
          <w:bCs/>
          <w:i w:val="false"/>
          <w:iCs w:val="false"/>
          <w:color w:val="1B2A4A"/>
          <w:sz w:val="22"/>
          <w:szCs w:val="22"/>
        </w:rPr>
        <w:t xml:space="preserve">House Membership Formula</w:t>
      </w:r>
    </w:p>
    <w:p>
      <w:pPr>
        <w:spacing w:after="120" w:before="0"/>
        <w:ind w:left="431"/>
        <w:jc w:val="both"/>
      </w:pPr>
      <w:r>
        <w:rPr>
          <w:rFonts w:ascii="Garamond" w:cs="Garamond" w:eastAsia="Garamond" w:hAnsi="Garamond"/>
          <w:b w:val="false"/>
          <w:bCs w:val="false"/>
          <w:i w:val="false"/>
          <w:iCs w:val="false"/>
          <w:color w:val="2a2520"/>
          <w:sz w:val="22"/>
          <w:szCs w:val="22"/>
        </w:rPr>
        <w:t xml:space="preserve">Seat allocation follows the Webster method defined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431"/>
        <w:jc w:val="left"/>
      </w:pPr>
      <w:r>
        <w:rPr>
          <w:rFonts w:ascii="Courier New" w:cs="Courier New" w:eastAsia="Courier New" w:hAnsi="Courier New"/>
          <w:b/>
          <w:bCs/>
          <w:color w:val="1B2A4A"/>
          <w:sz w:val="18"/>
          <w:szCs w:val="18"/>
        </w:rPr>
        <w:t xml:space="preserve">§3.5.b  </w:t>
      </w:r>
      <w:r>
        <w:rPr>
          <w:rFonts w:ascii="Garamond" w:cs="Garamond" w:eastAsia="Garamond" w:hAnsi="Garamond"/>
          <w:b/>
          <w:bCs/>
          <w:i w:val="false"/>
          <w:iCs w:val="false"/>
          <w:color w:val="1B2A4A"/>
          <w:sz w:val="22"/>
          <w:szCs w:val="22"/>
        </w:rPr>
        <w:t xml:space="preserve">House Speaker</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ind w:left="431"/>
        <w:jc w:val="left"/>
      </w:pPr>
      <w:r>
        <w:rPr>
          <w:rFonts w:ascii="Courier New" w:cs="Courier New" w:eastAsia="Courier New" w:hAnsi="Courier New"/>
          <w:b/>
          <w:bCs/>
          <w:color w:val="1B2A4A"/>
          <w:sz w:val="18"/>
          <w:szCs w:val="18"/>
        </w:rPr>
        <w:t xml:space="preserve">§3.5.d  </w:t>
      </w:r>
      <w:r>
        <w:rPr>
          <w:rFonts w:ascii="Garamond" w:cs="Garamond" w:eastAsia="Garamond" w:hAnsi="Garamond"/>
          <w:b/>
          <w:bCs/>
          <w:i w:val="false"/>
          <w:iCs w:val="false"/>
          <w:color w:val="1B2A4A"/>
          <w:sz w:val="22"/>
          <w:szCs w:val="22"/>
        </w:rPr>
        <w:t xml:space="preserve">House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Legislative Oversight and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operates under continuous Inspectorate oversight — the Inspectorates publish findings but do not direct legislative outcomes.</w:t>
      </w:r>
    </w:p>
    <w:p>
      <w:pPr>
        <w:spacing w:after="60" w:before="200"/>
        <w:ind w:left="431"/>
        <w:jc w:val="left"/>
      </w:pPr>
      <w:r>
        <w:rPr>
          <w:rFonts w:ascii="Courier New" w:cs="Courier New" w:eastAsia="Courier New" w:hAnsi="Courier New"/>
          <w:b/>
          <w:bCs/>
          <w:color w:val="1B2A4A"/>
          <w:sz w:val="18"/>
          <w:szCs w:val="18"/>
        </w:rPr>
        <w:t xml:space="preserve">§3.6.a  </w:t>
      </w:r>
      <w:r>
        <w:rPr>
          <w:rFonts w:ascii="Garamond" w:cs="Garamond" w:eastAsia="Garamond" w:hAnsi="Garamond"/>
          <w:b/>
          <w:bCs/>
          <w:i w:val="false"/>
          <w:iCs w:val="false"/>
          <w:color w:val="1B2A4A"/>
          <w:sz w:val="22"/>
          <w:szCs w:val="22"/>
        </w:rPr>
        <w:t xml:space="preserve">Inspectorate Access to Legislative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431"/>
        <w:jc w:val="left"/>
      </w:pPr>
      <w:r>
        <w:rPr>
          <w:rFonts w:ascii="Courier New" w:cs="Courier New" w:eastAsia="Courier New" w:hAnsi="Courier New"/>
          <w:b/>
          <w:bCs/>
          <w:color w:val="1B2A4A"/>
          <w:sz w:val="18"/>
          <w:szCs w:val="18"/>
        </w:rPr>
        <w:t xml:space="preserve">§3.6.b  </w:t>
      </w:r>
      <w:r>
        <w:rPr>
          <w:rFonts w:ascii="Garamond" w:cs="Garamond" w:eastAsia="Garamond" w:hAnsi="Garamond"/>
          <w:b/>
          <w:bCs/>
          <w:i w:val="false"/>
          <w:iCs w:val="false"/>
          <w:color w:val="1B2A4A"/>
          <w:sz w:val="22"/>
          <w:szCs w:val="22"/>
        </w:rPr>
        <w:t xml:space="preserve">LI Pre-Passage Constitutional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ind w:left="431"/>
        <w:jc w:val="left"/>
      </w:pPr>
      <w:r>
        <w:rPr>
          <w:rFonts w:ascii="Courier New" w:cs="Courier New" w:eastAsia="Courier New" w:hAnsi="Courier New"/>
          <w:b/>
          <w:bCs/>
          <w:color w:val="1B2A4A"/>
          <w:sz w:val="18"/>
          <w:szCs w:val="18"/>
        </w:rPr>
        <w:t xml:space="preserve">§3.6.c  </w:t>
      </w:r>
      <w:r>
        <w:rPr>
          <w:rFonts w:ascii="Garamond" w:cs="Garamond" w:eastAsia="Garamond" w:hAnsi="Garamond"/>
          <w:b/>
          <w:bCs/>
          <w:i w:val="false"/>
          <w:iCs w:val="false"/>
          <w:color w:val="1B2A4A"/>
          <w:sz w:val="22"/>
          <w:szCs w:val="22"/>
        </w:rPr>
        <w:t xml:space="preserve">Committee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431"/>
        <w:jc w:val="left"/>
      </w:pPr>
      <w:r>
        <w:rPr>
          <w:rFonts w:ascii="Courier New" w:cs="Courier New" w:eastAsia="Courier New" w:hAnsi="Courier New"/>
          <w:b/>
          <w:bCs/>
          <w:color w:val="1B2A4A"/>
          <w:sz w:val="18"/>
          <w:szCs w:val="18"/>
        </w:rPr>
        <w:t xml:space="preserve">§3.6.d  </w:t>
      </w:r>
      <w:r>
        <w:rPr>
          <w:rFonts w:ascii="Garamond" w:cs="Garamond" w:eastAsia="Garamond" w:hAnsi="Garamond"/>
          <w:b/>
          <w:bCs/>
          <w:i w:val="false"/>
          <w:iCs w:val="false"/>
          <w:color w:val="1B2A4A"/>
          <w:sz w:val="22"/>
          <w:szCs w:val="22"/>
        </w:rPr>
        <w:t xml:space="preserve">Joint Sessions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431"/>
        <w:jc w:val="left"/>
      </w:pPr>
      <w:r>
        <w:rPr>
          <w:rFonts w:ascii="Courier New" w:cs="Courier New" w:eastAsia="Courier New" w:hAnsi="Courier New"/>
          <w:b/>
          <w:bCs/>
          <w:color w:val="1B2A4A"/>
          <w:sz w:val="18"/>
          <w:szCs w:val="18"/>
        </w:rPr>
        <w:t xml:space="preserve">§3.6.e  </w:t>
      </w:r>
      <w:r>
        <w:rPr>
          <w:rFonts w:ascii="Garamond" w:cs="Garamond" w:eastAsia="Garamond" w:hAnsi="Garamond"/>
          <w:b/>
          <w:bCs/>
          <w:i w:val="false"/>
          <w:iCs w:val="false"/>
          <w:color w:val="1B2A4A"/>
          <w:sz w:val="22"/>
          <w:szCs w:val="22"/>
        </w:rPr>
        <w:t xml:space="preserve">Legislative Ethics and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431"/>
        <w:jc w:val="left"/>
      </w:pPr>
      <w:r>
        <w:rPr>
          <w:rFonts w:ascii="Courier New" w:cs="Courier New" w:eastAsia="Courier New" w:hAnsi="Courier New"/>
          <w:b/>
          <w:bCs/>
          <w:color w:val="1B2A4A"/>
          <w:sz w:val="18"/>
          <w:szCs w:val="18"/>
        </w:rPr>
        <w:t xml:space="preserve">§3.6.f  </w:t>
      </w:r>
      <w:r>
        <w:rPr>
          <w:rFonts w:ascii="Garamond" w:cs="Garamond" w:eastAsia="Garamond" w:hAnsi="Garamond"/>
          <w:b/>
          <w:bCs/>
          <w:i w:val="false"/>
          <w:iCs w:val="false"/>
          <w:color w:val="1B2A4A"/>
          <w:sz w:val="22"/>
          <w:szCs w:val="22"/>
        </w:rPr>
        <w:t xml:space="preserve">Legislative Privilege</w:t>
      </w:r>
    </w:p>
    <w:p>
      <w:pPr>
        <w:spacing w:after="120" w:before="0"/>
        <w:ind w:left="431"/>
        <w:jc w:val="both"/>
      </w:pPr>
      <w:r>
        <w:rPr>
          <w:rFonts w:ascii="Garamond" w:cs="Garamond" w:eastAsia="Garamond" w:hAnsi="Garamond"/>
          <w:b w:val="false"/>
          <w:bCs w:val="false"/>
          <w:i w:val="false"/>
          <w:iCs w:val="false"/>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Independent Statutory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431"/>
        <w:jc w:val="left"/>
      </w:pPr>
      <w:r>
        <w:rPr>
          <w:rFonts w:ascii="Courier New" w:cs="Courier New" w:eastAsia="Courier New" w:hAnsi="Courier New"/>
          <w:b/>
          <w:bCs/>
          <w:color w:val="1B2A4A"/>
          <w:sz w:val="18"/>
          <w:szCs w:val="18"/>
        </w:rPr>
        <w:t xml:space="preserve">§3.7.a  </w:t>
      </w:r>
      <w:r>
        <w:rPr>
          <w:rFonts w:ascii="Garamond" w:cs="Garamond" w:eastAsia="Garamond" w:hAnsi="Garamond"/>
          <w:b/>
          <w:bCs/>
          <w:i w:val="false"/>
          <w:iCs w:val="false"/>
          <w:color w:val="1B2A4A"/>
          <w:sz w:val="22"/>
          <w:szCs w:val="22"/>
        </w:rPr>
        <w:t xml:space="preserve">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ind w:left="431"/>
        <w:jc w:val="left"/>
      </w:pPr>
      <w:r>
        <w:rPr>
          <w:rFonts w:ascii="Courier New" w:cs="Courier New" w:eastAsia="Courier New" w:hAnsi="Courier New"/>
          <w:b/>
          <w:bCs/>
          <w:color w:val="1B2A4A"/>
          <w:sz w:val="18"/>
          <w:szCs w:val="18"/>
        </w:rPr>
        <w:t xml:space="preserve">§3.7.b  </w:t>
      </w:r>
      <w:r>
        <w:rPr>
          <w:rFonts w:ascii="Garamond" w:cs="Garamond" w:eastAsia="Garamond" w:hAnsi="Garamond"/>
          <w:b/>
          <w:bCs/>
          <w:i w:val="false"/>
          <w:iCs w:val="false"/>
          <w:color w:val="1B2A4A"/>
          <w:sz w:val="22"/>
          <w:szCs w:val="22"/>
        </w:rPr>
        <w:t xml:space="preserve">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431"/>
        <w:jc w:val="left"/>
      </w:pPr>
      <w:r>
        <w:rPr>
          <w:rFonts w:ascii="Courier New" w:cs="Courier New" w:eastAsia="Courier New" w:hAnsi="Courier New"/>
          <w:b/>
          <w:bCs/>
          <w:color w:val="1B2A4A"/>
          <w:sz w:val="18"/>
          <w:szCs w:val="18"/>
        </w:rPr>
        <w:t xml:space="preserve">§3.7.c  </w:t>
      </w:r>
      <w:r>
        <w:rPr>
          <w:rFonts w:ascii="Garamond" w:cs="Garamond" w:eastAsia="Garamond" w:hAnsi="Garamond"/>
          <w:b/>
          <w:bCs/>
          <w:i w:val="false"/>
          <w:iCs w:val="false"/>
          <w:color w:val="1B2A4A"/>
          <w:sz w:val="22"/>
          <w:szCs w:val="22"/>
        </w:rPr>
        <w:t xml:space="preserve">Senate Confirmation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431"/>
        <w:jc w:val="left"/>
      </w:pPr>
      <w:r>
        <w:rPr>
          <w:rFonts w:ascii="Courier New" w:cs="Courier New" w:eastAsia="Courier New" w:hAnsi="Courier New"/>
          <w:b/>
          <w:bCs/>
          <w:color w:val="1B2A4A"/>
          <w:sz w:val="18"/>
          <w:szCs w:val="18"/>
        </w:rPr>
        <w:t xml:space="preserve">§3.7.d  </w:t>
      </w:r>
      <w:r>
        <w:rPr>
          <w:rFonts w:ascii="Garamond" w:cs="Garamond" w:eastAsia="Garamond" w:hAnsi="Garamond"/>
          <w:b/>
          <w:bCs/>
          <w:i w:val="false"/>
          <w:iCs w:val="false"/>
          <w:color w:val="1B2A4A"/>
          <w:sz w:val="22"/>
          <w:szCs w:val="22"/>
        </w:rPr>
        <w:t xml:space="preserve">Removal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Removal requires a for-cause finding. The EI must publish a factual finding before any removal vote. Removal is by 2/3 of both chambers simultaneously. Neither executive may remove a statutory independent officer unilaterally.</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431"/>
        <w:jc w:val="left"/>
      </w:pPr>
      <w:r>
        <w:rPr>
          <w:rFonts w:ascii="Courier New" w:cs="Courier New" w:eastAsia="Courier New" w:hAnsi="Courier New"/>
          <w:b/>
          <w:bCs/>
          <w:color w:val="1B2A4A"/>
          <w:sz w:val="18"/>
          <w:szCs w:val="18"/>
        </w:rPr>
        <w:t xml:space="preserve">§3.8.a  </w:t>
      </w:r>
      <w:r>
        <w:rPr>
          <w:rFonts w:ascii="Garamond" w:cs="Garamond" w:eastAsia="Garamond" w:hAnsi="Garamond"/>
          <w:b/>
          <w:bCs/>
          <w:i w:val="false"/>
          <w:iCs w:val="false"/>
          <w:color w:val="1B2A4A"/>
          <w:sz w:val="22"/>
          <w:szCs w:val="22"/>
        </w:rPr>
        <w:t xml:space="preserve">Impeachment Inquiry</w:t>
      </w:r>
    </w:p>
    <w:p>
      <w:pPr>
        <w:spacing w:after="120" w:before="0"/>
        <w:ind w:left="431"/>
        <w:jc w:val="both"/>
      </w:pPr>
      <w:r>
        <w:rPr>
          <w:rFonts w:ascii="Garamond" w:cs="Garamond" w:eastAsia="Garamond" w:hAnsi="Garamond"/>
          <w:b w:val="false"/>
          <w:bCs w:val="false"/>
          <w:i w:val="false"/>
          <w:iCs w:val="false"/>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120 days after opening if no Articles of Impeachment are filed.</w:t>
      </w:r>
    </w:p>
    <w:p>
      <w:pPr>
        <w:spacing w:after="60" w:before="200"/>
        <w:ind w:left="431"/>
        <w:jc w:val="left"/>
      </w:pPr>
      <w:r>
        <w:rPr>
          <w:rFonts w:ascii="Courier New" w:cs="Courier New" w:eastAsia="Courier New" w:hAnsi="Courier New"/>
          <w:b/>
          <w:bCs/>
          <w:color w:val="1B2A4A"/>
          <w:sz w:val="18"/>
          <w:szCs w:val="18"/>
        </w:rPr>
        <w:t xml:space="preserve">§3.8.b  </w:t>
      </w:r>
      <w:r>
        <w:rPr>
          <w:rFonts w:ascii="Garamond" w:cs="Garamond" w:eastAsia="Garamond" w:hAnsi="Garamond"/>
          <w:b/>
          <w:bCs/>
          <w:i w:val="false"/>
          <w:iCs w:val="false"/>
          <w:color w:val="1B2A4A"/>
          <w:sz w:val="22"/>
          <w:szCs w:val="22"/>
        </w:rPr>
        <w:t xml:space="preserve">Articles of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431"/>
        <w:jc w:val="left"/>
      </w:pPr>
      <w:r>
        <w:rPr>
          <w:rFonts w:ascii="Courier New" w:cs="Courier New" w:eastAsia="Courier New" w:hAnsi="Courier New"/>
          <w:b/>
          <w:bCs/>
          <w:color w:val="1B2A4A"/>
          <w:sz w:val="18"/>
          <w:szCs w:val="18"/>
        </w:rPr>
        <w:t xml:space="preserve">§3.8.c  </w:t>
      </w:r>
      <w:r>
        <w:rPr>
          <w:rFonts w:ascii="Garamond" w:cs="Garamond" w:eastAsia="Garamond" w:hAnsi="Garamond"/>
          <w:b/>
          <w:bCs/>
          <w:i w:val="false"/>
          <w:iCs w:val="false"/>
          <w:color w:val="1B2A4A"/>
          <w:sz w:val="22"/>
          <w:szCs w:val="22"/>
        </w:rPr>
        <w:t xml:space="preserve">Senate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431"/>
        <w:jc w:val="left"/>
      </w:pPr>
      <w:r>
        <w:rPr>
          <w:rFonts w:ascii="Courier New" w:cs="Courier New" w:eastAsia="Courier New" w:hAnsi="Courier New"/>
          <w:b/>
          <w:bCs/>
          <w:color w:val="1B2A4A"/>
          <w:sz w:val="18"/>
          <w:szCs w:val="18"/>
        </w:rPr>
        <w:t xml:space="preserve">§3.8.d  </w:t>
      </w:r>
      <w:r>
        <w:rPr>
          <w:rFonts w:ascii="Garamond" w:cs="Garamond" w:eastAsia="Garamond" w:hAnsi="Garamond"/>
          <w:b/>
          <w:bCs/>
          <w:i w:val="false"/>
          <w:iCs w:val="false"/>
          <w:color w:val="1B2A4A"/>
          <w:sz w:val="22"/>
          <w:szCs w:val="22"/>
        </w:rPr>
        <w:t xml:space="preserve">Executive Continuity During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431"/>
        <w:jc w:val="left"/>
      </w:pPr>
      <w:r>
        <w:rPr>
          <w:rFonts w:ascii="Courier New" w:cs="Courier New" w:eastAsia="Courier New" w:hAnsi="Courier New"/>
          <w:b/>
          <w:bCs/>
          <w:color w:val="1B2A4A"/>
          <w:sz w:val="18"/>
          <w:szCs w:val="18"/>
        </w:rPr>
        <w:t xml:space="preserve">§4.1.a  </w:t>
      </w:r>
      <w:r>
        <w:rPr>
          <w:rFonts w:ascii="Garamond" w:cs="Garamond" w:eastAsia="Garamond" w:hAnsi="Garamond"/>
          <w:b/>
          <w:bCs/>
          <w:i w:val="false"/>
          <w:iCs w:val="false"/>
          <w:color w:val="1B2A4A"/>
          <w:sz w:val="22"/>
          <w:szCs w:val="22"/>
        </w:rPr>
        <w:t xml:space="preserve">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431"/>
        <w:jc w:val="left"/>
      </w:pPr>
      <w:r>
        <w:rPr>
          <w:rFonts w:ascii="Courier New" w:cs="Courier New" w:eastAsia="Courier New" w:hAnsi="Courier New"/>
          <w:b/>
          <w:bCs/>
          <w:color w:val="1B2A4A"/>
          <w:sz w:val="18"/>
          <w:szCs w:val="18"/>
        </w:rPr>
        <w:t xml:space="preserve">§4.1.b  </w:t>
      </w:r>
      <w:r>
        <w:rPr>
          <w:rFonts w:ascii="Garamond" w:cs="Garamond" w:eastAsia="Garamond" w:hAnsi="Garamond"/>
          <w:b/>
          <w:bCs/>
          <w:i w:val="false"/>
          <w:iCs w:val="false"/>
          <w:color w:val="1B2A4A"/>
          <w:sz w:val="22"/>
          <w:szCs w:val="22"/>
        </w:rPr>
        <w:t xml:space="preserve">Appointment of Inferior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within 90 days of a vacancy. The Senate confirms by a supermajority of 55–67% of full seated membership, as the Legislature defines by statute. Before the confirmation vote, the PM submits the nominee's disclosure record to the EI; the EI publishes its review before the vote. Where the PM fails to nominate within 90 days, the Senate may nominate directly. The confirmation period is prorated where nomination occurs late. No vacancy may remain unfilled beyond 180 days; Deemed Confirmation applies at that ceiling if no vote has been held.</w:t>
      </w:r>
    </w:p>
    <w:p>
      <w:pPr>
        <w:spacing w:after="60" w:before="200"/>
        <w:ind w:left="431"/>
        <w:jc w:val="left"/>
      </w:pPr>
      <w:r>
        <w:rPr>
          <w:rFonts w:ascii="Courier New" w:cs="Courier New" w:eastAsia="Courier New" w:hAnsi="Courier New"/>
          <w:b/>
          <w:bCs/>
          <w:color w:val="1B2A4A"/>
          <w:sz w:val="18"/>
          <w:szCs w:val="18"/>
        </w:rPr>
        <w:t xml:space="preserve">§4.1.c  </w:t>
      </w:r>
      <w:r>
        <w:rPr>
          <w:rFonts w:ascii="Garamond" w:cs="Garamond" w:eastAsia="Garamond" w:hAnsi="Garamond"/>
          <w:b/>
          <w:bCs/>
          <w:i w:val="false"/>
          <w:iCs w:val="false"/>
          <w:color w:val="1B2A4A"/>
          <w:sz w:val="22"/>
          <w:szCs w:val="22"/>
        </w:rPr>
        <w:t xml:space="preserve">Judicial Tenure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ind w:left="431"/>
        <w:jc w:val="left"/>
      </w:pPr>
      <w:r>
        <w:rPr>
          <w:rFonts w:ascii="Courier New" w:cs="Courier New" w:eastAsia="Courier New" w:hAnsi="Courier New"/>
          <w:b/>
          <w:bCs/>
          <w:color w:val="1B2A4A"/>
          <w:sz w:val="18"/>
          <w:szCs w:val="18"/>
        </w:rPr>
        <w:t xml:space="preserve">§4.1.d  </w:t>
      </w:r>
      <w:r>
        <w:rPr>
          <w:rFonts w:ascii="Garamond" w:cs="Garamond" w:eastAsia="Garamond" w:hAnsi="Garamond"/>
          <w:b/>
          <w:bCs/>
          <w:i w:val="false"/>
          <w:iCs w:val="false"/>
          <w:color w:val="1B2A4A"/>
          <w:sz w:val="22"/>
          <w:szCs w:val="22"/>
        </w:rPr>
        <w:t xml:space="preserve">Judicial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may be removed through 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Open-Candidacy Judicial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Supreme Court justices are elected by national ranked-choice vote from an open pool of registered candidates. No political branch nominates, appoints, or confirms SC justices. Three justices are elected every four years under a staggered class system; each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§4.2.a  </w:t>
      </w:r>
      <w:r>
        <w:rPr>
          <w:rFonts w:ascii="Garamond" w:cs="Garamond" w:eastAsia="Garamond" w:hAnsi="Garamond"/>
          <w:b/>
          <w:bCs/>
          <w:i w:val="false"/>
          <w:iCs w:val="false"/>
          <w:color w:val="1B2A4A"/>
          <w:sz w:val="22"/>
          <w:szCs w:val="22"/>
        </w:rPr>
        <w:t xml:space="preserve">Candidate 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ind w:left="431"/>
        <w:jc w:val="left"/>
      </w:pPr>
      <w:r>
        <w:rPr>
          <w:rFonts w:ascii="Courier New" w:cs="Courier New" w:eastAsia="Courier New" w:hAnsi="Courier New"/>
          <w:b/>
          <w:bCs/>
          <w:color w:val="1B2A4A"/>
          <w:sz w:val="18"/>
          <w:szCs w:val="18"/>
        </w:rPr>
        <w:t xml:space="preserve">§4.2.b  </w:t>
      </w:r>
      <w:r>
        <w:rPr>
          <w:rFonts w:ascii="Garamond" w:cs="Garamond" w:eastAsia="Garamond" w:hAnsi="Garamond"/>
          <w:b/>
          <w:bCs/>
          <w:i w:val="false"/>
          <w:iCs w:val="false"/>
          <w:color w:val="1B2A4A"/>
          <w:sz w:val="22"/>
          <w:szCs w:val="22"/>
        </w:rPr>
        <w:t xml:space="preserve">Judicial Selection Board</w:t>
      </w:r>
    </w:p>
    <w:p>
      <w:pPr>
        <w:spacing w:after="120" w:before="0"/>
        <w:ind w:left="431"/>
        <w:jc w:val="both"/>
      </w:pPr>
      <w:r>
        <w:rPr>
          <w:rFonts w:ascii="Garamond" w:cs="Garamond" w:eastAsia="Garamond" w:hAnsi="Garamond"/>
          <w:b w:val="false"/>
          <w:bCs w:val="false"/>
          <w:i w:val="false"/>
          <w:iCs w:val="false"/>
          <w:color w:val="2a2520"/>
          <w:sz w:val="22"/>
          <w:szCs w:val="22"/>
        </w:rPr>
        <w:t xml:space="preserve">Five senior judges (at least 10 years continuous service) chosen by lot by the JI from all eligible judges who are not themselves candidates. Advisory assessment of every candidate's judicial record, legal reasoning, and professional independence. Advisory only — no ballot access authority, no endorsement. Published no later than 60 days before the election.</w:t>
      </w:r>
    </w:p>
    <w:p>
      <w:pPr>
        <w:spacing w:after="60" w:before="200"/>
        <w:ind w:left="431"/>
        <w:jc w:val="left"/>
      </w:pPr>
      <w:r>
        <w:rPr>
          <w:rFonts w:ascii="Courier New" w:cs="Courier New" w:eastAsia="Courier New" w:hAnsi="Courier New"/>
          <w:b/>
          <w:bCs/>
          <w:color w:val="1B2A4A"/>
          <w:sz w:val="18"/>
          <w:szCs w:val="18"/>
        </w:rPr>
        <w:t xml:space="preserve">§4.2.c  </w:t>
      </w:r>
      <w:r>
        <w:rPr>
          <w:rFonts w:ascii="Garamond" w:cs="Garamond" w:eastAsia="Garamond" w:hAnsi="Garamond"/>
          <w:b/>
          <w:bCs/>
          <w:i w:val="false"/>
          <w:iCs w:val="false"/>
          <w:color w:val="1B2A4A"/>
          <w:sz w:val="22"/>
          <w:szCs w:val="22"/>
        </w:rPr>
        <w:t xml:space="preserve">Judicial Inspectorate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confirms that each candidate remains on the SC Candidate Registry and that no disqualifying change has occurred since Registry admission. Candidates who fail JI certification may appeal under §8.4.i.</w:t>
      </w:r>
    </w:p>
    <w:p>
      <w:pPr>
        <w:spacing w:after="60" w:before="200"/>
        <w:ind w:left="431"/>
        <w:jc w:val="left"/>
      </w:pPr>
      <w:r>
        <w:rPr>
          <w:rFonts w:ascii="Courier New" w:cs="Courier New" w:eastAsia="Courier New" w:hAnsi="Courier New"/>
          <w:b/>
          <w:bCs/>
          <w:color w:val="1B2A4A"/>
          <w:sz w:val="18"/>
          <w:szCs w:val="18"/>
        </w:rPr>
        <w:t xml:space="preserve">§4.2.d  </w:t>
      </w:r>
      <w:r>
        <w:rPr>
          <w:rFonts w:ascii="Garamond" w:cs="Garamond" w:eastAsia="Garamond" w:hAnsi="Garamond"/>
          <w:b/>
          <w:bCs/>
          <w:i w:val="false"/>
          <w:iCs w:val="false"/>
          <w:color w:val="1B2A4A"/>
          <w:sz w:val="22"/>
          <w:szCs w:val="22"/>
        </w:rPr>
        <w:t xml:space="preserve">Public 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RCV election administered by the Electoral Commission. All JI-certified candidates appear on the ballot. Winner achieves a national RCV majority. The EC certifies the result; the elected justice takes the Official Oath. Recorded on the NRS within 24 hours. From this moment, the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§4.2.e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vacancy triggers a special election within 180 days. The full open-candidacy process applies with compressed timelines: registration Day 30, EI review Day 60, Board assessment Day 90, JI certification Day 120, election Day 180. The replacement serves only the remainder of the original 12-year term — not a new full term.</w:t>
      </w:r>
    </w:p>
    <w:p>
      <w:pPr>
        <w:spacing w:after="60" w:before="200"/>
        <w:ind w:left="431"/>
        <w:jc w:val="left"/>
      </w:pPr>
      <w:r>
        <w:rPr>
          <w:rFonts w:ascii="Courier New" w:cs="Courier New" w:eastAsia="Courier New" w:hAnsi="Courier New"/>
          <w:b/>
          <w:bCs/>
          <w:color w:val="1B2A4A"/>
          <w:sz w:val="18"/>
          <w:szCs w:val="18"/>
        </w:rPr>
        <w:t xml:space="preserve">§4.2.f  </w:t>
      </w:r>
      <w:r>
        <w:rPr>
          <w:rFonts w:ascii="Garamond" w:cs="Garamond" w:eastAsia="Garamond" w:hAnsi="Garamond"/>
          <w:b/>
          <w:bCs/>
          <w:i w:val="false"/>
          <w:iCs w:val="false"/>
          <w:color w:val="1B2A4A"/>
          <w:sz w:val="22"/>
          <w:szCs w:val="22"/>
        </w:rPr>
        <w:t xml:space="preserve">Emergency Panel for Tier 1 Scope Challenges</w:t>
      </w:r>
    </w:p>
    <w:p>
      <w:pPr>
        <w:spacing w:after="120" w:before="0"/>
        <w:ind w:left="431"/>
        <w:jc w:val="both"/>
      </w:pPr>
      <w:r>
        <w:rPr>
          <w:rFonts w:ascii="Garamond" w:cs="Garamond" w:eastAsia="Garamond" w:hAnsi="Garamond"/>
          <w:b w:val="false"/>
          <w:bCs w:val="false"/>
          <w:i w:val="false"/>
          <w:iCs w:val="false"/>
          <w:color w:val="2a2520"/>
          <w:sz w:val="22"/>
          <w:szCs w:val="22"/>
        </w:rPr>
        <w:t xml:space="preserve">Four justices are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431"/>
        <w:jc w:val="left"/>
      </w:pPr>
      <w:r>
        <w:rPr>
          <w:rFonts w:ascii="Courier New" w:cs="Courier New" w:eastAsia="Courier New" w:hAnsi="Courier New"/>
          <w:b/>
          <w:bCs/>
          <w:color w:val="1B2A4A"/>
          <w:sz w:val="18"/>
          <w:szCs w:val="18"/>
        </w:rPr>
        <w:t xml:space="preserve">§4.2.g  </w:t>
      </w:r>
      <w:r>
        <w:rPr>
          <w:rFonts w:ascii="Garamond" w:cs="Garamond" w:eastAsia="Garamond" w:hAnsi="Garamond"/>
          <w:b/>
          <w:bCs/>
          <w:i w:val="false"/>
          <w:iCs w:val="false"/>
          <w:color w:val="1B2A4A"/>
          <w:sz w:val="22"/>
          <w:szCs w:val="22"/>
        </w:rPr>
        <w:t xml:space="preserve">Vacancy Operating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431"/>
        <w:jc w:val="left"/>
      </w:pPr>
      <w:r>
        <w:rPr>
          <w:rFonts w:ascii="Courier New" w:cs="Courier New" w:eastAsia="Courier New" w:hAnsi="Courier New"/>
          <w:b/>
          <w:bCs/>
          <w:color w:val="1B2A4A"/>
          <w:sz w:val="18"/>
          <w:szCs w:val="18"/>
        </w:rPr>
        <w:t xml:space="preserve">§4.2.h  </w:t>
      </w:r>
      <w:r>
        <w:rPr>
          <w:rFonts w:ascii="Garamond" w:cs="Garamond" w:eastAsia="Garamond" w:hAnsi="Garamond"/>
          <w:b/>
          <w:bCs/>
          <w:i w:val="false"/>
          <w:iCs w:val="false"/>
          <w:color w:val="1B2A4A"/>
          <w:sz w:val="22"/>
          <w:szCs w:val="22"/>
        </w:rPr>
        <w:t xml:space="preserve">Initial Class Assignment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At Phase 3, all nine seats are filled simultaneously, then assigned to three classes by public lot drawn by the JI. Class A: 4-year initial term. Class B: 8-year initial term. Class C: 12-year initial term. All subsequent terms: 12 years. The lot assignment is published to the NRS before any justice takes the oath. Three seats elected every 4 years thereafter.</w:t>
      </w:r>
    </w:p>
    <w:p>
      <w:pPr>
        <w:spacing w:after="60" w:before="200"/>
        <w:ind w:left="431"/>
        <w:jc w:val="left"/>
      </w:pPr>
      <w:r>
        <w:rPr>
          <w:rFonts w:ascii="Courier New" w:cs="Courier New" w:eastAsia="Courier New" w:hAnsi="Courier New"/>
          <w:b/>
          <w:bCs/>
          <w:color w:val="1B2A4A"/>
          <w:sz w:val="18"/>
          <w:szCs w:val="18"/>
        </w:rPr>
        <w:t xml:space="preserve">§4.2.i  </w:t>
      </w:r>
      <w:r>
        <w:rPr>
          <w:rFonts w:ascii="Garamond" w:cs="Garamond" w:eastAsia="Garamond" w:hAnsi="Garamond"/>
          <w:b/>
          <w:bCs/>
          <w:i w:val="false"/>
          <w:iCs w:val="false"/>
          <w:color w:val="1B2A4A"/>
          <w:sz w:val="22"/>
          <w:szCs w:val="22"/>
        </w:rPr>
        <w:t xml:space="preserve">Judicial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Judicial Independence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i w:val="false"/>
          <w:iCs w:val="false"/>
          <w:color w:val="1B2A4A"/>
          <w:sz w:val="22"/>
          <w:szCs w:val="22"/>
        </w:rPr>
        <w:t xml:space="preserve">Judicial Review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i w:val="false"/>
          <w:iCs w:val="false"/>
          <w:color w:val="1B2A4A"/>
          <w:sz w:val="22"/>
          <w:szCs w:val="22"/>
        </w:rPr>
        <w:t xml:space="preserve">Judicial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431"/>
        <w:jc w:val="left"/>
      </w:pPr>
      <w:r>
        <w:rPr>
          <w:rFonts w:ascii="Courier New" w:cs="Courier New" w:eastAsia="Courier New" w:hAnsi="Courier New"/>
          <w:b/>
          <w:bCs/>
          <w:color w:val="1B2A4A"/>
          <w:sz w:val="18"/>
          <w:szCs w:val="18"/>
        </w:rPr>
        <w:t xml:space="preserve">§4.3.c  </w:t>
      </w:r>
      <w:r>
        <w:rPr>
          <w:rFonts w:ascii="Garamond" w:cs="Garamond" w:eastAsia="Garamond" w:hAnsi="Garamond"/>
          <w:b/>
          <w:bCs/>
          <w:i w:val="false"/>
          <w:iCs w:val="false"/>
          <w:color w:val="1B2A4A"/>
          <w:sz w:val="22"/>
          <w:szCs w:val="22"/>
        </w:rPr>
        <w:t xml:space="preserve">Statutory Interpretation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431"/>
        <w:jc w:val="left"/>
      </w:pPr>
      <w:r>
        <w:rPr>
          <w:rFonts w:ascii="Courier New" w:cs="Courier New" w:eastAsia="Courier New" w:hAnsi="Courier New"/>
          <w:b/>
          <w:bCs/>
          <w:color w:val="1B2A4A"/>
          <w:sz w:val="18"/>
          <w:szCs w:val="18"/>
        </w:rPr>
        <w:t xml:space="preserve">§4.3.d  </w:t>
      </w:r>
      <w:r>
        <w:rPr>
          <w:rFonts w:ascii="Garamond" w:cs="Garamond" w:eastAsia="Garamond" w:hAnsi="Garamond"/>
          <w:b/>
          <w:bCs/>
          <w:i w:val="false"/>
          <w:iCs w:val="false"/>
          <w:color w:val="1B2A4A"/>
          <w:sz w:val="22"/>
          <w:szCs w:val="22"/>
        </w:rPr>
        <w:t xml:space="preserve">Original Jurisdiction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431"/>
        <w:jc w:val="left"/>
      </w:pPr>
      <w:r>
        <w:rPr>
          <w:rFonts w:ascii="Courier New" w:cs="Courier New" w:eastAsia="Courier New" w:hAnsi="Courier New"/>
          <w:b/>
          <w:bCs/>
          <w:color w:val="1B2A4A"/>
          <w:sz w:val="18"/>
          <w:szCs w:val="18"/>
        </w:rPr>
        <w:t xml:space="preserve">§4.3.e  </w:t>
      </w:r>
      <w:r>
        <w:rPr>
          <w:rFonts w:ascii="Garamond" w:cs="Garamond" w:eastAsia="Garamond" w:hAnsi="Garamond"/>
          <w:b/>
          <w:bCs/>
          <w:i w:val="false"/>
          <w:iCs w:val="false"/>
          <w:color w:val="1B2A4A"/>
          <w:sz w:val="22"/>
          <w:szCs w:val="22"/>
        </w:rPr>
        <w:t xml:space="preserve">Inspectorate Findings in Constitutional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ind w:left="431"/>
        <w:jc w:val="left"/>
      </w:pPr>
      <w:r>
        <w:rPr>
          <w:rFonts w:ascii="Courier New" w:cs="Courier New" w:eastAsia="Courier New" w:hAnsi="Courier New"/>
          <w:b/>
          <w:bCs/>
          <w:color w:val="1B2A4A"/>
          <w:sz w:val="18"/>
          <w:szCs w:val="18"/>
        </w:rPr>
        <w:t xml:space="preserve">§4.3.f  </w:t>
      </w:r>
      <w:r>
        <w:rPr>
          <w:rFonts w:ascii="Garamond" w:cs="Garamond" w:eastAsia="Garamond" w:hAnsi="Garamond"/>
          <w:b/>
          <w:bCs/>
          <w:i w:val="false"/>
          <w:iCs w:val="false"/>
          <w:color w:val="1B2A4A"/>
          <w:sz w:val="22"/>
          <w:szCs w:val="22"/>
        </w:rPr>
        <w:t xml:space="preserve">Organizational Standing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Judgment Recognition and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i w:val="false"/>
          <w:iCs w:val="false"/>
          <w:color w:val="1B2A4A"/>
          <w:sz w:val="22"/>
          <w:szCs w:val="22"/>
        </w:rPr>
        <w:t xml:space="preserve">Judicial Judgments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431"/>
        <w:jc w:val="left"/>
      </w:pPr>
      <w:r>
        <w:rPr>
          <w:rFonts w:ascii="Courier New" w:cs="Courier New" w:eastAsia="Courier New" w:hAnsi="Courier New"/>
          <w:b/>
          <w:bCs/>
          <w:color w:val="1B2A4A"/>
          <w:sz w:val="18"/>
          <w:szCs w:val="18"/>
        </w:rPr>
        <w:t xml:space="preserve">§4.4.b  </w:t>
      </w:r>
      <w:r>
        <w:rPr>
          <w:rFonts w:ascii="Garamond" w:cs="Garamond" w:eastAsia="Garamond" w:hAnsi="Garamond"/>
          <w:b/>
          <w:bCs/>
          <w:i w:val="false"/>
          <w:iCs w:val="false"/>
          <w:color w:val="1B2A4A"/>
          <w:sz w:val="22"/>
          <w:szCs w:val="22"/>
        </w:rPr>
        <w:t xml:space="preserve">NRS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431"/>
        <w:jc w:val="left"/>
      </w:pPr>
      <w:r>
        <w:rPr>
          <w:rFonts w:ascii="Courier New" w:cs="Courier New" w:eastAsia="Courier New" w:hAnsi="Courier New"/>
          <w:b/>
          <w:bCs/>
          <w:color w:val="1B2A4A"/>
          <w:sz w:val="18"/>
          <w:szCs w:val="18"/>
        </w:rPr>
        <w:t xml:space="preserve">§4.4.c  </w:t>
      </w:r>
      <w:r>
        <w:rPr>
          <w:rFonts w:ascii="Garamond" w:cs="Garamond" w:eastAsia="Garamond" w:hAnsi="Garamond"/>
          <w:b/>
          <w:bCs/>
          <w:i w:val="false"/>
          <w:iCs w:val="false"/>
          <w:color w:val="1B2A4A"/>
          <w:sz w:val="22"/>
          <w:szCs w:val="22"/>
        </w:rPr>
        <w:t xml:space="preserve">Public Acts and Official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Official records published to the NRS are self-authenticating — no re-certification is required for use in any legal or administrative proceeding. Professional licenses issued by any State or Territory receive recognition across all States and Territories. §1.13 governs any State departure from the recognition default.</w:t>
      </w:r>
    </w:p>
    <w:p>
      <w:pPr>
        <w:spacing w:after="60" w:before="200"/>
        <w:ind w:left="431"/>
        <w:jc w:val="left"/>
      </w:pPr>
      <w:r>
        <w:rPr>
          <w:rFonts w:ascii="Courier New" w:cs="Courier New" w:eastAsia="Courier New" w:hAnsi="Courier New"/>
          <w:b/>
          <w:bCs/>
          <w:color w:val="1B2A4A"/>
          <w:sz w:val="18"/>
          <w:szCs w:val="18"/>
        </w:rPr>
        <w:t xml:space="preserve">§4.4.d  </w:t>
      </w:r>
      <w:r>
        <w:rPr>
          <w:rFonts w:ascii="Garamond" w:cs="Garamond" w:eastAsia="Garamond" w:hAnsi="Garamond"/>
          <w:b/>
          <w:bCs/>
          <w:i w:val="false"/>
          <w:iCs w:val="false"/>
          <w:color w:val="1B2A4A"/>
          <w:sz w:val="22"/>
          <w:szCs w:val="22"/>
        </w:rPr>
        <w:t xml:space="preserve">Status Orders — Special Protections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431"/>
        <w:jc w:val="left"/>
      </w:pPr>
      <w:r>
        <w:rPr>
          <w:rFonts w:ascii="Courier New" w:cs="Courier New" w:eastAsia="Courier New" w:hAnsi="Courier New"/>
          <w:b/>
          <w:bCs/>
          <w:color w:val="1B2A4A"/>
          <w:sz w:val="18"/>
          <w:szCs w:val="18"/>
        </w:rPr>
        <w:t xml:space="preserve">§4.4.e  </w:t>
      </w:r>
      <w:r>
        <w:rPr>
          <w:rFonts w:ascii="Garamond" w:cs="Garamond" w:eastAsia="Garamond" w:hAnsi="Garamond"/>
          <w:b/>
          <w:bCs/>
          <w:i w:val="false"/>
          <w:iCs w:val="false"/>
          <w:color w:val="1B2A4A"/>
          <w:sz w:val="22"/>
          <w:szCs w:val="22"/>
        </w:rPr>
        <w:t xml:space="preserve">Non-Discrimination in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431"/>
        <w:jc w:val="left"/>
      </w:pPr>
      <w:r>
        <w:rPr>
          <w:rFonts w:ascii="Courier New" w:cs="Courier New" w:eastAsia="Courier New" w:hAnsi="Courier New"/>
          <w:b/>
          <w:bCs/>
          <w:color w:val="1B2A4A"/>
          <w:sz w:val="18"/>
          <w:szCs w:val="18"/>
        </w:rPr>
        <w:t xml:space="preserve">§4.4.f  </w:t>
      </w:r>
      <w:r>
        <w:rPr>
          <w:rFonts w:ascii="Garamond" w:cs="Garamond" w:eastAsia="Garamond" w:hAnsi="Garamond"/>
          <w:b/>
          <w:bCs/>
          <w:i w:val="false"/>
          <w:iCs w:val="false"/>
          <w:color w:val="1B2A4A"/>
          <w:sz w:val="22"/>
          <w:szCs w:val="22"/>
        </w:rPr>
        <w:t xml:space="preserve">Legislative Implementation Mandates</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Inherent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431"/>
        <w:jc w:val="left"/>
      </w:pPr>
      <w:r>
        <w:rPr>
          <w:rFonts w:ascii="Courier New" w:cs="Courier New" w:eastAsia="Courier New" w:hAnsi="Courier New"/>
          <w:b/>
          <w:bCs/>
          <w:color w:val="1B2A4A"/>
          <w:sz w:val="18"/>
          <w:szCs w:val="18"/>
        </w:rPr>
        <w:t xml:space="preserve">§5.1.a.i  </w:t>
      </w:r>
      <w:r>
        <w:rPr>
          <w:rFonts w:ascii="Garamond" w:cs="Garamond" w:eastAsia="Garamond" w:hAnsi="Garamond"/>
          <w:b/>
          <w:bCs/>
          <w:i w:val="false"/>
          <w:iCs w:val="false"/>
          <w:color w:val="1B2A4A"/>
          <w:sz w:val="22"/>
          <w:szCs w:val="22"/>
        </w:rPr>
        <w:t xml:space="preserve">Statelessness Prevention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on Republic territory to parents holding neither Citizen nor Legal Resident status is an Inhabitant from birth, with full Article I protections and BNF access.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Coming of Age</w:t>
      </w:r>
    </w:p>
    <w:p>
      <w:pPr>
        <w:spacing w:after="120" w:before="0"/>
        <w:ind w:left="431"/>
        <w:jc w:val="both"/>
      </w:pPr>
      <w:r>
        <w:rPr>
          <w:rFonts w:ascii="Garamond" w:cs="Garamond" w:eastAsia="Garamond" w:hAnsi="Garamond"/>
          <w:b w:val="false"/>
          <w:bCs w:val="false"/>
          <w:i w:val="false"/>
          <w:iCs w:val="false"/>
          <w:color w:val="2a2520"/>
          <w:sz w:val="22"/>
          <w:szCs w:val="22"/>
        </w:rPr>
        <w:t xml:space="preserve">Children of citizens are Inhabitants at birth with full Article I protections. Full citizenship rights — including the right to vote — activate at 18.</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five continuous years of residency, a clean legal record, and passing the Constitutional Logic Test.</w:t>
      </w:r>
    </w:p>
    <w:p>
      <w:pPr>
        <w:spacing w:after="60" w:before="200"/>
        <w:ind w:left="431"/>
        <w:jc w:val="left"/>
      </w:pPr>
      <w:r>
        <w:rPr>
          <w:rFonts w:ascii="Courier New" w:cs="Courier New" w:eastAsia="Courier New" w:hAnsi="Courier New"/>
          <w:b/>
          <w:bCs/>
          <w:color w:val="1B2A4A"/>
          <w:sz w:val="18"/>
          <w:szCs w:val="18"/>
        </w:rPr>
        <w:t xml:space="preserve">§5.1.d  </w:t>
      </w:r>
      <w:r>
        <w:rPr>
          <w:rFonts w:ascii="Garamond" w:cs="Garamond" w:eastAsia="Garamond" w:hAnsi="Garamond"/>
          <w:b/>
          <w:bCs/>
          <w:i w:val="false"/>
          <w:iCs w:val="false"/>
          <w:color w:val="1B2A4A"/>
          <w:sz w:val="22"/>
          <w:szCs w:val="22"/>
        </w:rPr>
        <w:t xml:space="preserve">National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through honorable completion of military or national service — a service path that runs parallel to the residency path.</w:t>
      </w:r>
    </w:p>
    <w:p>
      <w:pPr>
        <w:spacing w:after="60" w:before="200"/>
        <w:ind w:left="431"/>
        <w:jc w:val="left"/>
      </w:pPr>
      <w:r>
        <w:rPr>
          <w:rFonts w:ascii="Courier New" w:cs="Courier New" w:eastAsia="Courier New" w:hAnsi="Courier New"/>
          <w:b/>
          <w:bCs/>
          <w:color w:val="1B2A4A"/>
          <w:sz w:val="18"/>
          <w:szCs w:val="18"/>
        </w:rPr>
        <w:t xml:space="preserve">§5.1.e  </w:t>
      </w:r>
      <w:r>
        <w:rPr>
          <w:rFonts w:ascii="Garamond" w:cs="Garamond" w:eastAsia="Garamond" w:hAnsi="Garamond"/>
          <w:b/>
          <w:bCs/>
          <w:i w:val="false"/>
          <w:iCs w:val="false"/>
          <w:color w:val="1B2A4A"/>
          <w:sz w:val="22"/>
          <w:szCs w:val="22"/>
        </w:rPr>
        <w:t xml:space="preserve">Citizenship Irrevocability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431"/>
        <w:jc w:val="left"/>
      </w:pPr>
      <w:r>
        <w:rPr>
          <w:rFonts w:ascii="Courier New" w:cs="Courier New" w:eastAsia="Courier New" w:hAnsi="Courier New"/>
          <w:b/>
          <w:bCs/>
          <w:color w:val="1B2A4A"/>
          <w:sz w:val="18"/>
          <w:szCs w:val="18"/>
        </w:rPr>
        <w:t xml:space="preserve">§5.1.g  </w:t>
      </w:r>
      <w:r>
        <w:rPr>
          <w:rFonts w:ascii="Garamond" w:cs="Garamond" w:eastAsia="Garamond" w:hAnsi="Garamond"/>
          <w:b/>
          <w:bCs/>
          <w:i w:val="false"/>
          <w:iCs w:val="false"/>
          <w:color w:val="1B2A4A"/>
          <w:sz w:val="22"/>
          <w:szCs w:val="22"/>
        </w:rPr>
        <w:t xml:space="preserve">Accelerated Naturalization — Long-Term Pre-Ratification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resided continuously in the Republic's territory for five or more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must be completed within 90 days of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access BNF programs,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jc w:val="left"/>
      </w:pPr>
      <w:r>
        <w:rPr>
          <w:rFonts w:ascii="Courier New" w:cs="Courier New" w:eastAsia="Courier New" w:hAnsi="Courier New"/>
          <w:b/>
          <w:bCs/>
          <w:color w:val="1B2A4A"/>
          <w:sz w:val="18"/>
          <w:szCs w:val="18"/>
        </w:rPr>
        <w:t xml:space="preserve">§5.4  </w:t>
      </w:r>
      <w:r>
        <w:rPr>
          <w:rFonts w:ascii="Garamond" w:cs="Garamond" w:eastAsia="Garamond" w:hAnsi="Garamond"/>
          <w:b/>
          <w:bCs/>
          <w:i w:val="false"/>
          <w:iCs w:val="false"/>
          <w:color w:val="1B2A4A"/>
          <w:sz w:val="22"/>
          <w:szCs w:val="22"/>
        </w:rPr>
        <w:t xml:space="preserve">The Constitutional Logic Test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431"/>
        <w:jc w:val="left"/>
      </w:pPr>
      <w:r>
        <w:rPr>
          <w:rFonts w:ascii="Courier New" w:cs="Courier New" w:eastAsia="Courier New" w:hAnsi="Courier New"/>
          <w:b/>
          <w:bCs/>
          <w:color w:val="1B2A4A"/>
          <w:sz w:val="18"/>
          <w:szCs w:val="18"/>
        </w:rPr>
        <w:t xml:space="preserve">§5.4.a  </w:t>
      </w:r>
      <w:r>
        <w:rPr>
          <w:rFonts w:ascii="Garamond" w:cs="Garamond" w:eastAsia="Garamond" w:hAnsi="Garamond"/>
          <w:b/>
          <w:bCs/>
          <w:i w:val="false"/>
          <w:iCs w:val="false"/>
          <w:color w:val="1B2A4A"/>
          <w:sz w:val="22"/>
          <w:szCs w:val="22"/>
        </w:rPr>
        <w:t xml:space="preserve">Senate Authority over the CLT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431"/>
        <w:jc w:val="left"/>
      </w:pPr>
      <w:r>
        <w:rPr>
          <w:rFonts w:ascii="Courier New" w:cs="Courier New" w:eastAsia="Courier New" w:hAnsi="Courier New"/>
          <w:b/>
          <w:bCs/>
          <w:color w:val="1B2A4A"/>
          <w:sz w:val="18"/>
          <w:szCs w:val="18"/>
        </w:rPr>
        <w:t xml:space="preserve">§5.4.b  </w:t>
      </w:r>
      <w:r>
        <w:rPr>
          <w:rFonts w:ascii="Garamond" w:cs="Garamond" w:eastAsia="Garamond" w:hAnsi="Garamond"/>
          <w:b/>
          <w:bCs/>
          <w:i w:val="false"/>
          <w:iCs w:val="false"/>
          <w:color w:val="1B2A4A"/>
          <w:sz w:val="22"/>
          <w:szCs w:val="22"/>
        </w:rPr>
        <w:t xml:space="preserve">CLT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ind w:left="431"/>
        <w:jc w:val="left"/>
      </w:pPr>
      <w:r>
        <w:rPr>
          <w:rFonts w:ascii="Courier New" w:cs="Courier New" w:eastAsia="Courier New" w:hAnsi="Courier New"/>
          <w:b/>
          <w:bCs/>
          <w:color w:val="1B2A4A"/>
          <w:sz w:val="18"/>
          <w:szCs w:val="18"/>
        </w:rPr>
        <w:t xml:space="preserve">§5.4.c  </w:t>
      </w:r>
      <w:r>
        <w:rPr>
          <w:rFonts w:ascii="Garamond" w:cs="Garamond" w:eastAsia="Garamond" w:hAnsi="Garamond"/>
          <w:b/>
          <w:bCs/>
          <w:i w:val="false"/>
          <w:iCs w:val="false"/>
          <w:color w:val="1B2A4A"/>
          <w:sz w:val="22"/>
          <w:szCs w:val="22"/>
        </w:rPr>
        <w:t xml:space="preserve">Status Quo Maintenance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deadlock on CLT standard changes keeps the existing version in force.</w:t>
      </w:r>
    </w:p>
    <w:p>
      <w:pPr>
        <w:spacing w:after="60" w:before="200"/>
        <w:ind w:left="431"/>
        <w:jc w:val="left"/>
      </w:pPr>
      <w:r>
        <w:rPr>
          <w:rFonts w:ascii="Courier New" w:cs="Courier New" w:eastAsia="Courier New" w:hAnsi="Courier New"/>
          <w:b/>
          <w:bCs/>
          <w:color w:val="1B2A4A"/>
          <w:sz w:val="18"/>
          <w:szCs w:val="18"/>
        </w:rPr>
        <w:t xml:space="preserve">§5.5  </w:t>
      </w:r>
      <w:r>
        <w:rPr>
          <w:rFonts w:ascii="Garamond" w:cs="Garamond" w:eastAsia="Garamond" w:hAnsi="Garamond"/>
          <w:b/>
          <w:bCs/>
          <w:i w:val="false"/>
          <w:iCs w:val="false"/>
          <w:color w:val="1B2A4A"/>
          <w:sz w:val="22"/>
          <w:szCs w:val="22"/>
        </w:rPr>
        <w:t xml:space="preserve">Founding Generation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as founding members of the Republic, as established in §5.5.a.</w:t>
      </w:r>
    </w:p>
    <w:p>
      <w:pPr>
        <w:spacing w:after="60" w:before="200"/>
        <w:ind w:left="431"/>
        <w:jc w:val="left"/>
      </w:pPr>
      <w:r>
        <w:rPr>
          <w:rFonts w:ascii="Courier New" w:cs="Courier New" w:eastAsia="Courier New" w:hAnsi="Courier New"/>
          <w:b/>
          <w:bCs/>
          <w:color w:val="1B2A4A"/>
          <w:sz w:val="18"/>
          <w:szCs w:val="18"/>
        </w:rPr>
        <w:t xml:space="preserve">§5.5.a  </w:t>
      </w:r>
      <w:r>
        <w:rPr>
          <w:rFonts w:ascii="Garamond" w:cs="Garamond" w:eastAsia="Garamond" w:hAnsi="Garamond"/>
          <w:b/>
          <w:bCs/>
          <w:i w:val="false"/>
          <w:iCs w:val="false"/>
          <w:color w:val="1B2A4A"/>
          <w:sz w:val="22"/>
          <w:szCs w:val="22"/>
        </w:rPr>
        <w:t xml:space="preserve">Automatic Citizenship Grant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431"/>
        <w:jc w:val="left"/>
      </w:pPr>
      <w:r>
        <w:rPr>
          <w:rFonts w:ascii="Courier New" w:cs="Courier New" w:eastAsia="Courier New" w:hAnsi="Courier New"/>
          <w:b/>
          <w:bCs/>
          <w:color w:val="1B2A4A"/>
          <w:sz w:val="18"/>
          <w:szCs w:val="18"/>
        </w:rPr>
        <w:t xml:space="preserve">§6.1.a  </w:t>
      </w:r>
      <w:r>
        <w:rPr>
          <w:rFonts w:ascii="Garamond" w:cs="Garamond" w:eastAsia="Garamond" w:hAnsi="Garamond"/>
          <w:b/>
          <w:bCs/>
          <w:i w:val="false"/>
          <w:iCs w:val="false"/>
          <w:color w:val="1B2A4A"/>
          <w:sz w:val="22"/>
          <w:szCs w:val="22"/>
        </w:rPr>
        <w:t xml:space="preserve">Gate 1 — State Sponsorship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431"/>
        <w:jc w:val="left"/>
      </w:pPr>
      <w:r>
        <w:rPr>
          <w:rFonts w:ascii="Courier New" w:cs="Courier New" w:eastAsia="Courier New" w:hAnsi="Courier New"/>
          <w:b/>
          <w:bCs/>
          <w:color w:val="1B2A4A"/>
          <w:sz w:val="18"/>
          <w:szCs w:val="18"/>
        </w:rPr>
        <w:t xml:space="preserve">§6.1.b  </w:t>
      </w:r>
      <w:r>
        <w:rPr>
          <w:rFonts w:ascii="Garamond" w:cs="Garamond" w:eastAsia="Garamond" w:hAnsi="Garamond"/>
          <w:b/>
          <w:bCs/>
          <w:i w:val="false"/>
          <w:iCs w:val="false"/>
          <w:color w:val="1B2A4A"/>
          <w:sz w:val="22"/>
          <w:szCs w:val="22"/>
        </w:rPr>
        <w:t xml:space="preserve">Gate 2 — Federal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certification covers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431"/>
        <w:jc w:val="left"/>
      </w:pPr>
      <w:r>
        <w:rPr>
          <w:rFonts w:ascii="Courier New" w:cs="Courier New" w:eastAsia="Courier New" w:hAnsi="Courier New"/>
          <w:b/>
          <w:bCs/>
          <w:color w:val="1B2A4A"/>
          <w:sz w:val="18"/>
          <w:szCs w:val="18"/>
        </w:rPr>
        <w:t xml:space="preserve">§6.1.c  </w:t>
      </w:r>
      <w:r>
        <w:rPr>
          <w:rFonts w:ascii="Garamond" w:cs="Garamond" w:eastAsia="Garamond" w:hAnsi="Garamond"/>
          <w:b/>
          <w:bCs/>
          <w:i w:val="false"/>
          <w:iCs w:val="false"/>
          <w:color w:val="1B2A4A"/>
          <w:sz w:val="22"/>
          <w:szCs w:val="22"/>
        </w:rPr>
        <w:t xml:space="preserve">Presidential Role</w:t>
      </w:r>
    </w:p>
    <w:p>
      <w:pPr>
        <w:spacing w:after="120" w:before="0"/>
        <w:ind w:left="431"/>
        <w:jc w:val="both"/>
      </w:pPr>
      <w:r>
        <w:rPr>
          <w:rFonts w:ascii="Garamond" w:cs="Garamond" w:eastAsia="Garamond" w:hAnsi="Garamond"/>
          <w:b w:val="false"/>
          <w:bCs w:val="false"/>
          <w:i w:val="false"/>
          <w:iCs w:val="false"/>
          <w:color w:val="2a2520"/>
          <w:sz w:val="22"/>
          <w:szCs w:val="22"/>
        </w:rPr>
        <w:t xml:space="preserve">Once an applicant clears both gates, the President must ministerially issue residency credentials. Presidential interference with credential issuance is constitutionally prohibited.</w:t>
      </w:r>
    </w:p>
    <w:p>
      <w:pPr>
        <w:spacing w:after="60" w:before="200"/>
        <w:ind w:left="431"/>
        <w:jc w:val="left"/>
      </w:pPr>
      <w:r>
        <w:rPr>
          <w:rFonts w:ascii="Courier New" w:cs="Courier New" w:eastAsia="Courier New" w:hAnsi="Courier New"/>
          <w:b/>
          <w:bCs/>
          <w:color w:val="1B2A4A"/>
          <w:sz w:val="18"/>
          <w:szCs w:val="18"/>
        </w:rPr>
        <w:t xml:space="preserve">§6.1.d  </w:t>
      </w:r>
      <w:r>
        <w:rPr>
          <w:rFonts w:ascii="Garamond" w:cs="Garamond" w:eastAsia="Garamond" w:hAnsi="Garamond"/>
          <w:b/>
          <w:bCs/>
          <w:i w:val="false"/>
          <w:iCs w:val="false"/>
          <w:color w:val="1B2A4A"/>
          <w:sz w:val="22"/>
          <w:szCs w:val="22"/>
        </w:rPr>
        <w:t xml:space="preserve">Federal Sponsorship Category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Gate 2 Appeal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Judicial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 applicant may challenge a Gate 2 denial on three grounds: criterion outside the four certified categories; discriminatory application; or procedurally deficient process.</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National Security Denials — In-Camera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431"/>
        <w:jc w:val="left"/>
      </w:pPr>
      <w:r>
        <w:rPr>
          <w:rFonts w:ascii="Courier New" w:cs="Courier New" w:eastAsia="Courier New" w:hAnsi="Courier New"/>
          <w:b/>
          <w:bCs/>
          <w:color w:val="1B2A4A"/>
          <w:sz w:val="18"/>
          <w:szCs w:val="18"/>
        </w:rPr>
        <w:t xml:space="preserve">§6.4.a  </w:t>
      </w:r>
      <w:r>
        <w:rPr>
          <w:rFonts w:ascii="Garamond" w:cs="Garamond" w:eastAsia="Garamond" w:hAnsi="Garamond"/>
          <w:b/>
          <w:bCs/>
          <w:i w:val="false"/>
          <w:iCs w:val="false"/>
          <w:color w:val="1B2A4A"/>
          <w:sz w:val="22"/>
          <w:szCs w:val="22"/>
        </w:rPr>
        <w:t xml:space="preserve">Asylum Seekers as Inhabitants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files an asylum claim under §1.28 is an Inhabitant of the Republic from the date of filing — immediately entitled to BNF coverage and all Article I protections. Protection-first: the determination process does not happen in a rights-free zone.</w:t>
      </w:r>
    </w:p>
    <w:p>
      <w:pPr>
        <w:spacing w:after="60" w:before="200"/>
        <w:ind w:left="431"/>
        <w:jc w:val="left"/>
      </w:pPr>
      <w:r>
        <w:rPr>
          <w:rFonts w:ascii="Courier New" w:cs="Courier New" w:eastAsia="Courier New" w:hAnsi="Courier New"/>
          <w:b/>
          <w:bCs/>
          <w:color w:val="1B2A4A"/>
          <w:sz w:val="18"/>
          <w:szCs w:val="18"/>
        </w:rPr>
        <w:t xml:space="preserve">§6.4.b  </w:t>
      </w:r>
      <w:r>
        <w:rPr>
          <w:rFonts w:ascii="Garamond" w:cs="Garamond" w:eastAsia="Garamond" w:hAnsi="Garamond"/>
          <w:b/>
          <w:bCs/>
          <w:i w:val="false"/>
          <w:iCs w:val="false"/>
          <w:color w:val="1B2A4A"/>
          <w:sz w:val="22"/>
          <w:szCs w:val="22"/>
        </w:rPr>
        <w:t xml:space="preserve">Right to Determination and Protection During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431"/>
        <w:jc w:val="left"/>
      </w:pPr>
      <w:r>
        <w:rPr>
          <w:rFonts w:ascii="Courier New" w:cs="Courier New" w:eastAsia="Courier New" w:hAnsi="Courier New"/>
          <w:b/>
          <w:bCs/>
          <w:color w:val="1B2A4A"/>
          <w:sz w:val="18"/>
          <w:szCs w:val="18"/>
        </w:rPr>
        <w:t xml:space="preserve">§6.4.d  </w:t>
      </w:r>
      <w:r>
        <w:rPr>
          <w:rFonts w:ascii="Garamond" w:cs="Garamond" w:eastAsia="Garamond" w:hAnsi="Garamond"/>
          <w:b/>
          <w:bCs/>
          <w:i w:val="false"/>
          <w:iCs w:val="false"/>
          <w:color w:val="1B2A4A"/>
          <w:sz w:val="22"/>
          <w:szCs w:val="22"/>
        </w:rPr>
        <w:t xml:space="preserve">Non-Penalization for Irregular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Unexecutable Removal Orders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431"/>
        <w:jc w:val="left"/>
      </w:pPr>
      <w:r>
        <w:rPr>
          <w:rFonts w:ascii="Courier New" w:cs="Courier New" w:eastAsia="Courier New" w:hAnsi="Courier New"/>
          <w:b/>
          <w:bCs/>
          <w:color w:val="1B2A4A"/>
          <w:sz w:val="18"/>
          <w:szCs w:val="18"/>
        </w:rPr>
        <w:t xml:space="preserve">§6.4.f  </w:t>
      </w:r>
      <w:r>
        <w:rPr>
          <w:rFonts w:ascii="Garamond" w:cs="Garamond" w:eastAsia="Garamond" w:hAnsi="Garamond"/>
          <w:b/>
          <w:bCs/>
          <w:i w:val="false"/>
          <w:iCs w:val="false"/>
          <w:color w:val="1B2A4A"/>
          <w:sz w:val="22"/>
          <w:szCs w:val="22"/>
        </w:rPr>
        <w:t xml:space="preserve">Security and Criminal Protection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431"/>
        <w:jc w:val="left"/>
      </w:pPr>
      <w:r>
        <w:rPr>
          <w:rFonts w:ascii="Courier New" w:cs="Courier New" w:eastAsia="Courier New" w:hAnsi="Courier New"/>
          <w:b/>
          <w:bCs/>
          <w:color w:val="1B2A4A"/>
          <w:sz w:val="18"/>
          <w:szCs w:val="18"/>
        </w:rPr>
        <w:t xml:space="preserve">§6.4.g  </w:t>
      </w:r>
      <w:r>
        <w:rPr>
          <w:rFonts w:ascii="Garamond" w:cs="Garamond" w:eastAsia="Garamond" w:hAnsi="Garamond"/>
          <w:b/>
          <w:bCs/>
          <w:i w:val="false"/>
          <w:iCs w:val="false"/>
          <w:color w:val="1B2A4A"/>
          <w:sz w:val="22"/>
          <w:szCs w:val="22"/>
        </w:rPr>
        <w:t xml:space="preserve">Territory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Standard Elections — Ranked Choice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federal elections on National Election Day, every two years. All elections for House, Senate, SC, and Electoral Commission seats use Ranked Choice Voting — majority required, not plurality. No federal elections outside National Election Day except special elections for vacancies.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a two-component national system that combines a ranked-choice popular vote with regional representation. No candidate may win the presidency on the basis of either component alone.</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National Ranked-Choice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elections use Ranked Choice Voting conducted nationally. Votes transfer until one candidate holds a majority of active ballots nationwide. A candidate must achieve both a national majority and broad geographic distribution under the combined score mechanism in §7.2.b. The Electoral Commission administers the national election and certifies results under §7.2.e.</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The Combined Score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no candidate achieves a national RCV majority, the combined score determines the winner. The combined score weights national first-preference totals at 65% and regional performance across the presidential election regions at 35%. The regional component requires a winning candidate to demonstrate support distributed across the Republic's geographic breadth, not only its most densely populated areas. The formula is published by statute and administered by the Electoral Commission. Where two candidates finish within 0.5 percentage points of each other on the final combined score, a runoff is required under §7.2.f.</w:t>
      </w:r>
    </w:p>
    <w:p>
      <w:pPr>
        <w:spacing w:after="60" w:before="200"/>
        <w:ind w:left="431"/>
        <w:jc w:val="left"/>
      </w:pPr>
      <w:r>
        <w:rPr>
          <w:rFonts w:ascii="Courier New" w:cs="Courier New" w:eastAsia="Courier New" w:hAnsi="Courier New"/>
          <w:b/>
          <w:bCs/>
          <w:color w:val="1B2A4A"/>
          <w:sz w:val="18"/>
          <w:szCs w:val="18"/>
        </w:rPr>
        <w:t xml:space="preserve">§7.2.c  </w:t>
      </w:r>
      <w:r>
        <w:rPr>
          <w:rFonts w:ascii="Garamond" w:cs="Garamond" w:eastAsia="Garamond" w:hAnsi="Garamond"/>
          <w:b/>
          <w:bCs/>
          <w:i w:val="false"/>
          <w:iCs w:val="false"/>
          <w:color w:val="1B2A4A"/>
          <w:sz w:val="22"/>
          <w:szCs w:val="22"/>
        </w:rPr>
        <w:t xml:space="preserve">Presidential Election Regions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 regions provide the geographic breadth component of the combined score, ensuring that a winning candidate builds support across the Republic's geographic spread rather than only its population centres. The number of regions is defined by the Legislature by statute. Regions are drawn by the Regional Boundary Commission — a body constituted by lottery from State-maintained candidate pools — under the same criteria hierarchy that governs House redistricting. The Electoral Commission administers the election within the regions; it plays no role in drawing them.</w:t>
      </w:r>
    </w:p>
    <w:p>
      <w:pPr>
        <w:spacing w:after="60" w:before="200"/>
        <w:ind w:left="431"/>
        <w:jc w:val="left"/>
      </w:pPr>
      <w:r>
        <w:rPr>
          <w:rFonts w:ascii="Courier New" w:cs="Courier New" w:eastAsia="Courier New" w:hAnsi="Courier New"/>
          <w:b/>
          <w:bCs/>
          <w:color w:val="1B2A4A"/>
          <w:sz w:val="18"/>
          <w:szCs w:val="18"/>
        </w:rPr>
        <w:t xml:space="preserve">§7.2.c.i  </w:t>
      </w:r>
      <w:r>
        <w:rPr>
          <w:rFonts w:ascii="Garamond" w:cs="Garamond" w:eastAsia="Garamond" w:hAnsi="Garamond"/>
          <w:b/>
          <w:bCs/>
          <w:i w:val="false"/>
          <w:iCs w:val="false"/>
          <w:color w:val="1B2A4A"/>
          <w:sz w:val="22"/>
          <w:szCs w:val="22"/>
        </w:rPr>
        <w:t xml:space="preserve">State Candidate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Regional Boundary Pool for each redistricting cycle. Any person may be placed into a State's Pool through the State's own constitutional or statutory process, provided they meet three eligibility requirements at the time of entry: at least five continuous years of Republic citizenship; at least five continuous years of residency in the State whose Pool they are entering; and no current elected office. The LI certifies eligibility before entry — ministerially, not selectively. States determine through their own process how candidates are nominated from among those eligible. An entrant who takes elected office after entering the Pool is ineligible to be drawn for so long as they hold that office; if drawn while in elected office, the JI draws a replacement from the same State's eligible Pool. The LI maintains each State's Pool as a public record on the NRS. No State infrastructure is required — States need only submit names to the LI for certification and pay their drawn representative during commission service.</w:t>
      </w:r>
    </w:p>
    <w:p>
      <w:pPr>
        <w:spacing w:after="60" w:before="200"/>
        <w:ind w:left="431"/>
        <w:jc w:val="left"/>
      </w:pPr>
      <w:r>
        <w:rPr>
          <w:rFonts w:ascii="Courier New" w:cs="Courier New" w:eastAsia="Courier New" w:hAnsi="Courier New"/>
          <w:b/>
          <w:bCs/>
          <w:color w:val="1B2A4A"/>
          <w:sz w:val="18"/>
          <w:szCs w:val="18"/>
        </w:rPr>
        <w:t xml:space="preserve">§7.2.c.ii  </w:t>
      </w:r>
      <w:r>
        <w:rPr>
          <w:rFonts w:ascii="Garamond" w:cs="Garamond" w:eastAsia="Garamond" w:hAnsi="Garamond"/>
          <w:b/>
          <w:bCs/>
          <w:i w:val="false"/>
          <w:iCs w:val="false"/>
          <w:color w:val="1B2A4A"/>
          <w:sz w:val="22"/>
          <w:szCs w:val="22"/>
        </w:rPr>
        <w:t xml:space="preserve">Annual Addition Cap</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during the pool-building period. Unused addition slots do not carry forward; a year with fewer than five additions simply has fewer, and unused capacity is permanently lost. If a pool member dies, becomes permanently incapacitated, or declines to remain in the Pool, their position is extinguished and is not replaced. No additional entry may compensate for attrition. The Pool at any draw consists exactly of those entrants added in prior years who remain eligible.</w:t>
      </w:r>
    </w:p>
    <w:p>
      <w:pPr>
        <w:spacing w:after="60" w:before="200"/>
        <w:ind w:left="431"/>
        <w:jc w:val="left"/>
      </w:pPr>
      <w:r>
        <w:rPr>
          <w:rFonts w:ascii="Courier New" w:cs="Courier New" w:eastAsia="Courier New" w:hAnsi="Courier New"/>
          <w:b/>
          <w:bCs/>
          <w:color w:val="1B2A4A"/>
          <w:sz w:val="18"/>
          <w:szCs w:val="18"/>
        </w:rPr>
        <w:t xml:space="preserve">§7.2.c.iii  </w:t>
      </w:r>
      <w:r>
        <w:rPr>
          <w:rFonts w:ascii="Garamond" w:cs="Garamond" w:eastAsia="Garamond" w:hAnsi="Garamond"/>
          <w:b/>
          <w:bCs/>
          <w:i w:val="false"/>
          <w:iCs w:val="false"/>
          <w:color w:val="1B2A4A"/>
          <w:sz w:val="22"/>
          <w:szCs w:val="22"/>
        </w:rPr>
        <w:t xml:space="preserve">Pool Health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five eligible entrants, the LI publishes a Pool Health Notice — advisory, not compulsory. If a State's Pool is entirely empty at the time of the draw, that State's commission seat is vacant for that cycle. A State with a non-empty but small Pool proceeds to the draw from whatever eligible entrants it has.</w:t>
      </w:r>
    </w:p>
    <w:p>
      <w:pPr>
        <w:spacing w:after="60" w:before="200"/>
        <w:ind w:left="431"/>
        <w:jc w:val="left"/>
      </w:pPr>
      <w:r>
        <w:rPr>
          <w:rFonts w:ascii="Courier New" w:cs="Courier New" w:eastAsia="Courier New" w:hAnsi="Courier New"/>
          <w:b/>
          <w:bCs/>
          <w:color w:val="1B2A4A"/>
          <w:sz w:val="18"/>
          <w:szCs w:val="18"/>
        </w:rPr>
        <w:t xml:space="preserve">§7.2.c.iv  </w:t>
      </w:r>
      <w:r>
        <w:rPr>
          <w:rFonts w:ascii="Garamond" w:cs="Garamond" w:eastAsia="Garamond" w:hAnsi="Garamond"/>
          <w:b/>
          <w:bCs/>
          <w:i w:val="false"/>
          <w:iCs w:val="false"/>
          <w:color w:val="1B2A4A"/>
          <w:sz w:val="22"/>
          <w:szCs w:val="22"/>
        </w:rPr>
        <w:t xml:space="preserve">Commission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each decennial census, the JI constitutes the Regional Boundary Commission by public lottery, drawing one name by lot from each State's eligible Pool. The draw is held in a single public session, witnessed by a representative of each Inspectorate and three citizens selected by jury protocols, and certified jointly by all three Inspectorates in session. The session may be conducted remotely under parameters set by statute; remote participation does not affect the validity of the draw or the certification. The full draw is recorded to the NRS in real time. The commission is one member per State. No substitution or political appointment may replace a drawn member; replacements due to death, incapacitating illness, or disqualifying conflict of interest are drawn from the same State's eligible Pool by the same lottery procedure.</w:t>
      </w:r>
    </w:p>
    <w:p>
      <w:pPr>
        <w:spacing w:after="60" w:before="200"/>
        <w:ind w:left="431"/>
        <w:jc w:val="left"/>
      </w:pPr>
      <w:r>
        <w:rPr>
          <w:rFonts w:ascii="Courier New" w:cs="Courier New" w:eastAsia="Courier New" w:hAnsi="Courier New"/>
          <w:b/>
          <w:bCs/>
          <w:color w:val="1B2A4A"/>
          <w:sz w:val="18"/>
          <w:szCs w:val="18"/>
        </w:rPr>
        <w:t xml:space="preserve">§7.2.c.v  </w:t>
      </w:r>
      <w:r>
        <w:rPr>
          <w:rFonts w:ascii="Garamond" w:cs="Garamond" w:eastAsia="Garamond" w:hAnsi="Garamond"/>
          <w:b/>
          <w:bCs/>
          <w:i w:val="false"/>
          <w:iCs w:val="false"/>
          <w:color w:val="1B2A4A"/>
          <w:sz w:val="22"/>
          <w:szCs w:val="22"/>
        </w:rPr>
        <w:t xml:space="preserve">Commission Compensation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Commission members are compensated by their State for days in active session only. Service on the commission is temporary and session-based; no retainer, salary, or ongoing compensation is provided outside of active session days. The federal government reimburses each State for session compensation paid to its commission member. Reimbursement rates and procedures are established by statute. The identity of each drawn commission member and their days in session are published to the NRS.</w:t>
      </w:r>
    </w:p>
    <w:p>
      <w:pPr>
        <w:spacing w:after="60" w:before="200"/>
        <w:ind w:left="431"/>
        <w:jc w:val="left"/>
      </w:pPr>
      <w:r>
        <w:rPr>
          <w:rFonts w:ascii="Courier New" w:cs="Courier New" w:eastAsia="Courier New" w:hAnsi="Courier New"/>
          <w:b/>
          <w:bCs/>
          <w:color w:val="1B2A4A"/>
          <w:sz w:val="18"/>
          <w:szCs w:val="18"/>
        </w:rPr>
        <w:t xml:space="preserve">§7.2.c.vi  </w:t>
      </w:r>
      <w:r>
        <w:rPr>
          <w:rFonts w:ascii="Garamond" w:cs="Garamond" w:eastAsia="Garamond" w:hAnsi="Garamond"/>
          <w:b/>
          <w:bCs/>
          <w:i w:val="false"/>
          <w:iCs w:val="false"/>
          <w:color w:val="1B2A4A"/>
          <w:sz w:val="22"/>
          <w:szCs w:val="22"/>
        </w:rPr>
        <w:t xml:space="preserve">Drawing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must meet the following criteria in order of precedence: (1) Population balance — broadly equal citizen population within a Legislature-defined tolerance. (2) Geographic contiguity — each region must be a single contiguous territory. (3) Non-discrimination — no region may dilute the voting power of any group protected under §1.9. (4) Reasonable compactness — no geometrically incoherent shapes. (5) State integrity — follow State lines where practicable; minimize inter-State subdivisions where subdivision is required. The commission may not consider partisan affiliation, voting history, or political geography. All deliberations, working maps, and proposals must be published to the NRS throughout the process.</w:t>
      </w:r>
    </w:p>
    <w:p>
      <w:pPr>
        <w:spacing w:after="60" w:before="200"/>
        <w:ind w:left="431"/>
        <w:jc w:val="left"/>
      </w:pPr>
      <w:r>
        <w:rPr>
          <w:rFonts w:ascii="Courier New" w:cs="Courier New" w:eastAsia="Courier New" w:hAnsi="Courier New"/>
          <w:b/>
          <w:bCs/>
          <w:color w:val="1B2A4A"/>
          <w:sz w:val="18"/>
          <w:szCs w:val="18"/>
        </w:rPr>
        <w:t xml:space="preserve">§7.2.c.vii  </w:t>
      </w:r>
      <w:r>
        <w:rPr>
          <w:rFonts w:ascii="Garamond" w:cs="Garamond" w:eastAsia="Garamond" w:hAnsi="Garamond"/>
          <w:b/>
          <w:bCs/>
          <w:i w:val="false"/>
          <w:iCs w:val="false"/>
          <w:color w:val="1B2A4A"/>
          <w:sz w:val="22"/>
          <w:szCs w:val="22"/>
        </w:rPr>
        <w:t xml:space="preserve">Drawing Process and Timeline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 must submit a proposed regional map to the LI within 180 days of constitution. The commission operates by simple majority vote. A 30-day public comment period opens when the draft map is published to the NRS; any citizen or State government may submit commentary, and the commission must publish a written response before submitting the final map. The Legislature sets by statute the parameters under which the commission conducts its working sessions, including: authorization of and requirements for remote participation; quorum and voting requirements; secure platform and data access specifications; and any other operational parameters. The Legislature may not set parameters that prevent effective deliberation or impose undue burden on members. The commission remains constituted until a final map is certified through the review and challenge processes in §7.2.c.viii and §7.2.c.ix, then dissolves.</w:t>
      </w:r>
    </w:p>
    <w:p>
      <w:pPr>
        <w:spacing w:after="60" w:before="200"/>
        <w:ind w:left="431"/>
        <w:jc w:val="left"/>
      </w:pPr>
      <w:r>
        <w:rPr>
          <w:rFonts w:ascii="Courier New" w:cs="Courier New" w:eastAsia="Courier New" w:hAnsi="Courier New"/>
          <w:b/>
          <w:bCs/>
          <w:color w:val="1B2A4A"/>
          <w:sz w:val="18"/>
          <w:szCs w:val="18"/>
        </w:rPr>
        <w:t xml:space="preserve">§7.2.c.viii  </w:t>
      </w:r>
      <w:r>
        <w:rPr>
          <w:rFonts w:ascii="Garamond" w:cs="Garamond" w:eastAsia="Garamond" w:hAnsi="Garamond"/>
          <w:b/>
          <w:bCs/>
          <w:i w:val="false"/>
          <w:iCs w:val="false"/>
          <w:color w:val="1B2A4A"/>
          <w:sz w:val="22"/>
          <w:szCs w:val="22"/>
        </w:rPr>
        <w:t xml:space="preserve">LI Compliance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the submitted map within 60 days for compliance with the §7.2.c.vi criteria. If compliant, the LI certifies it and publishes the certification to the NRS. If the map fails, the LI publishes specific findings and returns it to the commission, which has 30 days to submit a corrected map. If the corrected map still fails, the LI draws a compliant interim map; the interim map governs the next presidential election while the commission completes a further correction cycle. The LI may not draw a permanent map.</w:t>
      </w:r>
    </w:p>
    <w:p>
      <w:pPr>
        <w:spacing w:after="60" w:before="200"/>
        <w:ind w:left="431"/>
        <w:jc w:val="left"/>
      </w:pPr>
      <w:r>
        <w:rPr>
          <w:rFonts w:ascii="Courier New" w:cs="Courier New" w:eastAsia="Courier New" w:hAnsi="Courier New"/>
          <w:b/>
          <w:bCs/>
          <w:color w:val="1B2A4A"/>
          <w:sz w:val="18"/>
          <w:szCs w:val="18"/>
        </w:rPr>
        <w:t xml:space="preserve">§7.2.c.ix  </w:t>
      </w:r>
      <w:r>
        <w:rPr>
          <w:rFonts w:ascii="Garamond" w:cs="Garamond" w:eastAsia="Garamond" w:hAnsi="Garamond"/>
          <w:b/>
          <w:bCs/>
          <w:i w:val="false"/>
          <w:iCs w:val="false"/>
          <w:color w:val="1B2A4A"/>
          <w:sz w:val="22"/>
          <w:szCs w:val="22"/>
        </w:rPr>
        <w:t xml:space="preserve">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one-third may challenge a certified regional map by petitioning the Supreme Court within 60 days of LI certification. The Court reviews criteria application — not map preference. A successful challenge returns the map to the commission with the Court's findings attached.</w:t>
      </w:r>
    </w:p>
    <w:p>
      <w:pPr>
        <w:spacing w:after="60" w:before="200"/>
        <w:ind w:left="431"/>
        <w:jc w:val="left"/>
      </w:pPr>
      <w:r>
        <w:rPr>
          <w:rFonts w:ascii="Courier New" w:cs="Courier New" w:eastAsia="Courier New" w:hAnsi="Courier New"/>
          <w:b/>
          <w:bCs/>
          <w:color w:val="1B2A4A"/>
          <w:sz w:val="18"/>
          <w:szCs w:val="18"/>
        </w:rPr>
        <w:t xml:space="preserve">§7.2.c.x  </w:t>
      </w:r>
      <w:r>
        <w:rPr>
          <w:rFonts w:ascii="Garamond" w:cs="Garamond" w:eastAsia="Garamond" w:hAnsi="Garamond"/>
          <w:b/>
          <w:bCs/>
          <w:i w:val="false"/>
          <w:iCs w:val="false"/>
          <w:color w:val="1B2A4A"/>
          <w:sz w:val="22"/>
          <w:szCs w:val="22"/>
        </w:rPr>
        <w:t xml:space="preserve">Cycle and Timing</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are redrawn following each decennial census, on the same cycle as House redistricting; the §8.1.a census triggers both simultaneously. Regions in effect at the time of any presidential election govern that election. No mid-cycle redraw may occur except pursuant to §7.2.c.ix or §7.2.c.viii. The Legislature establishes by statute the precise timing of the pool-building window — when each State's Pool opens following completion of the prior redistricting cycle, and when it closes before the draw. Once established, the statutory timing may not be altered for a minimum of two complete redistricting cycles, preventing legislative manipulation of the pool-building window to affect a forthcoming draw.</w:t>
      </w:r>
    </w:p>
    <w:p>
      <w:pPr>
        <w:spacing w:after="60" w:before="200"/>
        <w:ind w:left="431"/>
        <w:jc w:val="left"/>
      </w:pPr>
      <w:r>
        <w:rPr>
          <w:rFonts w:ascii="Courier New" w:cs="Courier New" w:eastAsia="Courier New" w:hAnsi="Courier New"/>
          <w:b/>
          <w:bCs/>
          <w:color w:val="1B2A4A"/>
          <w:sz w:val="18"/>
          <w:szCs w:val="18"/>
        </w:rPr>
        <w:t xml:space="preserve">§7.2.d  </w:t>
      </w:r>
      <w:r>
        <w:rPr>
          <w:rFonts w:ascii="Garamond" w:cs="Garamond" w:eastAsia="Garamond" w:hAnsi="Garamond"/>
          <w:b/>
          <w:bCs/>
          <w:i w:val="false"/>
          <w:iCs w:val="false"/>
          <w:color w:val="1B2A4A"/>
          <w:sz w:val="22"/>
          <w:szCs w:val="22"/>
        </w:rPr>
        <w:t xml:space="preserve">Territory Presidential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Territory citizens hold the full §1.20 right to vote in presidential elections. Their votes count in the national first-preference total — the 65% component of the combined score — but Territories are not assigned to presidential election regions and do not contribute to the 35% regional breadth component. The regional breadth measure reflects the geographic distribution of the Republic's State structure. Territory citizens participate fully in the national democratic mandate; they do not give Territories a footprint in the regional component that States earn through the Statehood process.</w:t>
      </w:r>
    </w:p>
    <w:p>
      <w:pPr>
        <w:spacing w:after="60" w:before="200"/>
        <w:ind w:left="431"/>
        <w:jc w:val="left"/>
      </w:pPr>
      <w:r>
        <w:rPr>
          <w:rFonts w:ascii="Courier New" w:cs="Courier New" w:eastAsia="Courier New" w:hAnsi="Courier New"/>
          <w:b/>
          <w:bCs/>
          <w:color w:val="1B2A4A"/>
          <w:sz w:val="18"/>
          <w:szCs w:val="18"/>
        </w:rPr>
        <w:t xml:space="preserve">§7.2.e  </w:t>
      </w:r>
      <w:r>
        <w:rPr>
          <w:rFonts w:ascii="Garamond" w:cs="Garamond" w:eastAsia="Garamond" w:hAnsi="Garamond"/>
          <w:b/>
          <w:bCs/>
          <w:i w:val="false"/>
          <w:iCs w:val="false"/>
          <w:color w:val="1B2A4A"/>
          <w:sz w:val="22"/>
          <w:szCs w:val="22"/>
        </w:rPr>
        <w:t xml:space="preserve">Election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constitutionally fixed moment.</w:t>
      </w:r>
    </w:p>
    <w:p>
      <w:pPr>
        <w:spacing w:after="60" w:before="200"/>
        <w:ind w:left="431"/>
        <w:jc w:val="left"/>
      </w:pPr>
      <w:r>
        <w:rPr>
          <w:rFonts w:ascii="Courier New" w:cs="Courier New" w:eastAsia="Courier New" w:hAnsi="Courier New"/>
          <w:b/>
          <w:bCs/>
          <w:color w:val="1B2A4A"/>
          <w:sz w:val="18"/>
          <w:szCs w:val="18"/>
        </w:rPr>
        <w:t xml:space="preserve">§7.2.f  </w:t>
      </w:r>
      <w:r>
        <w:rPr>
          <w:rFonts w:ascii="Garamond" w:cs="Garamond" w:eastAsia="Garamond" w:hAnsi="Garamond"/>
          <w:b/>
          <w:bCs/>
          <w:i w:val="false"/>
          <w:iCs w:val="false"/>
          <w:color w:val="1B2A4A"/>
          <w:sz w:val="22"/>
          <w:szCs w:val="22"/>
        </w:rPr>
        <w:t xml:space="preserve">Run-off</w:t>
      </w:r>
    </w:p>
    <w:p>
      <w:pPr>
        <w:spacing w:after="120" w:before="0"/>
        <w:ind w:left="431"/>
        <w:jc w:val="both"/>
      </w:pPr>
      <w:r>
        <w:rPr>
          <w:rFonts w:ascii="Garamond" w:cs="Garamond" w:eastAsia="Garamond" w:hAnsi="Garamond"/>
          <w:b w:val="false"/>
          <w:bCs w:val="false"/>
          <w:i w:val="false"/>
          <w:iCs w:val="false"/>
          <w:color w:val="2a2520"/>
          <w:sz w:val="22"/>
          <w:szCs w:val="22"/>
        </w:rPr>
        <w:t xml:space="preserve">If two candidates are within 0.5 percentage points of each other on the final combined score as calculated under §7.2.b, a head-to-head national RCV runoff is conducted between those two candidates. The runoff closes the edge-case gap where the combined score is mathematically indeterminate.</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Legislative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elections are administered by the Electoral Commission free from executive interference. The National Voting System is the uniform platform for all federal elections.</w:t>
      </w:r>
    </w:p>
    <w:p>
      <w:pPr>
        <w:spacing w:after="60" w:before="200"/>
        <w:ind w:left="431"/>
        <w:jc w:val="left"/>
      </w:pPr>
      <w:r>
        <w:rPr>
          <w:rFonts w:ascii="Courier New" w:cs="Courier New" w:eastAsia="Courier New" w:hAnsi="Courier New"/>
          <w:b/>
          <w:bCs/>
          <w:color w:val="1B2A4A"/>
          <w:sz w:val="18"/>
          <w:szCs w:val="18"/>
        </w:rPr>
        <w:t xml:space="preserve">§7.3.a  </w:t>
      </w:r>
      <w:r>
        <w:rPr>
          <w:rFonts w:ascii="Garamond" w:cs="Garamond" w:eastAsia="Garamond" w:hAnsi="Garamond"/>
          <w:b/>
          <w:bCs/>
          <w:i w:val="false"/>
          <w:iCs w:val="false"/>
          <w:color w:val="1B2A4A"/>
          <w:sz w:val="22"/>
          <w:szCs w:val="22"/>
        </w:rPr>
        <w:t xml:space="preserve">No Executive 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not declare, postpone, or influence the scheduling of elections — including declaring emergencies that have the effect of postponing them. §1.26.e's prohibition on emergency-based election postponement backs this up: even a genuine emergency cannot defer a scheduled election.</w:t>
      </w:r>
    </w:p>
    <w:p>
      <w:pPr>
        <w:spacing w:after="60" w:before="200"/>
        <w:ind w:left="431"/>
        <w:jc w:val="left"/>
      </w:pPr>
      <w:r>
        <w:rPr>
          <w:rFonts w:ascii="Courier New" w:cs="Courier New" w:eastAsia="Courier New" w:hAnsi="Courier New"/>
          <w:b/>
          <w:bCs/>
          <w:color w:val="1B2A4A"/>
          <w:sz w:val="18"/>
          <w:szCs w:val="18"/>
        </w:rPr>
        <w:t xml:space="preserve">§7.3.b  </w:t>
      </w:r>
      <w:r>
        <w:rPr>
          <w:rFonts w:ascii="Garamond" w:cs="Garamond" w:eastAsia="Garamond" w:hAnsi="Garamond"/>
          <w:b/>
          <w:bCs/>
          <w:i w:val="false"/>
          <w:iCs w:val="false"/>
          <w:color w:val="1B2A4A"/>
          <w:sz w:val="22"/>
          <w:szCs w:val="22"/>
        </w:rPr>
        <w:t xml:space="preserve">National Voting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431"/>
        <w:jc w:val="left"/>
      </w:pPr>
      <w:r>
        <w:rPr>
          <w:rFonts w:ascii="Courier New" w:cs="Courier New" w:eastAsia="Courier New" w:hAnsi="Courier New"/>
          <w:b/>
          <w:bCs/>
          <w:color w:val="1B2A4A"/>
          <w:sz w:val="18"/>
          <w:szCs w:val="18"/>
        </w:rPr>
        <w:t xml:space="preserve">§7.3.c  </w:t>
      </w:r>
      <w:r>
        <w:rPr>
          <w:rFonts w:ascii="Garamond" w:cs="Garamond" w:eastAsia="Garamond" w:hAnsi="Garamond"/>
          <w:b/>
          <w:bCs/>
          <w:i w:val="false"/>
          <w:iCs w:val="false"/>
          <w:color w:val="1B2A4A"/>
          <w:sz w:val="22"/>
          <w:szCs w:val="22"/>
        </w:rPr>
        <w:t xml:space="preserve">Participation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pPr>
        <w:spacing w:after="60" w:before="200"/>
        <w:jc w:val="left"/>
      </w:pPr>
      <w:r>
        <w:rPr>
          <w:rFonts w:ascii="Garamond" w:cs="Garamond" w:eastAsia="Garamond" w:hAnsi="Garamond"/>
          <w:b/>
          <w:bCs/>
          <w:i w:val="false"/>
          <w:iCs w:val="false"/>
          <w:color w:val="1B2A4A"/>
          <w:sz w:val="34"/>
          <w:szCs w:val="34"/>
        </w:rPr>
        <w:t xml:space="preserve">Article VIII — Inspectorates and the State Designee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 (LI)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 Determines referendum eligibility for citizen-initiated repeal petitions under §11.1.b.</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 (EI)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 (JI)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Maintains the SC Candidate Registry. Vets judicial nominees and Electoral Commission candidates. Audits the Electoral Commission annually.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 This dual role is a deliberate constitutional design choice, not an accumulation of functions by default.</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 General is selected through a cross-nomination process that excludes the body being watched, as specified in §8.3.a through §8.3.c.</w:t>
      </w:r>
    </w:p>
    <w:p>
      <w:pPr>
        <w:spacing w:after="60" w:before="200"/>
        <w:ind w:left="431"/>
        <w:jc w:val="left"/>
      </w:pPr>
      <w:r>
        <w:rPr>
          <w:rFonts w:ascii="Courier New" w:cs="Courier New" w:eastAsia="Courier New" w:hAnsi="Courier New"/>
          <w:b/>
          <w:bCs/>
          <w:color w:val="1B2A4A"/>
          <w:sz w:val="18"/>
          <w:szCs w:val="18"/>
        </w:rPr>
        <w:t xml:space="preserve">§8.3.a  </w:t>
      </w:r>
      <w:r>
        <w:rPr>
          <w:rFonts w:ascii="Garamond" w:cs="Garamond" w:eastAsia="Garamond" w:hAnsi="Garamond"/>
          <w:b/>
          <w:bCs/>
          <w:i w:val="false"/>
          <w:iCs w:val="false"/>
          <w:color w:val="1B2A4A"/>
          <w:sz w:val="22"/>
          <w:szCs w:val="22"/>
        </w:rPr>
        <w:t xml:space="preserve">Legislative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Inspector General is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431"/>
        <w:jc w:val="left"/>
      </w:pPr>
      <w:r>
        <w:rPr>
          <w:rFonts w:ascii="Courier New" w:cs="Courier New" w:eastAsia="Courier New" w:hAnsi="Courier New"/>
          <w:b/>
          <w:bCs/>
          <w:color w:val="1B2A4A"/>
          <w:sz w:val="18"/>
          <w:szCs w:val="18"/>
        </w:rPr>
        <w:t xml:space="preserve">§8.3.b  </w:t>
      </w:r>
      <w:r>
        <w:rPr>
          <w:rFonts w:ascii="Garamond" w:cs="Garamond" w:eastAsia="Garamond" w:hAnsi="Garamond"/>
          <w:b/>
          <w:bCs/>
          <w:i w:val="false"/>
          <w:iCs w:val="false"/>
          <w:color w:val="1B2A4A"/>
          <w:sz w:val="22"/>
          <w:szCs w:val="22"/>
        </w:rPr>
        <w:t xml:space="preserve">Executive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Inspector General is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431"/>
        <w:jc w:val="left"/>
      </w:pPr>
      <w:r>
        <w:rPr>
          <w:rFonts w:ascii="Courier New" w:cs="Courier New" w:eastAsia="Courier New" w:hAnsi="Courier New"/>
          <w:b/>
          <w:bCs/>
          <w:color w:val="1B2A4A"/>
          <w:sz w:val="18"/>
          <w:szCs w:val="18"/>
        </w:rPr>
        <w:t xml:space="preserve">§8.3.c  </w:t>
      </w:r>
      <w:r>
        <w:rPr>
          <w:rFonts w:ascii="Garamond" w:cs="Garamond" w:eastAsia="Garamond" w:hAnsi="Garamond"/>
          <w:b/>
          <w:bCs/>
          <w:i w:val="false"/>
          <w:iCs w:val="false"/>
          <w:color w:val="1B2A4A"/>
          <w:sz w:val="22"/>
          <w:szCs w:val="22"/>
        </w:rPr>
        <w:t xml:space="preserve">Term and Staggering</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Judicial Inspectorate —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the Regional Boundary Commission, and the RSA Technical Integrity Commission. Both mandates are informational only — the JI publishes findings and certifies processes; it does not issue binding orders or control outcomes.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Inspector General is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 Where there is no outgoing JI IG — on the first-ever selection or where the outgoing IG has been removed or is incapacitated — the draw is administered jointly by the LI and EI Inspector Generals.</w:t>
      </w:r>
    </w:p>
    <w:p>
      <w:pPr>
        <w:spacing w:after="60" w:before="200"/>
        <w:ind w:left="431"/>
        <w:jc w:val="left"/>
      </w:pPr>
      <w:r>
        <w:rPr>
          <w:rFonts w:ascii="Courier New" w:cs="Courier New" w:eastAsia="Courier New" w:hAnsi="Courier New"/>
          <w:b/>
          <w:bCs/>
          <w:color w:val="1B2A4A"/>
          <w:sz w:val="18"/>
          <w:szCs w:val="18"/>
        </w:rPr>
        <w:t xml:space="preserve">§8.4.b  </w:t>
      </w:r>
      <w:r>
        <w:rPr>
          <w:rFonts w:ascii="Garamond" w:cs="Garamond" w:eastAsia="Garamond" w:hAnsi="Garamond"/>
          <w:b/>
          <w:bCs/>
          <w:i w:val="false"/>
          <w:iCs w:val="false"/>
          <w:color w:val="1B2A4A"/>
          <w:sz w:val="22"/>
          <w:szCs w:val="22"/>
        </w:rPr>
        <w:t xml:space="preserve">JI Compact Compliance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431"/>
        <w:jc w:val="left"/>
      </w:pPr>
      <w:r>
        <w:rPr>
          <w:rFonts w:ascii="Courier New" w:cs="Courier New" w:eastAsia="Courier New" w:hAnsi="Courier New"/>
          <w:b/>
          <w:bCs/>
          <w:color w:val="1B2A4A"/>
          <w:sz w:val="18"/>
          <w:szCs w:val="18"/>
        </w:rPr>
        <w:t xml:space="preserve">§8.4.c  </w:t>
      </w:r>
      <w:r>
        <w:rPr>
          <w:rFonts w:ascii="Garamond" w:cs="Garamond" w:eastAsia="Garamond" w:hAnsi="Garamond"/>
          <w:b/>
          <w:bCs/>
          <w:i w:val="false"/>
          <w:iCs w:val="false"/>
          <w:color w:val="1B2A4A"/>
          <w:sz w:val="22"/>
          <w:szCs w:val="22"/>
        </w:rPr>
        <w:t xml:space="preserve">JI Court Operations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431"/>
        <w:jc w:val="left"/>
      </w:pPr>
      <w:r>
        <w:rPr>
          <w:rFonts w:ascii="Courier New" w:cs="Courier New" w:eastAsia="Courier New" w:hAnsi="Courier New"/>
          <w:b/>
          <w:bCs/>
          <w:color w:val="1B2A4A"/>
          <w:sz w:val="18"/>
          <w:szCs w:val="18"/>
        </w:rPr>
        <w:t xml:space="preserve">§8.4.d  </w:t>
      </w:r>
      <w:r>
        <w:rPr>
          <w:rFonts w:ascii="Garamond" w:cs="Garamond" w:eastAsia="Garamond" w:hAnsi="Garamond"/>
          <w:b/>
          <w:bCs/>
          <w:i w:val="false"/>
          <w:iCs w:val="false"/>
          <w:color w:val="1B2A4A"/>
          <w:sz w:val="22"/>
          <w:szCs w:val="22"/>
        </w:rPr>
        <w:t xml:space="preserve">JI Electoral Commission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§8.4.f  </w:t>
      </w:r>
      <w:r>
        <w:rPr>
          <w:rFonts w:ascii="Garamond" w:cs="Garamond" w:eastAsia="Garamond" w:hAnsi="Garamond"/>
          <w:b/>
          <w:bCs/>
          <w:i w:val="false"/>
          <w:iCs w:val="false"/>
          <w:color w:val="1B2A4A"/>
          <w:sz w:val="22"/>
          <w:szCs w:val="22"/>
        </w:rPr>
        <w:t xml:space="preserve">JI Judicial Independence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431"/>
        <w:jc w:val="left"/>
      </w:pPr>
      <w:r>
        <w:rPr>
          <w:rFonts w:ascii="Courier New" w:cs="Courier New" w:eastAsia="Courier New" w:hAnsi="Courier New"/>
          <w:b/>
          <w:bCs/>
          <w:color w:val="1B2A4A"/>
          <w:sz w:val="18"/>
          <w:szCs w:val="18"/>
        </w:rPr>
        <w:t xml:space="preserve">§8.4.g  </w:t>
      </w:r>
      <w:r>
        <w:rPr>
          <w:rFonts w:ascii="Garamond" w:cs="Garamond" w:eastAsia="Garamond" w:hAnsi="Garamond"/>
          <w:b/>
          <w:bCs/>
          <w:i w:val="false"/>
          <w:iCs w:val="false"/>
          <w:color w:val="1B2A4A"/>
          <w:sz w:val="22"/>
          <w:szCs w:val="22"/>
        </w:rPr>
        <w:t xml:space="preserve">SC Independence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431"/>
        <w:jc w:val="left"/>
      </w:pPr>
      <w:r>
        <w:rPr>
          <w:rFonts w:ascii="Courier New" w:cs="Courier New" w:eastAsia="Courier New" w:hAnsi="Courier New"/>
          <w:b/>
          <w:bCs/>
          <w:color w:val="1B2A4A"/>
          <w:sz w:val="18"/>
          <w:szCs w:val="18"/>
        </w:rPr>
        <w:t xml:space="preserve">§8.4.h  </w:t>
      </w:r>
      <w:r>
        <w:rPr>
          <w:rFonts w:ascii="Garamond" w:cs="Garamond" w:eastAsia="Garamond" w:hAnsi="Garamond"/>
          <w:b/>
          <w:bCs/>
          <w:i w:val="false"/>
          <w:iCs w:val="false"/>
          <w:color w:val="1B2A4A"/>
          <w:sz w:val="22"/>
          <w:szCs w:val="22"/>
        </w:rPr>
        <w:t xml:space="preserve">Inferior Court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431"/>
        <w:jc w:val="left"/>
      </w:pPr>
      <w:r>
        <w:rPr>
          <w:rFonts w:ascii="Courier New" w:cs="Courier New" w:eastAsia="Courier New" w:hAnsi="Courier New"/>
          <w:b/>
          <w:bCs/>
          <w:color w:val="1B2A4A"/>
          <w:sz w:val="18"/>
          <w:szCs w:val="18"/>
        </w:rPr>
        <w:t xml:space="preserve">§8.4.i  </w:t>
      </w:r>
      <w:r>
        <w:rPr>
          <w:rFonts w:ascii="Garamond" w:cs="Garamond" w:eastAsia="Garamond" w:hAnsi="Garamond"/>
          <w:b/>
          <w:bCs/>
          <w:i w:val="false"/>
          <w:iCs w:val="false"/>
          <w:color w:val="1B2A4A"/>
          <w:sz w:val="22"/>
          <w:szCs w:val="22"/>
        </w:rPr>
        <w:t xml:space="preserve">Gatekeeping Appeal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Inspector General may be removed only through the mechanisms specified in this section.</w:t>
      </w:r>
    </w:p>
    <w:p>
      <w:pPr>
        <w:spacing w:after="60" w:before="200"/>
        <w:ind w:left="431"/>
        <w:jc w:val="left"/>
      </w:pPr>
      <w:r>
        <w:rPr>
          <w:rFonts w:ascii="Courier New" w:cs="Courier New" w:eastAsia="Courier New" w:hAnsi="Courier New"/>
          <w:b/>
          <w:bCs/>
          <w:color w:val="1B2A4A"/>
          <w:sz w:val="18"/>
          <w:szCs w:val="18"/>
        </w:rPr>
        <w:t xml:space="preserve">§8.5.a  </w:t>
      </w:r>
      <w:r>
        <w:rPr>
          <w:rFonts w:ascii="Garamond" w:cs="Garamond" w:eastAsia="Garamond" w:hAnsi="Garamond"/>
          <w:b/>
          <w:bCs/>
          <w:i w:val="false"/>
          <w:iCs w:val="false"/>
          <w:color w:val="1B2A4A"/>
          <w:sz w:val="22"/>
          <w:szCs w:val="22"/>
        </w:rPr>
        <w:t xml:space="preserve">For-Cause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w:t>
      </w:r>
    </w:p>
    <w:p>
      <w:pPr>
        <w:spacing w:after="60" w:before="200"/>
        <w:ind w:left="431"/>
        <w:jc w:val="left"/>
      </w:pPr>
      <w:r>
        <w:rPr>
          <w:rFonts w:ascii="Courier New" w:cs="Courier New" w:eastAsia="Courier New" w:hAnsi="Courier New"/>
          <w:b/>
          <w:bCs/>
          <w:color w:val="1B2A4A"/>
          <w:sz w:val="18"/>
          <w:szCs w:val="18"/>
        </w:rPr>
        <w:t xml:space="preserve">§8.5.b  </w:t>
      </w:r>
      <w:r>
        <w:rPr>
          <w:rFonts w:ascii="Garamond" w:cs="Garamond" w:eastAsia="Garamond" w:hAnsi="Garamond"/>
          <w:b/>
          <w:bCs/>
          <w:i w:val="false"/>
          <w:iCs w:val="false"/>
          <w:color w:val="1B2A4A"/>
          <w:sz w:val="22"/>
          <w:szCs w:val="22"/>
        </w:rPr>
        <w:t xml:space="preserve">No-Cause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431"/>
        <w:jc w:val="left"/>
      </w:pPr>
      <w:r>
        <w:rPr>
          <w:rFonts w:ascii="Courier New" w:cs="Courier New" w:eastAsia="Courier New" w:hAnsi="Courier New"/>
          <w:b/>
          <w:bCs/>
          <w:color w:val="1B2A4A"/>
          <w:sz w:val="18"/>
          <w:szCs w:val="18"/>
        </w:rPr>
        <w:t xml:space="preserve">§8.5.c  </w:t>
      </w:r>
      <w:r>
        <w:rPr>
          <w:rFonts w:ascii="Garamond" w:cs="Garamond" w:eastAsia="Garamond" w:hAnsi="Garamond"/>
          <w:b/>
          <w:bCs/>
          <w:i w:val="false"/>
          <w:iCs w:val="false"/>
          <w:color w:val="1B2A4A"/>
          <w:sz w:val="22"/>
          <w:szCs w:val="22"/>
        </w:rPr>
        <w:t xml:space="preserve">Judicial IG — For-Cause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IG may only be removed for cause; no-cause removal is not available. The JI's lottery-based selection and its role in judicial independence oversight makes it the most insulated of the three offices.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 and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operate under a shared information-only mandate: they observe, audit, and publish.</w:t>
      </w:r>
    </w:p>
    <w:p>
      <w:pPr>
        <w:spacing w:after="60" w:before="200"/>
        <w:ind w:left="431"/>
        <w:jc w:val="left"/>
      </w:pPr>
      <w:r>
        <w:rPr>
          <w:rFonts w:ascii="Courier New" w:cs="Courier New" w:eastAsia="Courier New" w:hAnsi="Courier New"/>
          <w:b/>
          <w:bCs/>
          <w:color w:val="1B2A4A"/>
          <w:sz w:val="18"/>
          <w:szCs w:val="18"/>
        </w:rPr>
        <w:t xml:space="preserve">§8.6.a  </w:t>
      </w:r>
      <w:r>
        <w:rPr>
          <w:rFonts w:ascii="Garamond" w:cs="Garamond" w:eastAsia="Garamond" w:hAnsi="Garamond"/>
          <w:b/>
          <w:bCs/>
          <w:i w:val="false"/>
          <w:iCs w:val="false"/>
          <w:color w:val="1B2A4A"/>
          <w:sz w:val="22"/>
          <w:szCs w:val="22"/>
        </w:rPr>
        <w:t xml:space="preserve">Information-Only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431"/>
        <w:jc w:val="left"/>
      </w:pPr>
      <w:r>
        <w:rPr>
          <w:rFonts w:ascii="Courier New" w:cs="Courier New" w:eastAsia="Courier New" w:hAnsi="Courier New"/>
          <w:b/>
          <w:bCs/>
          <w:color w:val="1B2A4A"/>
          <w:sz w:val="18"/>
          <w:szCs w:val="18"/>
        </w:rPr>
        <w:t xml:space="preserve">§8.6.b  </w:t>
      </w:r>
      <w:r>
        <w:rPr>
          <w:rFonts w:ascii="Garamond" w:cs="Garamond" w:eastAsia="Garamond" w:hAnsi="Garamond"/>
          <w:b/>
          <w:bCs/>
          <w:i w:val="false"/>
          <w:iCs w:val="false"/>
          <w:color w:val="1B2A4A"/>
          <w:sz w:val="22"/>
          <w:szCs w:val="22"/>
        </w:rPr>
        <w:t xml:space="preserve">NRS Publication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431"/>
        <w:jc w:val="left"/>
      </w:pPr>
      <w:r>
        <w:rPr>
          <w:rFonts w:ascii="Courier New" w:cs="Courier New" w:eastAsia="Courier New" w:hAnsi="Courier New"/>
          <w:b/>
          <w:bCs/>
          <w:color w:val="1B2A4A"/>
          <w:sz w:val="18"/>
          <w:szCs w:val="18"/>
        </w:rPr>
        <w:t xml:space="preserve">§8.6.c  </w:t>
      </w:r>
      <w:r>
        <w:rPr>
          <w:rFonts w:ascii="Garamond" w:cs="Garamond" w:eastAsia="Garamond" w:hAnsi="Garamond"/>
          <w:b/>
          <w:bCs/>
          <w:i w:val="false"/>
          <w:iCs w:val="false"/>
          <w:color w:val="1B2A4A"/>
          <w:sz w:val="22"/>
          <w:szCs w:val="22"/>
        </w:rPr>
        <w:t xml:space="preserve">Minority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431"/>
        <w:jc w:val="left"/>
      </w:pPr>
      <w:r>
        <w:rPr>
          <w:rFonts w:ascii="Courier New" w:cs="Courier New" w:eastAsia="Courier New" w:hAnsi="Courier New"/>
          <w:b/>
          <w:bCs/>
          <w:color w:val="1B2A4A"/>
          <w:sz w:val="18"/>
          <w:szCs w:val="18"/>
        </w:rPr>
        <w:t xml:space="preserve">§8.6.d  </w:t>
      </w:r>
      <w:r>
        <w:rPr>
          <w:rFonts w:ascii="Garamond" w:cs="Garamond" w:eastAsia="Garamond" w:hAnsi="Garamond"/>
          <w:b/>
          <w:bCs/>
          <w:i w:val="false"/>
          <w:iCs w:val="false"/>
          <w:color w:val="1B2A4A"/>
          <w:sz w:val="22"/>
          <w:szCs w:val="22"/>
        </w:rPr>
        <w:t xml:space="preserve">Classification Exemption for Inspectorate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431"/>
        <w:jc w:val="left"/>
      </w:pPr>
      <w:r>
        <w:rPr>
          <w:rFonts w:ascii="Courier New" w:cs="Courier New" w:eastAsia="Courier New" w:hAnsi="Courier New"/>
          <w:b/>
          <w:bCs/>
          <w:color w:val="1B2A4A"/>
          <w:sz w:val="18"/>
          <w:szCs w:val="18"/>
        </w:rPr>
        <w:t xml:space="preserve">§8.6.e  </w:t>
      </w:r>
      <w:r>
        <w:rPr>
          <w:rFonts w:ascii="Garamond" w:cs="Garamond" w:eastAsia="Garamond" w:hAnsi="Garamond"/>
          <w:b/>
          <w:bCs/>
          <w:i w:val="false"/>
          <w:iCs w:val="false"/>
          <w:color w:val="1B2A4A"/>
          <w:sz w:val="22"/>
          <w:szCs w:val="22"/>
        </w:rPr>
        <w:t xml:space="preserve">Annual State of the Republic Report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431"/>
        <w:jc w:val="left"/>
      </w:pPr>
      <w:r>
        <w:rPr>
          <w:rFonts w:ascii="Courier New" w:cs="Courier New" w:eastAsia="Courier New" w:hAnsi="Courier New"/>
          <w:b/>
          <w:bCs/>
          <w:color w:val="1B2A4A"/>
          <w:sz w:val="18"/>
          <w:szCs w:val="18"/>
        </w:rPr>
        <w:t xml:space="preserve">§8.6.f  </w:t>
      </w:r>
      <w:r>
        <w:rPr>
          <w:rFonts w:ascii="Garamond" w:cs="Garamond" w:eastAsia="Garamond" w:hAnsi="Garamond"/>
          <w:b/>
          <w:bCs/>
          <w:i w:val="false"/>
          <w:iCs w:val="false"/>
          <w:color w:val="1B2A4A"/>
          <w:sz w:val="22"/>
          <w:szCs w:val="22"/>
        </w:rPr>
        <w:t xml:space="preserve">Joint Investigation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431"/>
        <w:jc w:val="left"/>
      </w:pPr>
      <w:r>
        <w:rPr>
          <w:rFonts w:ascii="Courier New" w:cs="Courier New" w:eastAsia="Courier New" w:hAnsi="Courier New"/>
          <w:b/>
          <w:bCs/>
          <w:color w:val="1B2A4A"/>
          <w:sz w:val="18"/>
          <w:szCs w:val="18"/>
        </w:rPr>
        <w:t xml:space="preserve">§8.6.g  </w:t>
      </w:r>
      <w:r>
        <w:rPr>
          <w:rFonts w:ascii="Garamond" w:cs="Garamond" w:eastAsia="Garamond" w:hAnsi="Garamond"/>
          <w:b/>
          <w:bCs/>
          <w:i w:val="false"/>
          <w:iCs w:val="false"/>
          <w:color w:val="1B2A4A"/>
          <w:sz w:val="22"/>
          <w:szCs w:val="22"/>
        </w:rPr>
        <w:t xml:space="preserve">Investigative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431"/>
        <w:jc w:val="left"/>
      </w:pPr>
      <w:r>
        <w:rPr>
          <w:rFonts w:ascii="Courier New" w:cs="Courier New" w:eastAsia="Courier New" w:hAnsi="Courier New"/>
          <w:b/>
          <w:bCs/>
          <w:color w:val="1B2A4A"/>
          <w:sz w:val="18"/>
          <w:szCs w:val="18"/>
        </w:rPr>
        <w:t xml:space="preserve">§8.7.a  </w:t>
      </w:r>
      <w:r>
        <w:rPr>
          <w:rFonts w:ascii="Garamond" w:cs="Garamond" w:eastAsia="Garamond" w:hAnsi="Garamond"/>
          <w:b/>
          <w:bCs/>
          <w:i w:val="false"/>
          <w:iCs w:val="false"/>
          <w:color w:val="1B2A4A"/>
          <w:sz w:val="22"/>
          <w:szCs w:val="22"/>
        </w:rPr>
        <w:t xml:space="preserve">Official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State Designee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State Designee Panel is a verification body constituted per proceeding whose sole constitutional function is to assess, prior to any qualifying For-Cause removal vote by the Legislature, whether the stated grounds for removal are substantiated within the enumerated constitutional categories. The Panel publishes a binary finding — grounds substantiated or grounds unsubstantiated — and the Legislature may proceed to any removal vote regardless of the finding's direction. The Panel has no investigative authority and no institutional presence outside of active proceedings. It is a verification body, not a court.</w:t>
      </w:r>
    </w:p>
    <w:p>
      <w:pPr>
        <w:spacing w:after="60" w:before="200"/>
        <w:ind w:left="431"/>
        <w:jc w:val="left"/>
      </w:pPr>
      <w:r>
        <w:rPr>
          <w:rFonts w:ascii="Courier New" w:cs="Courier New" w:eastAsia="Courier New" w:hAnsi="Courier New"/>
          <w:b/>
          <w:bCs/>
          <w:color w:val="1B2A4A"/>
          <w:sz w:val="18"/>
          <w:szCs w:val="18"/>
        </w:rPr>
        <w:t xml:space="preserve">§8.9.a  </w:t>
      </w:r>
      <w:r>
        <w:rPr>
          <w:rFonts w:ascii="Garamond" w:cs="Garamond" w:eastAsia="Garamond" w:hAnsi="Garamond"/>
          <w:b/>
          <w:bCs/>
          <w:i w:val="false"/>
          <w:iCs w:val="false"/>
          <w:color w:val="1B2A4A"/>
          <w:sz w:val="22"/>
          <w:szCs w:val="22"/>
        </w:rPr>
        <w:t xml:space="preserve">State Designee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State Designee Pool. Any Republic citizen may be placed into a State's Pool through that State's own constitutional or statutory process, provided they meet the following eligibility requirements at the time of entry: (1) at least five continuous years of Republic citizenship; (2) no current federal elected or appointed office; (3) no federal elected or appointed office held within the three years prior to pool entry; (4) no pending federal criminal proceedings; (5) no current service in any Panel constituted under this Article. Pool membership is a public record maintained on the NRS by the LI. A member whose position is extinguished upon completing service in a proceeding may be re-added to the pool by their State in any subsequent calendar year within the annual addition cap.</w:t>
      </w:r>
    </w:p>
    <w:p>
      <w:pPr>
        <w:spacing w:after="60" w:before="200"/>
        <w:ind w:left="431"/>
        <w:jc w:val="left"/>
      </w:pPr>
      <w:r>
        <w:rPr>
          <w:rFonts w:ascii="Courier New" w:cs="Courier New" w:eastAsia="Courier New" w:hAnsi="Courier New"/>
          <w:b/>
          <w:bCs/>
          <w:color w:val="1B2A4A"/>
          <w:sz w:val="18"/>
          <w:szCs w:val="18"/>
        </w:rPr>
        <w:t xml:space="preserve">§8.9.b  </w:t>
      </w:r>
      <w:r>
        <w:rPr>
          <w:rFonts w:ascii="Garamond" w:cs="Garamond" w:eastAsia="Garamond" w:hAnsi="Garamond"/>
          <w:b/>
          <w:bCs/>
          <w:i w:val="false"/>
          <w:iCs w:val="false"/>
          <w:color w:val="1B2A4A"/>
          <w:sz w:val="22"/>
          <w:szCs w:val="22"/>
        </w:rPr>
        <w:t xml:space="preserve">Designee Pool Annual Addition Cap</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Unused addition slots do not carry forward; a year with fewer than five additions simply has fewer, and unused capacity is permanently lost. If a pool member voluntarily withdraws, becomes ineligible, or is drawn to serve in a proceeding, their position is extinguished and not replaced outside of the normal annual addition process and the mandatory designation provision of §8.9.b.i.</w:t>
      </w:r>
    </w:p>
    <w:p>
      <w:pPr>
        <w:spacing w:after="60" w:before="200"/>
        <w:ind w:left="431"/>
        <w:jc w:val="left"/>
      </w:pPr>
      <w:r>
        <w:rPr>
          <w:rFonts w:ascii="Courier New" w:cs="Courier New" w:eastAsia="Courier New" w:hAnsi="Courier New"/>
          <w:b/>
          <w:bCs/>
          <w:color w:val="1B2A4A"/>
          <w:sz w:val="18"/>
          <w:szCs w:val="18"/>
        </w:rPr>
        <w:t xml:space="preserve">§8.9.b.i  </w:t>
      </w:r>
      <w:r>
        <w:rPr>
          <w:rFonts w:ascii="Garamond" w:cs="Garamond" w:eastAsia="Garamond" w:hAnsi="Garamond"/>
          <w:b/>
          <w:bCs/>
          <w:i w:val="false"/>
          <w:iCs w:val="false"/>
          <w:color w:val="1B2A4A"/>
          <w:sz w:val="22"/>
          <w:szCs w:val="22"/>
        </w:rPr>
        <w:t xml:space="preserve">Mandatory State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combined national pool contains fewer than thirty eligible members at the time any proceeding is activated, or if any State has made zero additions to its Pool for three or more consecutive calendar years and its Pool contains fewer than two eligible members, the JI issues a Mandatory Designation Notice to each State meeting either condition. Each notified State must designate one eligible person to its Pool within ten days of the notice. Designated persons must meet all eligibility requirements of §8.9.a; the mandatory designation process does not lower the eligibility standard. Mandatory designations are not subject to the annual addition cap of §8.9.b and do not consume a voluntary addition slot. Failure to make a mandatory designation within the required period is a constitutional compliance failure flagged by the LI in the annual State of the Republic Report and in a standalone NRS notice. The EI assumes mandatory designation oversight when an LI IG removal proceeding is the triggering event.</w:t>
      </w:r>
    </w:p>
    <w:p>
      <w:pPr>
        <w:spacing w:after="60" w:before="200"/>
        <w:ind w:left="431"/>
        <w:jc w:val="left"/>
      </w:pPr>
      <w:r>
        <w:rPr>
          <w:rFonts w:ascii="Courier New" w:cs="Courier New" w:eastAsia="Courier New" w:hAnsi="Courier New"/>
          <w:b/>
          <w:bCs/>
          <w:color w:val="1B2A4A"/>
          <w:sz w:val="18"/>
          <w:szCs w:val="18"/>
        </w:rPr>
        <w:t xml:space="preserve">§8.9.c  </w:t>
      </w:r>
      <w:r>
        <w:rPr>
          <w:rFonts w:ascii="Garamond" w:cs="Garamond" w:eastAsia="Garamond" w:hAnsi="Garamond"/>
          <w:b/>
          <w:bCs/>
          <w:i w:val="false"/>
          <w:iCs w:val="false"/>
          <w:color w:val="1B2A4A"/>
          <w:sz w:val="22"/>
          <w:szCs w:val="22"/>
        </w:rPr>
        <w:t xml:space="preserve">Pool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two eligible entrants, the LI publishes a Pool Health Notice — advisory, not compulsory. If the combined national pool falls below twenty eligible members at the time any proceeding is activated, the LI must convene an emergency pool-health session with State governments and publish its findings to the NRS within 30 days. A State's failure to maintain a pool is not a constitutional violation but is flagged in the annual State of the Republic Report. Exception: when an LI IG removal proceeding is active, the EI assumes pool monitoring duties for the duration of that proceeding.</w:t>
      </w:r>
    </w:p>
    <w:p>
      <w:pPr>
        <w:spacing w:after="60" w:before="200"/>
        <w:ind w:left="431"/>
        <w:jc w:val="left"/>
      </w:pPr>
      <w:r>
        <w:rPr>
          <w:rFonts w:ascii="Courier New" w:cs="Courier New" w:eastAsia="Courier New" w:hAnsi="Courier New"/>
          <w:b/>
          <w:bCs/>
          <w:color w:val="1B2A4A"/>
          <w:sz w:val="18"/>
          <w:szCs w:val="18"/>
        </w:rPr>
        <w:t xml:space="preserve">§8.9.d  </w:t>
      </w:r>
      <w:r>
        <w:rPr>
          <w:rFonts w:ascii="Garamond" w:cs="Garamond" w:eastAsia="Garamond" w:hAnsi="Garamond"/>
          <w:b/>
          <w:bCs/>
          <w:i w:val="false"/>
          <w:iCs w:val="false"/>
          <w:color w:val="1B2A4A"/>
          <w:sz w:val="22"/>
          <w:szCs w:val="22"/>
        </w:rPr>
        <w:t xml:space="preserve">Panel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activation of a qualifying proceeding under §8.9.f, the JI constitutes the State Designee Panel by public lottery within five days of activation. The JI draws five members by lot from the combined national eligible pool — all State pools aggregated — plus two alternates, in a single session certified jointly by all three Inspectorates. The session may be conducted remotely under parameters set by statute. The full draw is recorded to the NRS in real time. Drawn members must accept or decline service within 48 hours of notification; a member who declines is replaced by the first available alternate in the order drawn. If both alternates are exhausted before five members have accepted, the JI conducts a supplemental draw from the remaining eligible pool by the same procedure. The Panel is constituted for the duration of the proceeding and dissolves upon publication of the finding under §8.9.h.</w:t>
      </w:r>
    </w:p>
    <w:p>
      <w:pPr>
        <w:spacing w:after="60" w:before="200"/>
        <w:ind w:left="431"/>
        <w:jc w:val="left"/>
      </w:pPr>
      <w:r>
        <w:rPr>
          <w:rFonts w:ascii="Courier New" w:cs="Courier New" w:eastAsia="Courier New" w:hAnsi="Courier New"/>
          <w:b/>
          <w:bCs/>
          <w:color w:val="1B2A4A"/>
          <w:sz w:val="18"/>
          <w:szCs w:val="18"/>
        </w:rPr>
        <w:t xml:space="preserve">§8.9.d.i  </w:t>
      </w:r>
      <w:r>
        <w:rPr>
          <w:rFonts w:ascii="Garamond" w:cs="Garamond" w:eastAsia="Garamond" w:hAnsi="Garamond"/>
          <w:b/>
          <w:bCs/>
          <w:i w:val="false"/>
          <w:iCs w:val="false"/>
          <w:color w:val="1B2A4A"/>
          <w:sz w:val="22"/>
          <w:szCs w:val="22"/>
        </w:rPr>
        <w:t xml:space="preserve">Draw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named officer subject to the proceeding, or the initiating body, may challenge a drawn member within 48 hours of NRS publication of the draw on grounds of a documented relationship or conflict of interest impairing impartiality. The JI rules on any challenge within 48 hours of filing. If sustained, the challenged member's seat is filled by the first available alternate in the order drawn; if no alternate remains, a supplemental draw is conducted. The 21-day review clock under §8.9.f is suspended during any pending challenge and resumes from the point of suspension upon JI ruling. No challenge may be filed solely on grounds of the member's State of origin, professional background, or prior pool membership.</w:t>
      </w:r>
    </w:p>
    <w:p>
      <w:pPr>
        <w:spacing w:after="60" w:before="200"/>
        <w:ind w:left="431"/>
        <w:jc w:val="left"/>
      </w:pPr>
      <w:r>
        <w:rPr>
          <w:rFonts w:ascii="Courier New" w:cs="Courier New" w:eastAsia="Courier New" w:hAnsi="Courier New"/>
          <w:b/>
          <w:bCs/>
          <w:color w:val="1B2A4A"/>
          <w:sz w:val="18"/>
          <w:szCs w:val="18"/>
        </w:rPr>
        <w:t xml:space="preserve">§8.9.e  </w:t>
      </w:r>
      <w:r>
        <w:rPr>
          <w:rFonts w:ascii="Garamond" w:cs="Garamond" w:eastAsia="Garamond" w:hAnsi="Garamond"/>
          <w:b/>
          <w:bCs/>
          <w:i w:val="false"/>
          <w:iCs w:val="false"/>
          <w:color w:val="1B2A4A"/>
          <w:sz w:val="22"/>
          <w:szCs w:val="22"/>
        </w:rPr>
        <w:t xml:space="preserve">Ongoing Eligibility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From the date a member accepts service through the date the Panel's finding is published, Panel members may not: assume any federal elected or appointed position; serve as retained legal counsel in any federal proceeding involving the Legislature, either executive, or any Inspectorate; or accept appointment to any State government executive position above the level of department director. Assumption of a disqualifying position extinguishes the seat; the first available alternate fills it in the order established at draw. A member may recuse themselves at any time; recusal extinguishes the seat without replacement beyond the available alternates.</w:t>
      </w:r>
    </w:p>
    <w:p>
      <w:pPr>
        <w:spacing w:after="60" w:before="200"/>
        <w:ind w:left="431"/>
        <w:jc w:val="left"/>
      </w:pPr>
      <w:r>
        <w:rPr>
          <w:rFonts w:ascii="Courier New" w:cs="Courier New" w:eastAsia="Courier New" w:hAnsi="Courier New"/>
          <w:b/>
          <w:bCs/>
          <w:color w:val="1B2A4A"/>
          <w:sz w:val="18"/>
          <w:szCs w:val="18"/>
        </w:rPr>
        <w:t xml:space="preserve">§8.9.f  </w:t>
      </w:r>
      <w:r>
        <w:rPr>
          <w:rFonts w:ascii="Garamond" w:cs="Garamond" w:eastAsia="Garamond" w:hAnsi="Garamond"/>
          <w:b/>
          <w:bCs/>
          <w:i w:val="false"/>
          <w:iCs w:val="false"/>
          <w:color w:val="1B2A4A"/>
          <w:sz w:val="22"/>
          <w:szCs w:val="22"/>
        </w:rPr>
        <w:t xml:space="preserve">Activation and Meeting Parameters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qualifying proceeding is initiated when the initiating body transmits the stated grounds and supporting documentary record to the JI, triggering the draw under §8.9.d. The 21-day review clock begins from the date the Panel is fully constituted — five members having accepted service and any draw challenges under §8.9.d.i having been resolved. The Legislature sets by statute the parameters under which the Panel conducts its review, including: authorization of and requirements for remote participation; quorum and voting requirements; secure platform specifications; and any other operational parameters. The Legislature may not set parameters that prevent effective deliberation or impose undue burden on members. The Panel may request additional documentary submissions from the initiating body within the first seven days of the review period; this does not extend the 21-day deadline. No submission received after day seven is required to be considered.</w:t>
      </w:r>
    </w:p>
    <w:p>
      <w:pPr>
        <w:spacing w:after="60" w:before="200"/>
        <w:ind w:left="431"/>
        <w:jc w:val="left"/>
      </w:pPr>
      <w:r>
        <w:rPr>
          <w:rFonts w:ascii="Courier New" w:cs="Courier New" w:eastAsia="Courier New" w:hAnsi="Courier New"/>
          <w:b/>
          <w:bCs/>
          <w:color w:val="1B2A4A"/>
          <w:sz w:val="18"/>
          <w:szCs w:val="18"/>
        </w:rPr>
        <w:t xml:space="preserve">§8.9.g  </w:t>
      </w:r>
      <w:r>
        <w:rPr>
          <w:rFonts w:ascii="Garamond" w:cs="Garamond" w:eastAsia="Garamond" w:hAnsi="Garamond"/>
          <w:b/>
          <w:bCs/>
          <w:i w:val="false"/>
          <w:iCs w:val="false"/>
          <w:color w:val="1B2A4A"/>
          <w:sz w:val="22"/>
          <w:szCs w:val="22"/>
        </w:rPr>
        <w:t xml:space="preserve">Scope of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Panel's review is categorical and bounded. The Panel determines only whether the stated grounds, as documented in the submitted record, constitute at least one of the enumerated constitutional categories for For-Cause removal applicable to the subject office. The Panel does not: independently investigate or gather evidence beyond the submitted record; assess the credibility of any witness or document; weigh competing factual accounts; evaluate whether removal is warranted as a policy matter; or issue any order, direction, or recommendation beyond the binary finding. The published finding states the conclusion and identifies which constitutional category or categories it finds present or absent in the submitted record.</w:t>
      </w:r>
    </w:p>
    <w:p>
      <w:pPr>
        <w:spacing w:after="60" w:before="200"/>
        <w:ind w:left="431"/>
        <w:jc w:val="left"/>
      </w:pPr>
      <w:r>
        <w:rPr>
          <w:rFonts w:ascii="Courier New" w:cs="Courier New" w:eastAsia="Courier New" w:hAnsi="Courier New"/>
          <w:b/>
          <w:bCs/>
          <w:color w:val="1B2A4A"/>
          <w:sz w:val="18"/>
          <w:szCs w:val="18"/>
        </w:rPr>
        <w:t xml:space="preserve">§8.9.h  </w:t>
      </w:r>
      <w:r>
        <w:rPr>
          <w:rFonts w:ascii="Garamond" w:cs="Garamond" w:eastAsia="Garamond" w:hAnsi="Garamond"/>
          <w:b/>
          <w:bCs/>
          <w:i w:val="false"/>
          <w:iCs w:val="false"/>
          <w:color w:val="1B2A4A"/>
          <w:sz w:val="22"/>
          <w:szCs w:val="22"/>
        </w:rPr>
        <w:t xml:space="preserve">Effect of Finding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 finding of grounds substantiated: constitutes the condition precedent that authorizes the Legislature to proceed to a For-Cause removal vote at the applicable threshold; triggers the duty-suspension provisions of §8.5.a or §16.2.a as applicable; and is published permanently to the NRS alongside any subsequent legislative vote. A finding of grounds unsubstantiated: does not bar the Legislature from proceeding to a removal vote; is published permanently to the NRS alongside any subsequent legislative vote; and constitutes no legal determination as to the truth or falsity of the stated grounds. All constitutional voting thresholds for removal remain in effect regardless of the Panel's finding.</w:t>
      </w:r>
    </w:p>
    <w:p>
      <w:pPr>
        <w:spacing w:after="60" w:before="200"/>
        <w:ind w:left="431"/>
        <w:jc w:val="left"/>
      </w:pPr>
      <w:r>
        <w:rPr>
          <w:rFonts w:ascii="Courier New" w:cs="Courier New" w:eastAsia="Courier New" w:hAnsi="Courier New"/>
          <w:b/>
          <w:bCs/>
          <w:color w:val="1B2A4A"/>
          <w:sz w:val="18"/>
          <w:szCs w:val="18"/>
        </w:rPr>
        <w:t xml:space="preserve">§8.9.i  </w:t>
      </w:r>
      <w:r>
        <w:rPr>
          <w:rFonts w:ascii="Garamond" w:cs="Garamond" w:eastAsia="Garamond" w:hAnsi="Garamond"/>
          <w:b/>
          <w:bCs/>
          <w:i w:val="false"/>
          <w:iCs w:val="false"/>
          <w:color w:val="1B2A4A"/>
          <w:sz w:val="22"/>
          <w:szCs w:val="22"/>
        </w:rPr>
        <w:t xml:space="preserve">SC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431"/>
        <w:jc w:val="left"/>
      </w:pPr>
      <w:r>
        <w:rPr>
          <w:rFonts w:ascii="Courier New" w:cs="Courier New" w:eastAsia="Courier New" w:hAnsi="Courier New"/>
          <w:b/>
          <w:bCs/>
          <w:color w:val="1B2A4A"/>
          <w:sz w:val="18"/>
          <w:szCs w:val="18"/>
        </w:rPr>
        <w:t xml:space="preserve">§8.9.j  </w:t>
      </w:r>
      <w:r>
        <w:rPr>
          <w:rFonts w:ascii="Garamond" w:cs="Garamond" w:eastAsia="Garamond" w:hAnsi="Garamond"/>
          <w:b/>
          <w:bCs/>
          <w:i w:val="false"/>
          <w:iCs w:val="false"/>
          <w:color w:val="1B2A4A"/>
          <w:sz w:val="22"/>
          <w:szCs w:val="22"/>
        </w:rPr>
        <w:t xml:space="preserve">Compensation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Panel members receive no compensation for pool membership. Members receive service-day compensation for each day of active service during a constituted proceeding, from the date of acceptance through the date of finding publication. Rates and any remote service equivalencies are set by statute. The member's State pays the service-day compensation; the federal government reimburses each State for compensation paid to its drawn member. Service-day records and compensation amounts are published to the NRS alongside each Panel finding.</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jc w:val="left"/>
      </w:pPr>
      <w:r>
        <w:rPr>
          <w:rFonts w:ascii="Courier New" w:cs="Courier New" w:eastAsia="Courier New" w:hAnsi="Courier New"/>
          <w:b/>
          <w:bCs/>
          <w:color w:val="1B2A4A"/>
          <w:sz w:val="18"/>
          <w:szCs w:val="18"/>
        </w:rPr>
        <w:t xml:space="preserve">§8.11  </w:t>
      </w:r>
      <w:r>
        <w:rPr>
          <w:rFonts w:ascii="Garamond" w:cs="Garamond" w:eastAsia="Garamond" w:hAnsi="Garamond"/>
          <w:b/>
          <w:bCs/>
          <w:i w:val="false"/>
          <w:iCs w:val="false"/>
          <w:color w:val="1B2A4A"/>
          <w:sz w:val="22"/>
          <w:szCs w:val="22"/>
        </w:rPr>
        <w:t xml:space="preserve">Eighth-Year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eight years from the date of full constitutional operation, the three Inspectorates jointly assess the performance of the constitutional framework across all domains: (1) enforcement of Article I rights across all States, Territories, and compact jurisdictions; (2) functioning of the Inspectorate reporting mechanism and adequacy of Judicial Inspectorate mandate scope relative to operational capacity; (3) compliance with fiscal obligations and whether the BNF is meeting the §10.1.b adequacy standard across all five §10.1.c categories; (4) completeness of military subordination to constitutional authority; (5) comprehensiveness of NRS coverage, node distribution, and cryptographic integrity; and (6) health of the constitutional pool and lottery selection mechanisms under §7.2.c, §8.9, and §9.3, including State participation rates and pool depth. The assessment is published to the NRS and transmitted to both chambers of the Legislature. The Legislature must respond within 90 days with a published statement addressing each domain. Findings and responses form a permanent longitudinal record of constitutional performance.</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NRS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government act required to be published must appear on the NRS before it takes legal effect. An act not on the NRS is constitutionally suspect. The NRS is not a government convenience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NRS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Public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i w:val="false"/>
          <w:iCs w:val="false"/>
          <w:color w:val="1B2A4A"/>
          <w:sz w:val="22"/>
          <w:szCs w:val="22"/>
        </w:rPr>
        <w:t xml:space="preserve">NRS Technical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431"/>
        <w:jc w:val="left"/>
      </w:pPr>
      <w:r>
        <w:rPr>
          <w:rFonts w:ascii="Courier New" w:cs="Courier New" w:eastAsia="Courier New" w:hAnsi="Courier New"/>
          <w:b/>
          <w:bCs/>
          <w:color w:val="1B2A4A"/>
          <w:sz w:val="18"/>
          <w:szCs w:val="18"/>
        </w:rPr>
        <w:t xml:space="preserve">§9.1.e  </w:t>
      </w:r>
      <w:r>
        <w:rPr>
          <w:rFonts w:ascii="Garamond" w:cs="Garamond" w:eastAsia="Garamond" w:hAnsi="Garamond"/>
          <w:b/>
          <w:bCs/>
          <w:i w:val="false"/>
          <w:iCs w:val="false"/>
          <w:color w:val="1B2A4A"/>
          <w:sz w:val="22"/>
          <w:szCs w:val="22"/>
        </w:rPr>
        <w:t xml:space="preserve">NRS Integrity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431"/>
        <w:jc w:val="left"/>
      </w:pPr>
      <w:r>
        <w:rPr>
          <w:rFonts w:ascii="Courier New" w:cs="Courier New" w:eastAsia="Courier New" w:hAnsi="Courier New"/>
          <w:b/>
          <w:bCs/>
          <w:color w:val="1B2A4A"/>
          <w:sz w:val="18"/>
          <w:szCs w:val="18"/>
        </w:rPr>
        <w:t xml:space="preserve">§9.1.f  </w:t>
      </w:r>
      <w:r>
        <w:rPr>
          <w:rFonts w:ascii="Garamond" w:cs="Garamond" w:eastAsia="Garamond" w:hAnsi="Garamond"/>
          <w:b/>
          <w:bCs/>
          <w:i w:val="false"/>
          <w:iCs w:val="false"/>
          <w:color w:val="1B2A4A"/>
          <w:sz w:val="22"/>
          <w:szCs w:val="22"/>
        </w:rPr>
        <w:t xml:space="preserve">Third-Party NRS Mirrors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431"/>
        <w:jc w:val="left"/>
      </w:pPr>
      <w:r>
        <w:rPr>
          <w:rFonts w:ascii="Courier New" w:cs="Courier New" w:eastAsia="Courier New" w:hAnsi="Courier New"/>
          <w:b/>
          <w:bCs/>
          <w:color w:val="1B2A4A"/>
          <w:sz w:val="18"/>
          <w:szCs w:val="18"/>
        </w:rPr>
        <w:t xml:space="preserve">§9.1.g  </w:t>
      </w:r>
      <w:r>
        <w:rPr>
          <w:rFonts w:ascii="Garamond" w:cs="Garamond" w:eastAsia="Garamond" w:hAnsi="Garamond"/>
          <w:b/>
          <w:bCs/>
          <w:i w:val="false"/>
          <w:iCs w:val="false"/>
          <w:color w:val="1B2A4A"/>
          <w:sz w:val="22"/>
          <w:szCs w:val="22"/>
        </w:rPr>
        <w:t xml:space="preserve">NRS Classification Exemption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431"/>
        <w:jc w:val="left"/>
      </w:pPr>
      <w:r>
        <w:rPr>
          <w:rFonts w:ascii="Courier New" w:cs="Courier New" w:eastAsia="Courier New" w:hAnsi="Courier New"/>
          <w:b/>
          <w:bCs/>
          <w:color w:val="1B2A4A"/>
          <w:sz w:val="18"/>
          <w:szCs w:val="18"/>
        </w:rPr>
        <w:t xml:space="preserve">§9.1.h  </w:t>
      </w:r>
      <w:r>
        <w:rPr>
          <w:rFonts w:ascii="Garamond" w:cs="Garamond" w:eastAsia="Garamond" w:hAnsi="Garamond"/>
          <w:b/>
          <w:bCs/>
          <w:i w:val="false"/>
          <w:iCs w:val="false"/>
          <w:color w:val="1B2A4A"/>
          <w:sz w:val="22"/>
          <w:szCs w:val="22"/>
        </w:rPr>
        <w:t xml:space="preserve">Cross-Jurisdictional Record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Historical Records Preservation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RSA Technical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System Administrator operates the NRS under the oversight of the Legislative Inspectorate. The RSA Director is a statutory independent officer whose independence is protected by §9.5.a. A decennial Technical Integrity Commission reviews whether the NRS architecture continues to meet the constitutional requirements for distributed custody, cryptographic verification, and public accessibility under §9.1.</w:t>
      </w:r>
    </w:p>
    <w:p>
      <w:pPr>
        <w:spacing w:after="60" w:before="200"/>
        <w:ind w:left="431"/>
        <w:jc w:val="left"/>
      </w:pPr>
      <w:r>
        <w:rPr>
          <w:rFonts w:ascii="Courier New" w:cs="Courier New" w:eastAsia="Courier New" w:hAnsi="Courier New"/>
          <w:b/>
          <w:bCs/>
          <w:color w:val="1B2A4A"/>
          <w:sz w:val="18"/>
          <w:szCs w:val="18"/>
        </w:rPr>
        <w:t xml:space="preserve">§9.3.a  </w:t>
      </w:r>
      <w:r>
        <w:rPr>
          <w:rFonts w:ascii="Garamond" w:cs="Garamond" w:eastAsia="Garamond" w:hAnsi="Garamond"/>
          <w:b/>
          <w:bCs/>
          <w:i w:val="false"/>
          <w:iCs w:val="false"/>
          <w:color w:val="1B2A4A"/>
          <w:sz w:val="22"/>
          <w:szCs w:val="22"/>
        </w:rPr>
        <w:t xml:space="preserve">RSA Technical Integrity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decennial RSA Technical Integrity Commission reviews whether the NRS architecture continues to meet the constitutional requirements for distributed, tamper-evident operation established by §9.1. The Commission has publication authority only — it may not issue binding orders, impose penalties, or direct the RSA Director. Its findings are published jointly by all three Inspectorates to the NRS and cannot be withheld, suppressed, or altered after publication. The Commission convenes every ten years from the date of the first Legislature convening under §19.3.d. Qualifications for pool eligibility, audit methodology and scope, working session parameters, and compensation are established by statute. The Legislature may not adjust the decennial trigger date by statute. If the LI's annual audit under §9.1.e identifies a critical architectural failure — defined as a finding that the NRS no longer meets the constitutional requirements for tamper-evident operation or distributed custody — the LI may declare an emergency review, triggering an extraordinary Commission draw from the current confirmed pool under §9.3.d. An emergency Commission draw does not reset the decennial clock.</w:t>
      </w:r>
    </w:p>
    <w:p>
      <w:pPr>
        <w:spacing w:after="60" w:before="200"/>
        <w:ind w:left="431"/>
        <w:jc w:val="left"/>
      </w:pPr>
      <w:r>
        <w:rPr>
          <w:rFonts w:ascii="Courier New" w:cs="Courier New" w:eastAsia="Courier New" w:hAnsi="Courier New"/>
          <w:b/>
          <w:bCs/>
          <w:color w:val="1B2A4A"/>
          <w:sz w:val="18"/>
          <w:szCs w:val="18"/>
        </w:rPr>
        <w:t xml:space="preserve">§9.3.b  </w:t>
      </w:r>
      <w:r>
        <w:rPr>
          <w:rFonts w:ascii="Garamond" w:cs="Garamond" w:eastAsia="Garamond" w:hAnsi="Garamond"/>
          <w:b/>
          <w:bCs/>
          <w:i w:val="false"/>
          <w:iCs w:val="false"/>
          <w:color w:val="1B2A4A"/>
          <w:sz w:val="22"/>
          <w:szCs w:val="22"/>
        </w:rPr>
        <w:t xml:space="preserve">RSA Technical Pool —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and PM each nominate one qualified person per year to the RSA Technical Pool. Each nominee must be confirmed by the Senate within 60 days of nomination by affirmative vote — no deemed-confirmed fallback applies to this position. Senate failure to vote within 60 days is a constitutional compliance failure published to the NRS by the LI. The pool is a public NRS record. Qualifications are defined by statute and certified by the JI at time of nomination. Over a ten-year cycle both executives may each nominate up to ten members, for a maximum pool of twenty confirmed members.</w:t>
      </w:r>
    </w:p>
    <w:p>
      <w:pPr>
        <w:spacing w:after="60" w:before="200"/>
        <w:ind w:left="431"/>
        <w:jc w:val="left"/>
      </w:pPr>
      <w:r>
        <w:rPr>
          <w:rFonts w:ascii="Courier New" w:cs="Courier New" w:eastAsia="Courier New" w:hAnsi="Courier New"/>
          <w:b/>
          <w:bCs/>
          <w:color w:val="1B2A4A"/>
          <w:sz w:val="18"/>
          <w:szCs w:val="18"/>
        </w:rPr>
        <w:t xml:space="preserve">§9.3.c  </w:t>
      </w:r>
      <w:r>
        <w:rPr>
          <w:rFonts w:ascii="Garamond" w:cs="Garamond" w:eastAsia="Garamond" w:hAnsi="Garamond"/>
          <w:b/>
          <w:bCs/>
          <w:i w:val="false"/>
          <w:iCs w:val="false"/>
          <w:color w:val="1B2A4A"/>
          <w:sz w:val="22"/>
          <w:szCs w:val="22"/>
        </w:rPr>
        <w:t xml:space="preserve">Pool Reset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RSA Technical Pool resets after each decennial commission cycle. Previously confirmed pool members who did not serve on the commission may be re-nominated by either executive in the new cycle; fresh Senate confirmation under §9.3.b is required and no member carries forward automatically. Members who served on the commission are not eligible for re-nomination to the pool.</w:t>
      </w:r>
    </w:p>
    <w:p>
      <w:pPr>
        <w:spacing w:after="60" w:before="200"/>
        <w:ind w:left="431"/>
        <w:jc w:val="left"/>
      </w:pPr>
      <w:r>
        <w:rPr>
          <w:rFonts w:ascii="Courier New" w:cs="Courier New" w:eastAsia="Courier New" w:hAnsi="Courier New"/>
          <w:b/>
          <w:bCs/>
          <w:color w:val="1B2A4A"/>
          <w:sz w:val="18"/>
          <w:szCs w:val="18"/>
        </w:rPr>
        <w:t xml:space="preserve">§9.3.d  </w:t>
      </w:r>
      <w:r>
        <w:rPr>
          <w:rFonts w:ascii="Garamond" w:cs="Garamond" w:eastAsia="Garamond" w:hAnsi="Garamond"/>
          <w:b/>
          <w:bCs/>
          <w:i w:val="false"/>
          <w:iCs w:val="false"/>
          <w:color w:val="1B2A4A"/>
          <w:sz w:val="22"/>
          <w:szCs w:val="22"/>
        </w:rPr>
        <w:t xml:space="preserve">Commission Draw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decennial review is triggered, all three Inspectorates jointly constitute the Commission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Commission's working period.</w:t>
      </w:r>
    </w:p>
    <w:p>
      <w:pPr>
        <w:spacing w:after="60" w:before="200"/>
        <w:ind w:left="431"/>
        <w:jc w:val="left"/>
      </w:pPr>
      <w:r>
        <w:rPr>
          <w:rFonts w:ascii="Courier New" w:cs="Courier New" w:eastAsia="Courier New" w:hAnsi="Courier New"/>
          <w:b/>
          <w:bCs/>
          <w:color w:val="1B2A4A"/>
          <w:sz w:val="18"/>
          <w:szCs w:val="18"/>
        </w:rPr>
        <w:t xml:space="preserve">§9.3.e  </w:t>
      </w:r>
      <w:r>
        <w:rPr>
          <w:rFonts w:ascii="Garamond" w:cs="Garamond" w:eastAsia="Garamond" w:hAnsi="Garamond"/>
          <w:b/>
          <w:bCs/>
          <w:i w:val="false"/>
          <w:iCs w:val="false"/>
          <w:color w:val="1B2A4A"/>
          <w:sz w:val="22"/>
          <w:szCs w:val="22"/>
        </w:rPr>
        <w:t xml:space="preserve">Commission Replacement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Commission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431"/>
        <w:jc w:val="left"/>
      </w:pPr>
      <w:r>
        <w:rPr>
          <w:rFonts w:ascii="Courier New" w:cs="Courier New" w:eastAsia="Courier New" w:hAnsi="Courier New"/>
          <w:b/>
          <w:bCs/>
          <w:color w:val="1B2A4A"/>
          <w:sz w:val="18"/>
          <w:szCs w:val="18"/>
        </w:rPr>
        <w:t xml:space="preserve">§9.3.f  </w:t>
      </w:r>
      <w:r>
        <w:rPr>
          <w:rFonts w:ascii="Garamond" w:cs="Garamond" w:eastAsia="Garamond" w:hAnsi="Garamond"/>
          <w:b/>
          <w:bCs/>
          <w:i w:val="false"/>
          <w:iCs w:val="false"/>
          <w:color w:val="1B2A4A"/>
          <w:sz w:val="22"/>
          <w:szCs w:val="22"/>
        </w:rPr>
        <w:t xml:space="preserve">Tri-Inspectorate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certify the draw under §9.3.d, oversee the Commission's working sessions to verify that the Commission has the access to records, systems, and personnel required by its statutory mandate, and review the Commission's findings before publication to confirm the findings reflect the Commission's genuine conclusions and have not been suppressed or modified. All three Inspectorate seals appear on findings published to the NRS. The RSA Director receives a copy of published findings simultaneously with NRS publication.</w:t>
      </w:r>
    </w:p>
    <w:p>
      <w:pPr>
        <w:spacing w:after="60" w:before="200"/>
        <w:ind w:left="431"/>
        <w:jc w:val="left"/>
      </w:pPr>
      <w:r>
        <w:rPr>
          <w:rFonts w:ascii="Courier New" w:cs="Courier New" w:eastAsia="Courier New" w:hAnsi="Courier New"/>
          <w:b/>
          <w:bCs/>
          <w:color w:val="1B2A4A"/>
          <w:sz w:val="18"/>
          <w:szCs w:val="18"/>
        </w:rPr>
        <w:t xml:space="preserve">§9.3.g  </w:t>
      </w:r>
      <w:r>
        <w:rPr>
          <w:rFonts w:ascii="Garamond" w:cs="Garamond" w:eastAsia="Garamond" w:hAnsi="Garamond"/>
          <w:b/>
          <w:bCs/>
          <w:i w:val="false"/>
          <w:iCs w:val="false"/>
          <w:color w:val="1B2A4A"/>
          <w:sz w:val="22"/>
          <w:szCs w:val="22"/>
        </w:rPr>
        <w:t xml:space="preserve">Commission Findings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Commission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The Legislature, the RSA Director, and both executives receive findings simultaneously with NRS publication. The Commission's mandate ends upon publication; the Commission dissolves and the pool resets under §9.3.c. Where an Emergency RSA Commission has been constituted under §9.3.h since the prior decennial review, the next regularly scheduled decennial Commission must include in its scope a review of the emergency findings — assessing whether the remediation was adequate and making architectural recommendations to prevent recurrence. These findings are published as a dedicated section of the decennial report.</w:t>
      </w:r>
    </w:p>
    <w:p>
      <w:pPr>
        <w:spacing w:after="60" w:before="200"/>
        <w:ind w:left="431"/>
        <w:jc w:val="left"/>
      </w:pPr>
      <w:r>
        <w:rPr>
          <w:rFonts w:ascii="Courier New" w:cs="Courier New" w:eastAsia="Courier New" w:hAnsi="Courier New"/>
          <w:b/>
          <w:bCs/>
          <w:color w:val="1B2A4A"/>
          <w:sz w:val="18"/>
          <w:szCs w:val="18"/>
        </w:rPr>
        <w:t xml:space="preserve">§9.3.h  </w:t>
      </w:r>
      <w:r>
        <w:rPr>
          <w:rFonts w:ascii="Garamond" w:cs="Garamond" w:eastAsia="Garamond" w:hAnsi="Garamond"/>
          <w:b/>
          <w:bCs/>
          <w:i w:val="false"/>
          <w:iCs w:val="false"/>
          <w:color w:val="1B2A4A"/>
          <w:sz w:val="22"/>
          <w:szCs w:val="22"/>
        </w:rPr>
        <w:t xml:space="preserve">Emergency RSA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declared an emergency review under §9.3.a, the LI formally alerts the PM and publishes the emergency finding to the NRS. The PM requests each State to nominate one qualified person to an Emergency Technical Pool within 14 days. The LI certifies each nominee's qualifications against the statutory standard established under §9.3.b. All three Inspectorates then conduct a public lottery draw of five members from the certified nominees using the procedure under §9.3.d — the draw is published to the NRS before the session closes. The Emergency Commission's scope is limited to the specific architectural failure identified in the LI's emergency finding; it may not expand its mandate beyond that scope. Findings are published jointly by all three Inspectorates to the NRS upon completion. Senate confirmation is not required for Emergency Commission members; the mandatory Senate accountability session under §9.3.i provides accountability in lieu of confirmation. The Emergency Commission does not trigger a pool reset; the regular decennial pool and clock are unaffected. The Emergency Technical Pool dissolves upon conclusion of the Senate accountability session.</w:t>
      </w:r>
    </w:p>
    <w:p>
      <w:pPr>
        <w:spacing w:after="60" w:before="200"/>
        <w:ind w:left="431"/>
        <w:jc w:val="left"/>
      </w:pPr>
      <w:r>
        <w:rPr>
          <w:rFonts w:ascii="Courier New" w:cs="Courier New" w:eastAsia="Courier New" w:hAnsi="Courier New"/>
          <w:b/>
          <w:bCs/>
          <w:color w:val="1B2A4A"/>
          <w:sz w:val="18"/>
          <w:szCs w:val="18"/>
        </w:rPr>
        <w:t xml:space="preserve">§9.3.i  </w:t>
      </w:r>
      <w:r>
        <w:rPr>
          <w:rFonts w:ascii="Garamond" w:cs="Garamond" w:eastAsia="Garamond" w:hAnsi="Garamond"/>
          <w:b/>
          <w:bCs/>
          <w:i w:val="false"/>
          <w:iCs w:val="false"/>
          <w:color w:val="1B2A4A"/>
          <w:sz w:val="22"/>
          <w:szCs w:val="22"/>
        </w:rPr>
        <w:t xml:space="preserve">Emergency Commission Senate Accountability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the Emergency Commission's appointment under §9.3.h, the Senate must schedule a mandatory public accountability session. The session must occur within 90 days of the Emergency Commission's appointment. Emergency Commission members appear before the Senate, present their findings, and respond to questions from senators. The session is published in full to the NRS. Failure to schedule the session within 30 days of appointment is a constitutional compliance breach certified by the LI and published to the NRS. The Senate accountability session provides the legitimacy in lieu of Senate confirmation — the Commission's findings carry full constitutional weight upon NRS publication regardless of whether the session has yet occurred.</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NRS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administered by a technically independent office under LI oversight.</w:t>
      </w:r>
    </w:p>
    <w:p>
      <w:pPr>
        <w:spacing w:after="60" w:before="200"/>
        <w:ind w:left="431"/>
        <w:jc w:val="left"/>
      </w:pPr>
      <w:r>
        <w:rPr>
          <w:rFonts w:ascii="Courier New" w:cs="Courier New" w:eastAsia="Courier New" w:hAnsi="Courier New"/>
          <w:b/>
          <w:bCs/>
          <w:color w:val="1B2A4A"/>
          <w:sz w:val="18"/>
          <w:szCs w:val="18"/>
        </w:rPr>
        <w:t xml:space="preserve">§9.5.a  </w:t>
      </w:r>
      <w:r>
        <w:rPr>
          <w:rFonts w:ascii="Garamond" w:cs="Garamond" w:eastAsia="Garamond" w:hAnsi="Garamond"/>
          <w:b/>
          <w:bCs/>
          <w:i w:val="false"/>
          <w:iCs w:val="false"/>
          <w:color w:val="1B2A4A"/>
          <w:sz w:val="22"/>
          <w:szCs w:val="22"/>
        </w:rPr>
        <w:t xml:space="preserve">NRS Staffing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is administered by a non-partisan technical office reporting to the LI for oversight. NRS staff may not receive direction from either executive or the Legislature regarding the content, timing, or availability of any record. The NRS administrator is appointed by the LI following public application and qualification review.</w:t>
      </w:r>
    </w:p>
    <w:p>
      <w:pPr>
        <w:spacing w:after="60" w:before="200"/>
        <w:ind w:left="431"/>
        <w:jc w:val="left"/>
      </w:pPr>
      <w:r>
        <w:rPr>
          <w:rFonts w:ascii="Courier New" w:cs="Courier New" w:eastAsia="Courier New" w:hAnsi="Courier New"/>
          <w:b/>
          <w:bCs/>
          <w:color w:val="1B2A4A"/>
          <w:sz w:val="18"/>
          <w:szCs w:val="18"/>
        </w:rPr>
        <w:t xml:space="preserve">§9.5.b  </w:t>
      </w:r>
      <w:r>
        <w:rPr>
          <w:rFonts w:ascii="Garamond" w:cs="Garamond" w:eastAsia="Garamond" w:hAnsi="Garamond"/>
          <w:b/>
          <w:bCs/>
          <w:i w:val="false"/>
          <w:iCs w:val="false"/>
          <w:color w:val="1B2A4A"/>
          <w:sz w:val="22"/>
          <w:szCs w:val="22"/>
        </w:rPr>
        <w:t xml:space="preserve">NRS Downtime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431"/>
        <w:jc w:val="left"/>
      </w:pPr>
      <w:r>
        <w:rPr>
          <w:rFonts w:ascii="Courier New" w:cs="Courier New" w:eastAsia="Courier New" w:hAnsi="Courier New"/>
          <w:b/>
          <w:bCs/>
          <w:color w:val="1B2A4A"/>
          <w:sz w:val="18"/>
          <w:szCs w:val="18"/>
        </w:rPr>
        <w:t xml:space="preserve">§9.5.c  </w:t>
      </w:r>
      <w:r>
        <w:rPr>
          <w:rFonts w:ascii="Garamond" w:cs="Garamond" w:eastAsia="Garamond" w:hAnsi="Garamond"/>
          <w:b/>
          <w:bCs/>
          <w:i w:val="false"/>
          <w:iCs w:val="false"/>
          <w:color w:val="1B2A4A"/>
          <w:sz w:val="22"/>
          <w:szCs w:val="22"/>
        </w:rPr>
        <w:t xml:space="preserve">Citizen NRS Submissions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431"/>
        <w:jc w:val="left"/>
      </w:pPr>
      <w:r>
        <w:rPr>
          <w:rFonts w:ascii="Courier New" w:cs="Courier New" w:eastAsia="Courier New" w:hAnsi="Courier New"/>
          <w:b/>
          <w:bCs/>
          <w:color w:val="1B2A4A"/>
          <w:sz w:val="18"/>
          <w:szCs w:val="18"/>
        </w:rPr>
        <w:t xml:space="preserve">§9.5.d  </w:t>
      </w:r>
      <w:r>
        <w:rPr>
          <w:rFonts w:ascii="Garamond" w:cs="Garamond" w:eastAsia="Garamond" w:hAnsi="Garamond"/>
          <w:b/>
          <w:bCs/>
          <w:i w:val="false"/>
          <w:iCs w:val="false"/>
          <w:color w:val="1B2A4A"/>
          <w:sz w:val="22"/>
          <w:szCs w:val="22"/>
        </w:rPr>
        <w:t xml:space="preserve">NRS Funding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431"/>
        <w:jc w:val="left"/>
      </w:pPr>
      <w:r>
        <w:rPr>
          <w:rFonts w:ascii="Courier New" w:cs="Courier New" w:eastAsia="Courier New" w:hAnsi="Courier New"/>
          <w:b/>
          <w:bCs/>
          <w:color w:val="1B2A4A"/>
          <w:sz w:val="18"/>
          <w:szCs w:val="18"/>
        </w:rPr>
        <w:t xml:space="preserve">§9.5.e  </w:t>
      </w:r>
      <w:r>
        <w:rPr>
          <w:rFonts w:ascii="Garamond" w:cs="Garamond" w:eastAsia="Garamond" w:hAnsi="Garamond"/>
          <w:b/>
          <w:bCs/>
          <w:i w:val="false"/>
          <w:iCs w:val="false"/>
          <w:color w:val="1B2A4A"/>
          <w:sz w:val="22"/>
          <w:szCs w:val="22"/>
        </w:rPr>
        <w:t xml:space="preserve">Improper Classification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Basic Needs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guarantees every Inhabitant access to a minimum basket of goods and services — food, housing, healthcare, education, and utilities — at a level adequate for a dignified life. Funded by a constitutionally reserved 5% of gross domestic revenue — this percentage cannot be reduced without a constitutional amendment.</w:t>
      </w:r>
    </w:p>
    <w:p>
      <w:pPr>
        <w:spacing w:after="60" w:before="200"/>
        <w:ind w:left="431"/>
        <w:jc w:val="left"/>
      </w:pPr>
      <w:r>
        <w:rPr>
          <w:rFonts w:ascii="Courier New" w:cs="Courier New" w:eastAsia="Courier New" w:hAnsi="Courier New"/>
          <w:b/>
          <w:bCs/>
          <w:color w:val="1B2A4A"/>
          <w:sz w:val="18"/>
          <w:szCs w:val="18"/>
        </w:rPr>
        <w:t xml:space="preserve">§10.1.a  </w:t>
      </w:r>
      <w:r>
        <w:rPr>
          <w:rFonts w:ascii="Garamond" w:cs="Garamond" w:eastAsia="Garamond" w:hAnsi="Garamond"/>
          <w:b/>
          <w:bCs/>
          <w:i w:val="false"/>
          <w:iCs w:val="false"/>
          <w:color w:val="1B2A4A"/>
          <w:sz w:val="22"/>
          <w:szCs w:val="22"/>
        </w:rPr>
        <w:t xml:space="preserve">BNF Funding Reserve</w:t>
      </w:r>
    </w:p>
    <w:p>
      <w:pPr>
        <w:spacing w:after="120" w:before="0"/>
        <w:ind w:left="431"/>
        <w:jc w:val="both"/>
      </w:pPr>
      <w:r>
        <w:rPr>
          <w:rFonts w:ascii="Garamond" w:cs="Garamond" w:eastAsia="Garamond" w:hAnsi="Garamond"/>
          <w:b w:val="false"/>
          <w:bCs w:val="false"/>
          <w:i w:val="false"/>
          <w:iCs w:val="false"/>
          <w:color w:val="2a2520"/>
          <w:sz w:val="22"/>
          <w:szCs w:val="22"/>
        </w:rPr>
        <w:t xml:space="preserve">5% of gross domestic revenue is constitutionally reserved for the BNF and cannot be redirected. If the BNF requires more than 5%, the Legislature may appropriate additional funding by statute. The reserve is calculated annually by the MA and published to the NRS. During a Severe Revenue Contraction (§10.1.f), the National Endowment backstops the BNF.</w:t>
      </w:r>
    </w:p>
    <w:p>
      <w:pPr>
        <w:spacing w:after="60" w:before="200"/>
        <w:ind w:left="431"/>
        <w:jc w:val="left"/>
      </w:pPr>
      <w:r>
        <w:rPr>
          <w:rFonts w:ascii="Courier New" w:cs="Courier New" w:eastAsia="Courier New" w:hAnsi="Courier New"/>
          <w:b/>
          <w:bCs/>
          <w:color w:val="1B2A4A"/>
          <w:sz w:val="18"/>
          <w:szCs w:val="18"/>
        </w:rPr>
        <w:t xml:space="preserve">§10.1.b  </w:t>
      </w:r>
      <w:r>
        <w:rPr>
          <w:rFonts w:ascii="Garamond" w:cs="Garamond" w:eastAsia="Garamond" w:hAnsi="Garamond"/>
          <w:b/>
          <w:bCs/>
          <w:i w:val="false"/>
          <w:iCs w:val="false"/>
          <w:color w:val="1B2A4A"/>
          <w:sz w:val="22"/>
          <w:szCs w:val="22"/>
        </w:rPr>
        <w:t xml:space="preserve">BNF Adequacy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BNF basket must be sufficient to meet genuine basic needs — not merely nominally available. The PM's annual budget must fund the BNF at a level the MA certifies as adequate to deliver the constitutional basket to every eligible Inhabitant. A budget that funds the BNF below the MA's certified adequacy level is constitutionally deficient.</w:t>
      </w:r>
    </w:p>
    <w:p>
      <w:pPr>
        <w:spacing w:after="60" w:before="200"/>
        <w:ind w:left="431"/>
        <w:jc w:val="left"/>
      </w:pPr>
      <w:r>
        <w:rPr>
          <w:rFonts w:ascii="Courier New" w:cs="Courier New" w:eastAsia="Courier New" w:hAnsi="Courier New"/>
          <w:b/>
          <w:bCs/>
          <w:color w:val="1B2A4A"/>
          <w:sz w:val="18"/>
          <w:szCs w:val="18"/>
        </w:rPr>
        <w:t xml:space="preserve">§10.1.c  </w:t>
      </w:r>
      <w:r>
        <w:rPr>
          <w:rFonts w:ascii="Garamond" w:cs="Garamond" w:eastAsia="Garamond" w:hAnsi="Garamond"/>
          <w:b/>
          <w:bCs/>
          <w:i w:val="false"/>
          <w:iCs w:val="false"/>
          <w:color w:val="1B2A4A"/>
          <w:sz w:val="22"/>
          <w:szCs w:val="22"/>
        </w:rPr>
        <w:t xml:space="preserve">BNF Coverage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BNF must cover five categories: food security, housing, healthcare, education access, and digital connectivity. The Legislature defines the specific floor within each category by statute. No statute may reduce any category below the level of genuine adequacy — the constitutional floor is real sufficiency, not symbolic provision.</w:t>
      </w:r>
    </w:p>
    <w:p>
      <w:pPr>
        <w:spacing w:after="60" w:before="200"/>
        <w:ind w:left="431"/>
        <w:jc w:val="left"/>
      </w:pPr>
      <w:r>
        <w:rPr>
          <w:rFonts w:ascii="Courier New" w:cs="Courier New" w:eastAsia="Courier New" w:hAnsi="Courier New"/>
          <w:b/>
          <w:bCs/>
          <w:color w:val="1B2A4A"/>
          <w:sz w:val="18"/>
          <w:szCs w:val="18"/>
        </w:rPr>
        <w:t xml:space="preserve">§10.1.d  </w:t>
      </w:r>
      <w:r>
        <w:rPr>
          <w:rFonts w:ascii="Garamond" w:cs="Garamond" w:eastAsia="Garamond" w:hAnsi="Garamond"/>
          <w:b/>
          <w:bCs/>
          <w:i w:val="false"/>
          <w:iCs w:val="false"/>
          <w:color w:val="1B2A4A"/>
          <w:sz w:val="22"/>
          <w:szCs w:val="22"/>
        </w:rPr>
        <w:t xml:space="preserve">BNF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Access to BNF benefits may not be conditioned on citizenship, residency status, political affiliation, or any characteristic protected under §1.9. Every Inhabitant receives equal access. The Legislature may not create tiered access based on contribution history or prior benefit receipt — the BNF is a floor, not an insurance program.</w:t>
      </w:r>
    </w:p>
    <w:p>
      <w:pPr>
        <w:spacing w:after="60" w:before="200"/>
        <w:ind w:left="431"/>
        <w:jc w:val="left"/>
      </w:pPr>
      <w:r>
        <w:rPr>
          <w:rFonts w:ascii="Courier New" w:cs="Courier New" w:eastAsia="Courier New" w:hAnsi="Courier New"/>
          <w:b/>
          <w:bCs/>
          <w:color w:val="1B2A4A"/>
          <w:sz w:val="18"/>
          <w:szCs w:val="18"/>
        </w:rPr>
        <w:t xml:space="preserve">§10.1.e  </w:t>
      </w:r>
      <w:r>
        <w:rPr>
          <w:rFonts w:ascii="Garamond" w:cs="Garamond" w:eastAsia="Garamond" w:hAnsi="Garamond"/>
          <w:b/>
          <w:bCs/>
          <w:i w:val="false"/>
          <w:iCs w:val="false"/>
          <w:color w:val="1B2A4A"/>
          <w:sz w:val="22"/>
          <w:szCs w:val="22"/>
        </w:rPr>
        <w:t xml:space="preserve">BNF Administration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the BNF through the Domestic Affairs Council. Administration must meet the constitutional adequacy standard — delivery mechanisms must actually reach Inhabitants, not merely be nominally available. The LI audits BNF delivery annually.</w:t>
      </w:r>
    </w:p>
    <w:p>
      <w:pPr>
        <w:spacing w:after="60" w:before="200"/>
        <w:ind w:left="431"/>
        <w:jc w:val="left"/>
      </w:pPr>
      <w:r>
        <w:rPr>
          <w:rFonts w:ascii="Courier New" w:cs="Courier New" w:eastAsia="Courier New" w:hAnsi="Courier New"/>
          <w:b/>
          <w:bCs/>
          <w:color w:val="1B2A4A"/>
          <w:sz w:val="18"/>
          <w:szCs w:val="18"/>
        </w:rPr>
        <w:t xml:space="preserve">§10.1.f  </w:t>
      </w:r>
      <w:r>
        <w:rPr>
          <w:rFonts w:ascii="Garamond" w:cs="Garamond" w:eastAsia="Garamond" w:hAnsi="Garamond"/>
          <w:b/>
          <w:bCs/>
          <w:i w:val="false"/>
          <w:iCs w:val="false"/>
          <w:color w:val="1B2A4A"/>
          <w:sz w:val="22"/>
          <w:szCs w:val="22"/>
        </w:rPr>
        <w:t xml:space="preserve">Severe Revenue Contraction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certifies a severe revenue contraction, the BNF funding floor remains in effect and the National Endowment reserve fund supplements the 5% reserve to ensure BNF continuity. The MA certification triggers automatic activation of the Endowment — no legislative action required. The BNF is recession-proof.</w:t>
      </w:r>
    </w:p>
    <w:p>
      <w:pPr>
        <w:spacing w:after="60" w:before="200"/>
        <w:ind w:left="431"/>
        <w:jc w:val="left"/>
      </w:pPr>
      <w:r>
        <w:rPr>
          <w:rFonts w:ascii="Courier New" w:cs="Courier New" w:eastAsia="Courier New" w:hAnsi="Courier New"/>
          <w:b/>
          <w:bCs/>
          <w:color w:val="1B2A4A"/>
          <w:sz w:val="18"/>
          <w:szCs w:val="18"/>
        </w:rPr>
        <w:t xml:space="preserve">§10.1.g  </w:t>
      </w:r>
      <w:r>
        <w:rPr>
          <w:rFonts w:ascii="Garamond" w:cs="Garamond" w:eastAsia="Garamond" w:hAnsi="Garamond"/>
          <w:b/>
          <w:bCs/>
          <w:i w:val="false"/>
          <w:iCs w:val="false"/>
          <w:color w:val="1B2A4A"/>
          <w:sz w:val="22"/>
          <w:szCs w:val="22"/>
        </w:rPr>
        <w:t xml:space="preserve">BNF and Emergency Declarations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No domestic emergency may reduce, suspend, or otherwise diminish BNF benefits. The BNF is explicitly excluded from emergency powers. A PM who attempts to redirect BNF funds during an emergency has committed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431"/>
        <w:jc w:val="left"/>
      </w:pPr>
      <w:r>
        <w:rPr>
          <w:rFonts w:ascii="Courier New" w:cs="Courier New" w:eastAsia="Courier New" w:hAnsi="Courier New"/>
          <w:b/>
          <w:bCs/>
          <w:color w:val="1B2A4A"/>
          <w:sz w:val="18"/>
          <w:szCs w:val="18"/>
        </w:rPr>
        <w:t xml:space="preserve">§10.2.a  </w:t>
      </w:r>
      <w:r>
        <w:rPr>
          <w:rFonts w:ascii="Garamond" w:cs="Garamond" w:eastAsia="Garamond" w:hAnsi="Garamond"/>
          <w:b/>
          <w:bCs/>
          <w:i w:val="false"/>
          <w:iCs w:val="false"/>
          <w:color w:val="1B2A4A"/>
          <w:sz w:val="22"/>
          <w:szCs w:val="22"/>
        </w:rPr>
        <w:t xml:space="preserve">Deficit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431"/>
        <w:jc w:val="left"/>
      </w:pPr>
      <w:r>
        <w:rPr>
          <w:rFonts w:ascii="Courier New" w:cs="Courier New" w:eastAsia="Courier New" w:hAnsi="Courier New"/>
          <w:b/>
          <w:bCs/>
          <w:color w:val="1B2A4A"/>
          <w:sz w:val="18"/>
          <w:szCs w:val="18"/>
        </w:rPr>
        <w:t xml:space="preserve">§10.2.b  </w:t>
      </w:r>
      <w:r>
        <w:rPr>
          <w:rFonts w:ascii="Garamond" w:cs="Garamond" w:eastAsia="Garamond" w:hAnsi="Garamond"/>
          <w:b/>
          <w:bCs/>
          <w:i w:val="false"/>
          <w:iCs w:val="false"/>
          <w:color w:val="1B2A4A"/>
          <w:sz w:val="22"/>
          <w:szCs w:val="22"/>
        </w:rPr>
        <w:t xml:space="preserve">Legislative Pay Withholding</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431"/>
        <w:jc w:val="left"/>
      </w:pPr>
      <w:r>
        <w:rPr>
          <w:rFonts w:ascii="Courier New" w:cs="Courier New" w:eastAsia="Courier New" w:hAnsi="Courier New"/>
          <w:b/>
          <w:bCs/>
          <w:color w:val="1B2A4A"/>
          <w:sz w:val="18"/>
          <w:szCs w:val="18"/>
        </w:rPr>
        <w:t xml:space="preserve">§10.2.c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reserve fund for BNF backstop purposes is established and governed under §10.6. The Legislature must fund it by appropriation in years of fiscal surplus. Failure to establish or adequately fund the Endowment within the constitutionally required period is a compliance breach reportable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public campaign financing system within 24 months of the first Legislature convening under §19.3.d. If it fails to do so, the failure is a constitutional compliance breach — the LI certifies the breach, the EI reports it, and citizens may petition for a citizen legislative initiative under §11.2.a to impose a public financing framework by direct mandate.</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i w:val="false"/>
          <w:iCs w:val="false"/>
          <w:color w:val="1B2A4A"/>
          <w:sz w:val="22"/>
          <w:szCs w:val="22"/>
        </w:rPr>
        <w:t xml:space="preserve">Campaign Financing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§10.3.b  </w:t>
      </w:r>
      <w:r>
        <w:rPr>
          <w:rFonts w:ascii="Garamond" w:cs="Garamond" w:eastAsia="Garamond" w:hAnsi="Garamond"/>
          <w:b/>
          <w:bCs/>
          <w:i w:val="false"/>
          <w:iCs w:val="false"/>
          <w:color w:val="1B2A4A"/>
          <w:sz w:val="22"/>
          <w:szCs w:val="22"/>
        </w:rPr>
        <w:t xml:space="preserve">Campaign Financing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jc w:val="left"/>
      </w:pPr>
      <w:r>
        <w:rPr>
          <w:rFonts w:ascii="Courier New" w:cs="Courier New" w:eastAsia="Courier New" w:hAnsi="Courier New"/>
          <w:b/>
          <w:bCs/>
          <w:color w:val="1B2A4A"/>
          <w:sz w:val="18"/>
          <w:szCs w:val="18"/>
        </w:rPr>
        <w:t xml:space="preserve">§10.4  </w:t>
      </w:r>
      <w:r>
        <w:rPr>
          <w:rFonts w:ascii="Garamond" w:cs="Garamond" w:eastAsia="Garamond" w:hAnsi="Garamond"/>
          <w:b/>
          <w:bCs/>
          <w:i w:val="false"/>
          <w:iCs w:val="false"/>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431"/>
        <w:jc w:val="left"/>
      </w:pPr>
      <w:r>
        <w:rPr>
          <w:rFonts w:ascii="Courier New" w:cs="Courier New" w:eastAsia="Courier New" w:hAnsi="Courier New"/>
          <w:b/>
          <w:bCs/>
          <w:color w:val="1B2A4A"/>
          <w:sz w:val="18"/>
          <w:szCs w:val="18"/>
        </w:rPr>
        <w:t xml:space="preserve">§10.4.a  </w:t>
      </w:r>
      <w:r>
        <w:rPr>
          <w:rFonts w:ascii="Garamond" w:cs="Garamond" w:eastAsia="Garamond" w:hAnsi="Garamond"/>
          <w:b/>
          <w:bCs/>
          <w:i w:val="false"/>
          <w:iCs w:val="false"/>
          <w:color w:val="1B2A4A"/>
          <w:sz w:val="22"/>
          <w:szCs w:val="22"/>
        </w:rPr>
        <w:t xml:space="preserve">MA Director Election and Board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is governed by an elected Director and a board of five appointed members. The Director is elected by national RCV on National Election Day to a single non-renewable 8-year term, staggered from the board member appointment cycle. Board members are appointed by the PM and confirmed by the Senate to staggered 6-year non-renewable terms. No more than two board members may be appointed by the same PM. Board vacancies must be filled within 90 days of opening; if the PM fails to nominate within 60 days, the JI publishes a notice of constitutional non-compliance.</w:t>
      </w:r>
    </w:p>
    <w:p>
      <w:pPr>
        <w:spacing w:after="60" w:before="200"/>
        <w:ind w:left="431"/>
        <w:jc w:val="left"/>
      </w:pPr>
      <w:r>
        <w:rPr>
          <w:rFonts w:ascii="Courier New" w:cs="Courier New" w:eastAsia="Courier New" w:hAnsi="Courier New"/>
          <w:b/>
          <w:bCs/>
          <w:color w:val="1B2A4A"/>
          <w:sz w:val="18"/>
          <w:szCs w:val="18"/>
        </w:rPr>
        <w:t xml:space="preserve">§10.4.b  </w:t>
      </w:r>
      <w:r>
        <w:rPr>
          <w:rFonts w:ascii="Garamond" w:cs="Garamond" w:eastAsia="Garamond" w:hAnsi="Garamond"/>
          <w:b/>
          <w:bCs/>
          <w:i w:val="false"/>
          <w:iCs w:val="false"/>
          <w:color w:val="1B2A4A"/>
          <w:sz w:val="22"/>
          <w:szCs w:val="22"/>
        </w:rPr>
        <w:t xml:space="preserve">MA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431"/>
        <w:jc w:val="left"/>
      </w:pPr>
      <w:r>
        <w:rPr>
          <w:rFonts w:ascii="Courier New" w:cs="Courier New" w:eastAsia="Courier New" w:hAnsi="Courier New"/>
          <w:b/>
          <w:bCs/>
          <w:color w:val="1B2A4A"/>
          <w:sz w:val="18"/>
          <w:szCs w:val="18"/>
        </w:rPr>
        <w:t xml:space="preserve">§10.4.b.i  </w:t>
      </w:r>
      <w:r>
        <w:rPr>
          <w:rFonts w:ascii="Garamond" w:cs="Garamond" w:eastAsia="Garamond" w:hAnsi="Garamond"/>
          <w:b/>
          <w:bCs/>
          <w:i w:val="false"/>
          <w:iCs w:val="false"/>
          <w:color w:val="1B2A4A"/>
          <w:sz w:val="22"/>
          <w:szCs w:val="22"/>
        </w:rPr>
        <w:t xml:space="preserve">Executive Non-Interference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431"/>
        <w:jc w:val="left"/>
      </w:pPr>
      <w:r>
        <w:rPr>
          <w:rFonts w:ascii="Courier New" w:cs="Courier New" w:eastAsia="Courier New" w:hAnsi="Courier New"/>
          <w:b/>
          <w:bCs/>
          <w:color w:val="1B2A4A"/>
          <w:sz w:val="18"/>
          <w:szCs w:val="18"/>
        </w:rPr>
        <w:t xml:space="preserve">§10.4.b.ii  </w:t>
      </w:r>
      <w:r>
        <w:rPr>
          <w:rFonts w:ascii="Garamond" w:cs="Garamond" w:eastAsia="Garamond" w:hAnsi="Garamond"/>
          <w:b/>
          <w:bCs/>
          <w:i w:val="false"/>
          <w:iCs w:val="false"/>
          <w:color w:val="1B2A4A"/>
          <w:sz w:val="22"/>
          <w:szCs w:val="22"/>
        </w:rPr>
        <w:t xml:space="preserve">Acting MA Director</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Director position is vacant or the Director is incapacitated, the board of five members selects an Acting Director from among themselves by majority vote within 7 days of the vacancy or incapacity being established. The Acting Director holds all Director powers except the veto right under §10.4.f, which is suspended until a new Director is elected under §10.4.a. An Acting Director may not be nominated to stand as the permanent elected Director for the vacancy period they filled. The JI publishes the vacancy notice to the NRS within 48 hours, triggering the electoral process for a replacement Director under the timeline established by statute.</w:t>
      </w:r>
    </w:p>
    <w:p>
      <w:pPr>
        <w:spacing w:after="60" w:before="200"/>
        <w:ind w:left="431"/>
        <w:jc w:val="left"/>
      </w:pPr>
      <w:r>
        <w:rPr>
          <w:rFonts w:ascii="Courier New" w:cs="Courier New" w:eastAsia="Courier New" w:hAnsi="Courier New"/>
          <w:b/>
          <w:bCs/>
          <w:color w:val="1B2A4A"/>
          <w:sz w:val="18"/>
          <w:szCs w:val="18"/>
        </w:rPr>
        <w:t xml:space="preserve">§10.4.c  </w:t>
      </w:r>
      <w:r>
        <w:rPr>
          <w:rFonts w:ascii="Garamond" w:cs="Garamond" w:eastAsia="Garamond" w:hAnsi="Garamond"/>
          <w:b/>
          <w:bCs/>
          <w:i w:val="false"/>
          <w:iCs w:val="false"/>
          <w:color w:val="1B2A4A"/>
          <w:sz w:val="22"/>
          <w:szCs w:val="22"/>
        </w:rPr>
        <w:t xml:space="preserve">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431"/>
        <w:jc w:val="left"/>
      </w:pPr>
      <w:r>
        <w:rPr>
          <w:rFonts w:ascii="Courier New" w:cs="Courier New" w:eastAsia="Courier New" w:hAnsi="Courier New"/>
          <w:b/>
          <w:bCs/>
          <w:color w:val="1B2A4A"/>
          <w:sz w:val="18"/>
          <w:szCs w:val="18"/>
        </w:rPr>
        <w:t xml:space="preserve">§10.4.d  </w:t>
      </w:r>
      <w:r>
        <w:rPr>
          <w:rFonts w:ascii="Garamond" w:cs="Garamond" w:eastAsia="Garamond" w:hAnsi="Garamond"/>
          <w:b/>
          <w:bCs/>
          <w:i w:val="false"/>
          <w:iCs w:val="false"/>
          <w:color w:val="1B2A4A"/>
          <w:sz w:val="22"/>
          <w:szCs w:val="22"/>
        </w:rPr>
        <w:t xml:space="preserve">Methodology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 Violations of the notice requirement are a constitutional breach reportable by the EI. The MA's methodology must maintain comparability with its prior published series — changes that retroactively alter historical measurements are void without an explicit published historical restatement reconciling old and new series.</w:t>
      </w:r>
    </w:p>
    <w:p>
      <w:pPr>
        <w:spacing w:after="60" w:before="200"/>
        <w:ind w:left="431"/>
        <w:jc w:val="left"/>
      </w:pPr>
      <w:r>
        <w:rPr>
          <w:rFonts w:ascii="Courier New" w:cs="Courier New" w:eastAsia="Courier New" w:hAnsi="Courier New"/>
          <w:b/>
          <w:bCs/>
          <w:color w:val="1B2A4A"/>
          <w:sz w:val="18"/>
          <w:szCs w:val="18"/>
        </w:rPr>
        <w:t xml:space="preserve">§10.4.e  </w:t>
      </w:r>
      <w:r>
        <w:rPr>
          <w:rFonts w:ascii="Garamond" w:cs="Garamond" w:eastAsia="Garamond" w:hAnsi="Garamond"/>
          <w:b/>
          <w:bCs/>
          <w:i w:val="false"/>
          <w:iCs w:val="false"/>
          <w:color w:val="1B2A4A"/>
          <w:sz w:val="22"/>
          <w:szCs w:val="22"/>
        </w:rPr>
        <w:t xml:space="preserve">Uncertifiable Inherited Fiscal 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431"/>
        <w:jc w:val="left"/>
      </w:pPr>
      <w:r>
        <w:rPr>
          <w:rFonts w:ascii="Courier New" w:cs="Courier New" w:eastAsia="Courier New" w:hAnsi="Courier New"/>
          <w:b/>
          <w:bCs/>
          <w:color w:val="1B2A4A"/>
          <w:sz w:val="18"/>
          <w:szCs w:val="18"/>
        </w:rPr>
        <w:t xml:space="preserve">§10.4.f  </w:t>
      </w:r>
      <w:r>
        <w:rPr>
          <w:rFonts w:ascii="Garamond" w:cs="Garamond" w:eastAsia="Garamond" w:hAnsi="Garamond"/>
          <w:b/>
          <w:bCs/>
          <w:i w:val="false"/>
          <w:iCs w:val="false"/>
          <w:color w:val="1B2A4A"/>
          <w:sz w:val="22"/>
          <w:szCs w:val="22"/>
        </w:rPr>
        <w:t xml:space="preserve">Director-Board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Executive Inspectorate. If the EI advises that a potential mandate hierarchy violation exists, the Director may petition the Supreme Court for a mandate determination. The veto period must be no fewer than 7 days; the board override period no fewer than 14 days; the EI advisory period no fewer than 30 days; the SC petition period no fewer than 60 days. The Legislature may extend but not shorten these floors by statute.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431"/>
        <w:jc w:val="left"/>
      </w:pPr>
      <w:r>
        <w:rPr>
          <w:rFonts w:ascii="Courier New" w:cs="Courier New" w:eastAsia="Courier New" w:hAnsi="Courier New"/>
          <w:b/>
          <w:bCs/>
          <w:color w:val="1B2A4A"/>
          <w:sz w:val="18"/>
          <w:szCs w:val="18"/>
        </w:rPr>
        <w:t xml:space="preserve">§10.5.a  </w:t>
      </w:r>
      <w:r>
        <w:rPr>
          <w:rFonts w:ascii="Garamond" w:cs="Garamond" w:eastAsia="Garamond" w:hAnsi="Garamond"/>
          <w:b/>
          <w:bCs/>
          <w:i w:val="false"/>
          <w:iCs w:val="false"/>
          <w:color w:val="1B2A4A"/>
          <w:sz w:val="22"/>
          <w:szCs w:val="22"/>
        </w:rPr>
        <w:t xml:space="preserve">Personal Financial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senior career public servant in a non-political role, not an executive, elected official, or political appointee. The Legislature defines the comparator by statute; any definition that produces a standard materially higher than senior career public service is constitutionally void. Departure above this standard is permitted only where an official's constitutional responsibilities create a demonstrable operational need, certified by the EI, and only to the minimum extent that need requires.</w:t>
      </w:r>
    </w:p>
    <w:p>
      <w:pPr>
        <w:spacing w:after="60" w:before="200"/>
        <w:ind w:left="431"/>
        <w:jc w:val="left"/>
      </w:pPr>
      <w:r>
        <w:rPr>
          <w:rFonts w:ascii="Courier New" w:cs="Courier New" w:eastAsia="Courier New" w:hAnsi="Courier New"/>
          <w:b/>
          <w:bCs/>
          <w:color w:val="1B2A4A"/>
          <w:sz w:val="18"/>
          <w:szCs w:val="18"/>
        </w:rPr>
        <w:t xml:space="preserve">§10.5.b  </w:t>
      </w:r>
      <w:r>
        <w:rPr>
          <w:rFonts w:ascii="Garamond" w:cs="Garamond" w:eastAsia="Garamond" w:hAnsi="Garamond"/>
          <w:b/>
          <w:bCs/>
          <w:i w:val="false"/>
          <w:iCs w:val="false"/>
          <w:color w:val="1B2A4A"/>
          <w:sz w:val="22"/>
          <w:szCs w:val="22"/>
        </w:rPr>
        <w:t xml:space="preserve">Conflict of Interest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§10.5.c  </w:t>
      </w:r>
      <w:r>
        <w:rPr>
          <w:rFonts w:ascii="Garamond" w:cs="Garamond" w:eastAsia="Garamond" w:hAnsi="Garamond"/>
          <w:b/>
          <w:bCs/>
          <w:i w:val="false"/>
          <w:iCs w:val="false"/>
          <w:color w:val="1B2A4A"/>
          <w:sz w:val="22"/>
          <w:szCs w:val="22"/>
        </w:rPr>
        <w:t xml:space="preserve">Post-Service and Revolving Door Restrictions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for 5 years after leaving office, engage in any activity that monetizes, exploits, or draws on non-public information, relationships, or access accumulated during service. This covers lobbying, consulting, advisory roles, and employment in regulated industries directly affected by the officer's prior decisions — regardless of whether the officer characterizes the engagement as drawing on their prior role. The EI determines whether a post-service engagement falls within this restriction; the officer bears the burden of demonstrating it does not. Violations are a constitutional breach and the officer forfeits any compensation received during the restricted period to the public treasury.</w:t>
      </w:r>
    </w:p>
    <w:p>
      <w:pPr>
        <w:spacing w:after="60" w:before="200"/>
        <w:ind w:left="431"/>
        <w:jc w:val="left"/>
      </w:pPr>
      <w:r>
        <w:rPr>
          <w:rFonts w:ascii="Courier New" w:cs="Courier New" w:eastAsia="Courier New" w:hAnsi="Courier New"/>
          <w:b/>
          <w:bCs/>
          <w:color w:val="1B2A4A"/>
          <w:sz w:val="18"/>
          <w:szCs w:val="18"/>
        </w:rPr>
        <w:t xml:space="preserve">§10.5.d  </w:t>
      </w:r>
      <w:r>
        <w:rPr>
          <w:rFonts w:ascii="Garamond" w:cs="Garamond" w:eastAsia="Garamond" w:hAnsi="Garamond"/>
          <w:b/>
          <w:bCs/>
          <w:i w:val="false"/>
          <w:iCs w:val="false"/>
          <w:color w:val="1B2A4A"/>
          <w:sz w:val="22"/>
          <w:szCs w:val="22"/>
        </w:rPr>
        <w:t xml:space="preserve">Gift and Hospitality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431"/>
        <w:jc w:val="left"/>
      </w:pPr>
      <w:r>
        <w:rPr>
          <w:rFonts w:ascii="Courier New" w:cs="Courier New" w:eastAsia="Courier New" w:hAnsi="Courier New"/>
          <w:b/>
          <w:bCs/>
          <w:color w:val="1B2A4A"/>
          <w:sz w:val="18"/>
          <w:szCs w:val="18"/>
        </w:rPr>
        <w:t xml:space="preserve">§10.5.e  </w:t>
      </w:r>
      <w:r>
        <w:rPr>
          <w:rFonts w:ascii="Garamond" w:cs="Garamond" w:eastAsia="Garamond" w:hAnsi="Garamond"/>
          <w:b/>
          <w:bCs/>
          <w:i w:val="false"/>
          <w:iCs w:val="false"/>
          <w:color w:val="1B2A4A"/>
          <w:sz w:val="22"/>
          <w:szCs w:val="22"/>
        </w:rPr>
        <w:t xml:space="preserve">Official Records Belong to the Republic</w:t>
      </w:r>
    </w:p>
    <w:p>
      <w:pPr>
        <w:spacing w:after="120" w:before="0"/>
        <w:ind w:left="431"/>
        <w:jc w:val="both"/>
      </w:pPr>
      <w:r>
        <w:rPr>
          <w:rFonts w:ascii="Garamond" w:cs="Garamond" w:eastAsia="Garamond" w:hAnsi="Garamond"/>
          <w:b w:val="false"/>
          <w:bCs w:val="false"/>
          <w:i w:val="false"/>
          <w:iCs w:val="false"/>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431"/>
        <w:jc w:val="left"/>
      </w:pPr>
      <w:r>
        <w:rPr>
          <w:rFonts w:ascii="Courier New" w:cs="Courier New" w:eastAsia="Courier New" w:hAnsi="Courier New"/>
          <w:b/>
          <w:bCs/>
          <w:color w:val="1B2A4A"/>
          <w:sz w:val="18"/>
          <w:szCs w:val="18"/>
        </w:rPr>
        <w:t xml:space="preserve">§10.5.f  </w:t>
      </w:r>
      <w:r>
        <w:rPr>
          <w:rFonts w:ascii="Garamond" w:cs="Garamond" w:eastAsia="Garamond" w:hAnsi="Garamond"/>
          <w:b/>
          <w:bCs/>
          <w:i w:val="false"/>
          <w:iCs w:val="false"/>
          <w:color w:val="1B2A4A"/>
          <w:sz w:val="22"/>
          <w:szCs w:val="22"/>
        </w:rPr>
        <w:t xml:space="preserve">Revolving Door — see §10.5.c</w:t>
      </w:r>
    </w:p>
    <w:p>
      <w:pPr>
        <w:spacing w:after="120" w:before="0"/>
        <w:ind w:left="431"/>
        <w:jc w:val="both"/>
      </w:pPr>
      <w:r>
        <w:rPr>
          <w:rFonts w:ascii="Garamond" w:cs="Garamond" w:eastAsia="Garamond" w:hAnsi="Garamond"/>
          <w:b w:val="false"/>
          <w:bCs w:val="false"/>
          <w:i w:val="false"/>
          <w:iCs w:val="false"/>
          <w:color w:val="2a2520"/>
          <w:sz w:val="22"/>
          <w:szCs w:val="22"/>
        </w:rPr>
        <w:t xml:space="preserve">Post-service restrictions including the revolving door prohibition are consolidated in §10.5.c.</w:t>
      </w:r>
    </w:p>
    <w:p>
      <w:pPr>
        <w:spacing w:after="60" w:before="200"/>
        <w:ind w:left="431"/>
        <w:jc w:val="left"/>
      </w:pPr>
      <w:r>
        <w:rPr>
          <w:rFonts w:ascii="Courier New" w:cs="Courier New" w:eastAsia="Courier New" w:hAnsi="Courier New"/>
          <w:b/>
          <w:bCs/>
          <w:color w:val="1B2A4A"/>
          <w:sz w:val="18"/>
          <w:szCs w:val="18"/>
        </w:rPr>
        <w:t xml:space="preserve">§10.5.g  </w:t>
      </w:r>
      <w:r>
        <w:rPr>
          <w:rFonts w:ascii="Garamond" w:cs="Garamond" w:eastAsia="Garamond" w:hAnsi="Garamond"/>
          <w:b/>
          <w:bCs/>
          <w:i w:val="false"/>
          <w:iCs w:val="false"/>
          <w:color w:val="1B2A4A"/>
          <w:sz w:val="22"/>
          <w:szCs w:val="22"/>
        </w:rPr>
        <w:t xml:space="preserve">Official Intellectual Property</w:t>
      </w:r>
    </w:p>
    <w:p>
      <w:pPr>
        <w:spacing w:after="120" w:before="0"/>
        <w:ind w:left="431"/>
        <w:jc w:val="both"/>
      </w:pPr>
      <w:r>
        <w:rPr>
          <w:rFonts w:ascii="Garamond" w:cs="Garamond" w:eastAsia="Garamond" w:hAnsi="Garamond"/>
          <w:b w:val="false"/>
          <w:bCs w:val="false"/>
          <w:i w:val="false"/>
          <w:iCs w:val="false"/>
          <w:color w:val="2a2520"/>
          <w:sz w:val="22"/>
          <w:szCs w:val="22"/>
        </w:rPr>
        <w:t xml:space="preserve">Ideas, analyses, and work product created during official service belong to the Republic. An officer may not monetize work done in their official capacity for 5 years following service.</w:t>
      </w:r>
    </w:p>
    <w:p>
      <w:pPr>
        <w:spacing w:after="60" w:before="200"/>
        <w:ind w:left="431"/>
        <w:jc w:val="left"/>
      </w:pPr>
      <w:r>
        <w:rPr>
          <w:rFonts w:ascii="Courier New" w:cs="Courier New" w:eastAsia="Courier New" w:hAnsi="Courier New"/>
          <w:b/>
          <w:bCs/>
          <w:color w:val="1B2A4A"/>
          <w:sz w:val="18"/>
          <w:szCs w:val="18"/>
        </w:rPr>
        <w:t xml:space="preserve">§10.5.h  </w:t>
      </w:r>
      <w:r>
        <w:rPr>
          <w:rFonts w:ascii="Garamond" w:cs="Garamond" w:eastAsia="Garamond" w:hAnsi="Garamond"/>
          <w:b/>
          <w:bCs/>
          <w:i w:val="false"/>
          <w:iCs w:val="false"/>
          <w:color w:val="1B2A4A"/>
          <w:sz w:val="22"/>
          <w:szCs w:val="22"/>
        </w:rPr>
        <w:t xml:space="preserve">Ethics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provides BNF continuity during periods of severe revenue contraction. It operates independently of the annual budget process.</w:t>
      </w:r>
    </w:p>
    <w:p>
      <w:pPr>
        <w:spacing w:after="60" w:before="200"/>
        <w:ind w:left="431"/>
        <w:jc w:val="left"/>
      </w:pPr>
      <w:r>
        <w:rPr>
          <w:rFonts w:ascii="Courier New" w:cs="Courier New" w:eastAsia="Courier New" w:hAnsi="Courier New"/>
          <w:b/>
          <w:bCs/>
          <w:color w:val="1B2A4A"/>
          <w:sz w:val="18"/>
          <w:szCs w:val="18"/>
        </w:rPr>
        <w:t xml:space="preserve">§10.6.a  </w:t>
      </w:r>
      <w:r>
        <w:rPr>
          <w:rFonts w:ascii="Garamond" w:cs="Garamond" w:eastAsia="Garamond" w:hAnsi="Garamond"/>
          <w:b/>
          <w:bCs/>
          <w:i w:val="false"/>
          <w:iCs w:val="false"/>
          <w:color w:val="1B2A4A"/>
          <w:sz w:val="22"/>
          <w:szCs w:val="22"/>
        </w:rPr>
        <w:t xml:space="preserve">National Endowment Trustee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governed by a board of five trustees selected by public lottery from a constitutionally maintained Trustee Pool. The President and PM each nominate one qualified person per year to the Trustee Pool. Each nominee must hold demonstrable expertise in investment management, public finance, or fiduciary governance as determined by a qualifications standard published by the Legislature by statute. Each nominee must be confirmed by the Senate within 60 days of nomination by affirmative vote — no deemed confirmation applies. Unconfirmed nominees are returned without prejudice; the nominating executive may submit a replacement within 30 days. No more than two confirmed Pool members may be nominees of the same executive at any time. The Pool must maintain a minimum of ten confirmed members; if it falls below ten, both executives must nominate within 30 days and the JI publishes a notice of pool deficiency to the NRS.</w:t>
      </w:r>
    </w:p>
    <w:p>
      <w:pPr>
        <w:spacing w:after="60" w:before="200"/>
        <w:ind w:left="431"/>
        <w:jc w:val="left"/>
      </w:pPr>
      <w:r>
        <w:rPr>
          <w:rFonts w:ascii="Courier New" w:cs="Courier New" w:eastAsia="Courier New" w:hAnsi="Courier New"/>
          <w:b/>
          <w:bCs/>
          <w:color w:val="1B2A4A"/>
          <w:sz w:val="18"/>
          <w:szCs w:val="18"/>
        </w:rPr>
        <w:t xml:space="preserve">§10.6.a.i  </w:t>
      </w:r>
      <w:r>
        <w:rPr>
          <w:rFonts w:ascii="Garamond" w:cs="Garamond" w:eastAsia="Garamond" w:hAnsi="Garamond"/>
          <w:b/>
          <w:bCs/>
          <w:i w:val="false"/>
          <w:iCs w:val="false"/>
          <w:color w:val="1B2A4A"/>
          <w:sz w:val="22"/>
          <w:szCs w:val="22"/>
        </w:rPr>
        <w:t xml:space="preserve">Trustee Draw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Endowment board has a vacancy, all three Inspectorates jointly conduct a public lottery draw from the confirmed Trustee Pool, excluding current serving trustees. The draw selects one trustee per vacancy. Trustees serve staggered 6-year non-renewable terms. A trustee drawn to fill a mid-term vacancy serves only the remainder of that term. The JI certifies each draw and publishes the result to the NRS within 24 hours. No trustee may be removed except for cause under the same grounds applicable to independent constitutional officers — the board's independence from political direction is constitutionally protected.</w:t>
      </w:r>
    </w:p>
    <w:p>
      <w:pPr>
        <w:spacing w:after="60" w:before="200"/>
        <w:ind w:left="431"/>
        <w:jc w:val="left"/>
      </w:pPr>
      <w:r>
        <w:rPr>
          <w:rFonts w:ascii="Courier New" w:cs="Courier New" w:eastAsia="Courier New" w:hAnsi="Courier New"/>
          <w:b/>
          <w:bCs/>
          <w:color w:val="1B2A4A"/>
          <w:sz w:val="18"/>
          <w:szCs w:val="18"/>
        </w:rPr>
        <w:t xml:space="preserve">§10.6.a.ii  </w:t>
      </w:r>
      <w:r>
        <w:rPr>
          <w:rFonts w:ascii="Garamond" w:cs="Garamond" w:eastAsia="Garamond" w:hAnsi="Garamond"/>
          <w:b/>
          <w:bCs/>
          <w:i w:val="false"/>
          <w:iCs w:val="false"/>
          <w:color w:val="1B2A4A"/>
          <w:sz w:val="22"/>
          <w:szCs w:val="22"/>
        </w:rPr>
        <w:t xml:space="preserve">Trustee Mandate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board's sole mandate is to preserve and grow the Endowment fund for BNF backstop purposes. The board may not be directed to any other investment goal by either executive or the Legislature. All board decisions, investment mandates, and performance reports are published to the NRS quarterly. The EI audits the board annually for compliance with the sole-mandate requirement and publishes findings to the NRS. A trustee who acts outside the sole mandate has committed a constitutional breach.</w:t>
      </w:r>
    </w:p>
    <w:p>
      <w:pPr>
        <w:spacing w:after="60" w:before="200"/>
        <w:ind w:left="431"/>
        <w:jc w:val="left"/>
      </w:pPr>
      <w:r>
        <w:rPr>
          <w:rFonts w:ascii="Courier New" w:cs="Courier New" w:eastAsia="Courier New" w:hAnsi="Courier New"/>
          <w:b/>
          <w:bCs/>
          <w:color w:val="1B2A4A"/>
          <w:sz w:val="18"/>
          <w:szCs w:val="18"/>
        </w:rPr>
        <w:t xml:space="preserve">§10.6.b  </w:t>
      </w:r>
      <w:r>
        <w:rPr>
          <w:rFonts w:ascii="Garamond" w:cs="Garamond" w:eastAsia="Garamond" w:hAnsi="Garamond"/>
          <w:b/>
          <w:bCs/>
          <w:i w:val="false"/>
          <w:iCs w:val="false"/>
          <w:color w:val="1B2A4A"/>
          <w:sz w:val="22"/>
          <w:szCs w:val="22"/>
        </w:rPr>
        <w:t xml:space="preserve">National Endowment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MA certifies a Severe Revenue Contraction under §10.1.f, the Endowment is automatically activated. The board must begin BNF supplement disbursements within 30 days. Disbursements continue until the MA certifies that the revenue contraction has ended. The board may not withhold disbursements during a certified contraction — activation is automatic.</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ind w:left="431"/>
        <w:jc w:val="left"/>
      </w:pPr>
      <w:r>
        <w:rPr>
          <w:rFonts w:ascii="Courier New" w:cs="Courier New" w:eastAsia="Courier New" w:hAnsi="Courier New"/>
          <w:b/>
          <w:bCs/>
          <w:color w:val="1B2A4A"/>
          <w:sz w:val="18"/>
          <w:szCs w:val="18"/>
        </w:rPr>
        <w:t xml:space="preserve">§10.7.a  </w:t>
      </w:r>
      <w:r>
        <w:rPr>
          <w:rFonts w:ascii="Garamond" w:cs="Garamond" w:eastAsia="Garamond" w:hAnsi="Garamond"/>
          <w:b/>
          <w:bCs/>
          <w:i w:val="false"/>
          <w:iCs w:val="false"/>
          <w:color w:val="1B2A4A"/>
          <w:sz w:val="22"/>
          <w:szCs w:val="22"/>
        </w:rPr>
        <w:t xml:space="preserve">Jury Service — see §4.5</w:t>
      </w:r>
    </w:p>
    <w:p>
      <w:pPr>
        <w:spacing w:after="120" w:before="0"/>
        <w:ind w:left="431"/>
        <w:jc w:val="both"/>
      </w:pPr>
      <w:r>
        <w:rPr>
          <w:rFonts w:ascii="Garamond" w:cs="Garamond" w:eastAsia="Garamond" w:hAnsi="Garamond"/>
          <w:b w:val="false"/>
          <w:bCs w:val="false"/>
          <w:i w:val="false"/>
          <w:iCs w:val="false"/>
          <w:color w:val="2a2520"/>
          <w:sz w:val="22"/>
          <w:szCs w:val="22"/>
        </w:rPr>
        <w:t xml:space="preserve">Jury service obligations, compensation, and enforcement are established in §4.5.</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Citizen Petition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Eligibility Screen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431"/>
        <w:jc w:val="left"/>
      </w:pPr>
      <w:r>
        <w:rPr>
          <w:rFonts w:ascii="Courier New" w:cs="Courier New" w:eastAsia="Courier New" w:hAnsi="Courier New"/>
          <w:b/>
          <w:bCs/>
          <w:color w:val="1B2A4A"/>
          <w:sz w:val="18"/>
          <w:szCs w:val="18"/>
        </w:rPr>
        <w:t xml:space="preserve">§11.1.c  </w:t>
      </w:r>
      <w:r>
        <w:rPr>
          <w:rFonts w:ascii="Garamond" w:cs="Garamond" w:eastAsia="Garamond" w:hAnsi="Garamond"/>
          <w:b/>
          <w:bCs/>
          <w:i w:val="false"/>
          <w:iCs w:val="false"/>
          <w:color w:val="1B2A4A"/>
          <w:sz w:val="22"/>
          <w:szCs w:val="22"/>
        </w:rPr>
        <w:t xml:space="preserve">Referendum Thresholds and Finality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Referendum Outcome — 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hold the right to propose legislation directly to the Legislature through the initiative mechanism. The initiative is distinct from the referendum — it creates new law rather than repealing enacted law. The process and thresholds are established in §11.2.a.</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Initiative Process and Thresholds</w:t>
      </w:r>
    </w:p>
    <w:p>
      <w:pPr>
        <w:spacing w:after="120" w:before="0"/>
        <w:ind w:left="431"/>
        <w:jc w:val="both"/>
      </w:pPr>
      <w:r>
        <w:rPr>
          <w:rFonts w:ascii="Garamond" w:cs="Garamond" w:eastAsia="Garamond" w:hAnsi="Garamond"/>
          <w:b w:val="false"/>
          <w:bCs w:val="false"/>
          <w:i w:val="false"/>
          <w:iCs w:val="false"/>
          <w:color w:val="2a2520"/>
          <w:sz w:val="22"/>
          <w:szCs w:val="22"/>
        </w:rPr>
        <w:t xml:space="preserve">Distinct from the referendum, the initiative allows citizens to propose legislation directly. 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is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431"/>
        <w:jc w:val="left"/>
      </w:pPr>
      <w:r>
        <w:rPr>
          <w:rFonts w:ascii="Courier New" w:cs="Courier New" w:eastAsia="Courier New" w:hAnsi="Courier New"/>
          <w:b/>
          <w:bCs/>
          <w:color w:val="1B2A4A"/>
          <w:sz w:val="18"/>
          <w:szCs w:val="18"/>
        </w:rPr>
        <w:t xml:space="preserve">§12.2.a  </w:t>
      </w:r>
      <w:r>
        <w:rPr>
          <w:rFonts w:ascii="Garamond" w:cs="Garamond" w:eastAsia="Garamond" w:hAnsi="Garamond"/>
          <w:b/>
          <w:bCs/>
          <w:i w:val="false"/>
          <w:iCs w:val="false"/>
          <w:color w:val="1B2A4A"/>
          <w:sz w:val="22"/>
          <w:szCs w:val="22"/>
        </w:rPr>
        <w:t xml:space="preserve">Defense Allocation Categories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431"/>
        <w:jc w:val="left"/>
      </w:pPr>
      <w:r>
        <w:rPr>
          <w:rFonts w:ascii="Courier New" w:cs="Courier New" w:eastAsia="Courier New" w:hAnsi="Courier New"/>
          <w:b/>
          <w:bCs/>
          <w:color w:val="1B2A4A"/>
          <w:sz w:val="18"/>
          <w:szCs w:val="18"/>
        </w:rPr>
        <w:t xml:space="preserve">§12.2.b  </w:t>
      </w:r>
      <w:r>
        <w:rPr>
          <w:rFonts w:ascii="Garamond" w:cs="Garamond" w:eastAsia="Garamond" w:hAnsi="Garamond"/>
          <w:b/>
          <w:bCs/>
          <w:i w:val="false"/>
          <w:iCs w:val="false"/>
          <w:color w:val="1B2A4A"/>
          <w:sz w:val="22"/>
          <w:szCs w:val="22"/>
        </w:rPr>
        <w:t xml:space="preserve">Emergency Defense Allocation Renewal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431"/>
        <w:jc w:val="left"/>
      </w:pPr>
      <w:r>
        <w:rPr>
          <w:rFonts w:ascii="Courier New" w:cs="Courier New" w:eastAsia="Courier New" w:hAnsi="Courier New"/>
          <w:b/>
          <w:bCs/>
          <w:color w:val="1B2A4A"/>
          <w:sz w:val="18"/>
          <w:szCs w:val="18"/>
        </w:rPr>
        <w:t xml:space="preserve">§12.2.c  </w:t>
      </w:r>
      <w:r>
        <w:rPr>
          <w:rFonts w:ascii="Garamond" w:cs="Garamond" w:eastAsia="Garamond" w:hAnsi="Garamond"/>
          <w:b/>
          <w:bCs/>
          <w:i w:val="false"/>
          <w:iCs w:val="false"/>
          <w:color w:val="1B2A4A"/>
          <w:sz w:val="22"/>
          <w:szCs w:val="22"/>
        </w:rPr>
        <w:t xml:space="preserve">Allocation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 The EI monitors wind-down expenditure throughout the 30-day period. Where irregularities are identified, the EI reports directly and confidentially to the Senate Armed Services Committee without NRS publication; operational security during wind-down is preserved by this confidential channel. The full wind-down expenditure record is published to the NRS as part of the §12.2.e post-allocation accountability report after military operations are fully concluded — defined as the end of the 30-day wind-down period.</w:t>
      </w:r>
    </w:p>
    <w:p>
      <w:pPr>
        <w:spacing w:after="60" w:before="200"/>
        <w:ind w:left="431"/>
        <w:jc w:val="left"/>
      </w:pPr>
      <w:r>
        <w:rPr>
          <w:rFonts w:ascii="Courier New" w:cs="Courier New" w:eastAsia="Courier New" w:hAnsi="Courier New"/>
          <w:b/>
          <w:bCs/>
          <w:color w:val="1B2A4A"/>
          <w:sz w:val="18"/>
          <w:szCs w:val="18"/>
        </w:rPr>
        <w:t xml:space="preserve">§12.2.d  </w:t>
      </w:r>
      <w:r>
        <w:rPr>
          <w:rFonts w:ascii="Garamond" w:cs="Garamond" w:eastAsia="Garamond" w:hAnsi="Garamond"/>
          <w:b/>
          <w:bCs/>
          <w:i w:val="false"/>
          <w:iCs w:val="false"/>
          <w:color w:val="1B2A4A"/>
          <w:sz w:val="22"/>
          <w:szCs w:val="22"/>
        </w:rPr>
        <w:t xml:space="preserve">Oversight of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431"/>
        <w:jc w:val="left"/>
      </w:pPr>
      <w:r>
        <w:rPr>
          <w:rFonts w:ascii="Courier New" w:cs="Courier New" w:eastAsia="Courier New" w:hAnsi="Courier New"/>
          <w:b/>
          <w:bCs/>
          <w:color w:val="1B2A4A"/>
          <w:sz w:val="18"/>
          <w:szCs w:val="18"/>
        </w:rPr>
        <w:t xml:space="preserve">§12.2.e  </w:t>
      </w:r>
      <w:r>
        <w:rPr>
          <w:rFonts w:ascii="Garamond" w:cs="Garamond" w:eastAsia="Garamond" w:hAnsi="Garamond"/>
          <w:b/>
          <w:bCs/>
          <w:i w:val="false"/>
          <w:iCs w:val="false"/>
          <w:color w:val="1B2A4A"/>
          <w:sz w:val="22"/>
          <w:szCs w:val="22"/>
        </w:rPr>
        <w:t xml:space="preserve">Post-Allocation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military operations being fully concluded as defined in §12.2.c.</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a Tier 3 Declaration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under the existing Declaration pending Senate action, as specified in §12.4.a.</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Provisional PM Authorization — Transition Plan Failure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compliance breach under §12.4, the PM may provisionally authorize continued military operations under the existing Declaration using their fiscal certification authority under §2.1.d. Provisional authorization is granted in two extensions of 30 days each — 60 days total maximum. At each extension the PM must: notify the Senate Armed Services Committee in writing of the extension and its duration; certify to the LI and EI that operations remain within the scope of the existing Declaration and that no new commitments have been entered; and publish a notice of provisional authorization to the NRS. The LI and EI monitor compliance with these requirements and publish any breach findings immediately to the NRS. The PM's provisional authorization is a fiscal continuation of existing authority — it does not expand the scope of operations, authorize new commitments, or displace the President's operational command. Once the two 30-day extensions are exhausted, no further Declaration renewals are permitted until the Senate approves a Transition and Reconstruction Plan. The current Declaration continues to its natural expiry date and wind-down proceeds under §12.2.c. The Senate may approve a Plan at any point during the provisional authorization period and restore the standard renewal process immediately upon approval.</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subject to the requirements of §12.5.a and §12.5.b. Treaty Emergency Certification does not displace the Legislature's ultimate authority over sustained operations — it provides an expedited initial response pathway only.</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Treaty Emergency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Treaty Emergency Procedures</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Upon receiving the §12.5.b notification, the PM must within 6 hours either certify funding under §2.1.d or publish a formal objection to the NRS. If the PM does not respond within 6 hours, funding certification is deemed granted and the EI records the non-response as a constitutional lapse. If the PM formally objects, the matter is referred immediately to the SC for emergency resolution; operations may continue during SC review but no new commitments may be entered until the SC rules.</w:t>
      </w:r>
    </w:p>
    <w:p>
      <w:pPr>
        <w:spacing w:after="60" w:before="200"/>
        <w:ind w:left="431"/>
        <w:jc w:val="left"/>
      </w:pPr>
      <w:r>
        <w:rPr>
          <w:rFonts w:ascii="Courier New" w:cs="Courier New" w:eastAsia="Courier New" w:hAnsi="Courier New"/>
          <w:b/>
          <w:bCs/>
          <w:color w:val="1B2A4A"/>
          <w:sz w:val="18"/>
          <w:szCs w:val="18"/>
        </w:rPr>
        <w:t xml:space="preserve">§12.5.c  </w:t>
      </w:r>
      <w:r>
        <w:rPr>
          <w:rFonts w:ascii="Garamond" w:cs="Garamond" w:eastAsia="Garamond" w:hAnsi="Garamond"/>
          <w:b/>
          <w:bCs/>
          <w:i w:val="false"/>
          <w:iCs w:val="false"/>
          <w:color w:val="1B2A4A"/>
          <w:sz w:val="22"/>
          <w:szCs w:val="22"/>
        </w:rPr>
        <w:t xml:space="preserve">No Blank Check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category for non-State jurisdictions within the Republic. A Territory operates under a Territorial Compact, has federal protections under Article I, receives BNF benefits, and may begin the Statehood pathway under §13.2. Territories are represented in the House by non-voting delegates who may participate in debate and committee work. Territories hold House seats proportional to their population under §3.1.a and participate in the House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successfully completing the Statehood Audit and Provisional Membership Period. No political vote in Congress is required once the audit is passed — statehood is a constitutional entitlement for any Territory that meets the criteria, not a political grant. The automatic nature of this pathway is intentional — statehood is a constitutional right of a qualifying jurisdiction, not a political favor to be granted or withheld by incumbent States.</w:t>
      </w:r>
    </w:p>
    <w:p>
      <w:pPr>
        <w:spacing w:after="60" w:before="200"/>
        <w:ind w:left="431"/>
        <w:jc w:val="left"/>
      </w:pPr>
      <w:r>
        <w:rPr>
          <w:rFonts w:ascii="Courier New" w:cs="Courier New" w:eastAsia="Courier New" w:hAnsi="Courier New"/>
          <w:b/>
          <w:bCs/>
          <w:color w:val="1B2A4A"/>
          <w:sz w:val="18"/>
          <w:szCs w:val="18"/>
        </w:rPr>
        <w:t xml:space="preserve">§13.2.a  </w:t>
      </w:r>
      <w:r>
        <w:rPr>
          <w:rFonts w:ascii="Garamond" w:cs="Garamond" w:eastAsia="Garamond" w:hAnsi="Garamond"/>
          <w:b/>
          <w:bCs/>
          <w:i w:val="false"/>
          <w:iCs w:val="false"/>
          <w:color w:val="1B2A4A"/>
          <w:sz w:val="22"/>
          <w:szCs w:val="22"/>
        </w:rPr>
        <w:t xml:space="preserve">Fiscal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Statehood Audit — Fiscal Integrity Criterion. The LI audits the territory's government finances for basic fiscal sustainability, absence of structural insolvency that would require federal bailout, and basic public financial management standards. The audit checks whether the territory can function as a financially independent State — not whether its fiscal policy is optimal.</w:t>
      </w:r>
    </w:p>
    <w:p>
      <w:pPr>
        <w:spacing w:after="60" w:before="200"/>
        <w:ind w:left="431"/>
        <w:jc w:val="left"/>
      </w:pPr>
      <w:r>
        <w:rPr>
          <w:rFonts w:ascii="Courier New" w:cs="Courier New" w:eastAsia="Courier New" w:hAnsi="Courier New"/>
          <w:b/>
          <w:bCs/>
          <w:color w:val="1B2A4A"/>
          <w:sz w:val="18"/>
          <w:szCs w:val="18"/>
        </w:rPr>
        <w:t xml:space="preserve">§13.2.b  </w:t>
      </w:r>
      <w:r>
        <w:rPr>
          <w:rFonts w:ascii="Garamond" w:cs="Garamond" w:eastAsia="Garamond" w:hAnsi="Garamond"/>
          <w:b/>
          <w:bCs/>
          <w:i w:val="false"/>
          <w:iCs w:val="false"/>
          <w:color w:val="1B2A4A"/>
          <w:sz w:val="22"/>
          <w:szCs w:val="22"/>
        </w:rPr>
        <w:t xml:space="preserve">Legal Sync</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Statehood Audit — Article I Legal Compliance Criterion. The JI audits the territory's legal system for compliance with every Article I right. Statehood is not granted to jurisdictions that are constitutionally non-compliant — a territory that applies Article I rights inconsistently cannot become a State while those violations persist.</w:t>
      </w:r>
    </w:p>
    <w:p>
      <w:pPr>
        <w:spacing w:after="60" w:before="200"/>
        <w:ind w:left="431"/>
        <w:jc w:val="left"/>
      </w:pPr>
      <w:r>
        <w:rPr>
          <w:rFonts w:ascii="Courier New" w:cs="Courier New" w:eastAsia="Courier New" w:hAnsi="Courier New"/>
          <w:b/>
          <w:bCs/>
          <w:color w:val="1B2A4A"/>
          <w:sz w:val="18"/>
          <w:szCs w:val="18"/>
        </w:rPr>
        <w:t xml:space="preserve">§13.2.c  </w:t>
      </w:r>
      <w:r>
        <w:rPr>
          <w:rFonts w:ascii="Garamond" w:cs="Garamond" w:eastAsia="Garamond" w:hAnsi="Garamond"/>
          <w:b/>
          <w:bCs/>
          <w:i w:val="false"/>
          <w:iCs w:val="false"/>
          <w:color w:val="1B2A4A"/>
          <w:sz w:val="22"/>
          <w:szCs w:val="22"/>
        </w:rPr>
        <w:t xml:space="preserve">The Provisional Membership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passing the Statehood Audit, the territory enters a Provisional Membership Period of between 365 and 900 days (Legislature defines by statute). Clean completion results in automatic Statehood — no further action required.</w:t>
      </w:r>
    </w:p>
    <w:p>
      <w:pPr>
        <w:spacing w:after="60" w:before="200"/>
        <w:ind w:left="431"/>
        <w:jc w:val="left"/>
      </w:pPr>
      <w:r>
        <w:rPr>
          <w:rFonts w:ascii="Courier New" w:cs="Courier New" w:eastAsia="Courier New" w:hAnsi="Courier New"/>
          <w:b/>
          <w:bCs/>
          <w:color w:val="1B2A4A"/>
          <w:sz w:val="18"/>
          <w:szCs w:val="18"/>
        </w:rPr>
        <w:t xml:space="preserve">§13.2.d  </w:t>
      </w:r>
      <w:r>
        <w:rPr>
          <w:rFonts w:ascii="Garamond" w:cs="Garamond" w:eastAsia="Garamond" w:hAnsi="Garamond"/>
          <w:b/>
          <w:bCs/>
          <w:i w:val="false"/>
          <w:iCs w:val="false"/>
          <w:color w:val="1B2A4A"/>
          <w:sz w:val="22"/>
          <w:szCs w:val="22"/>
        </w:rPr>
        <w:t xml:space="preserve">Partial Territory Statehood</w:t>
      </w:r>
    </w:p>
    <w:p>
      <w:pPr>
        <w:spacing w:after="120" w:before="0"/>
        <w:ind w:left="431"/>
        <w:jc w:val="both"/>
      </w:pPr>
      <w:r>
        <w:rPr>
          <w:rFonts w:ascii="Garamond" w:cs="Garamond" w:eastAsia="Garamond" w:hAnsi="Garamond"/>
          <w:b w:val="false"/>
          <w:bCs w:val="false"/>
          <w:i w:val="false"/>
          <w:iCs w:val="false"/>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431"/>
        <w:jc w:val="left"/>
      </w:pPr>
      <w:r>
        <w:rPr>
          <w:rFonts w:ascii="Courier New" w:cs="Courier New" w:eastAsia="Courier New" w:hAnsi="Courier New"/>
          <w:b/>
          <w:bCs/>
          <w:color w:val="1B2A4A"/>
          <w:sz w:val="18"/>
          <w:szCs w:val="18"/>
        </w:rPr>
        <w:t xml:space="preserve">§13.2.e  </w:t>
      </w:r>
      <w:r>
        <w:rPr>
          <w:rFonts w:ascii="Garamond" w:cs="Garamond" w:eastAsia="Garamond" w:hAnsi="Garamond"/>
          <w:b/>
          <w:bCs/>
          <w:i w:val="false"/>
          <w:iCs w:val="false"/>
          <w:color w:val="1B2A4A"/>
          <w:sz w:val="22"/>
          <w:szCs w:val="22"/>
        </w:rPr>
        <w:t xml:space="preserve">Minimum Democratic Legitimacy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§13.3.b — it enters a remediation process, not automatic devolution. The annual Statehood Audit for existing States includes assessment of all three conditions in this provision in addition to the criteria in §13.2.a and §13.2.b.</w:t>
      </w:r>
    </w:p>
    <w:p>
      <w:pPr>
        <w:spacing w:after="60" w:before="200"/>
        <w:ind w:left="431"/>
        <w:jc w:val="left"/>
      </w:pPr>
      <w:r>
        <w:rPr>
          <w:rFonts w:ascii="Courier New" w:cs="Courier New" w:eastAsia="Courier New" w:hAnsi="Courier New"/>
          <w:b/>
          <w:bCs/>
          <w:color w:val="1B2A4A"/>
          <w:sz w:val="18"/>
          <w:szCs w:val="18"/>
        </w:rPr>
        <w:t xml:space="preserve">§13.2.f  </w:t>
      </w:r>
      <w:r>
        <w:rPr>
          <w:rFonts w:ascii="Garamond" w:cs="Garamond" w:eastAsia="Garamond" w:hAnsi="Garamond"/>
          <w:b/>
          <w:bCs/>
          <w:i w:val="false"/>
          <w:iCs w:val="false"/>
          <w:color w:val="1B2A4A"/>
          <w:sz w:val="22"/>
          <w:szCs w:val="22"/>
        </w:rPr>
        <w:t xml:space="preserve">Territorial Minimum Institutional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Territory must maintain basic governance infrastructure: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431"/>
        <w:jc w:val="left"/>
      </w:pPr>
      <w:r>
        <w:rPr>
          <w:rFonts w:ascii="Courier New" w:cs="Courier New" w:eastAsia="Courier New" w:hAnsi="Courier New"/>
          <w:b/>
          <w:bCs/>
          <w:color w:val="1B2A4A"/>
          <w:sz w:val="18"/>
          <w:szCs w:val="18"/>
        </w:rPr>
        <w:t xml:space="preserve">§13.2.g  </w:t>
      </w:r>
      <w:r>
        <w:rPr>
          <w:rFonts w:ascii="Garamond" w:cs="Garamond" w:eastAsia="Garamond" w:hAnsi="Garamond"/>
          <w:b/>
          <w:bCs/>
          <w:i w:val="false"/>
          <w:iCs w:val="false"/>
          <w:color w:val="1B2A4A"/>
          <w:sz w:val="22"/>
          <w:szCs w:val="22"/>
        </w:rPr>
        <w:t xml:space="preserve">Conflict-Affected State Provisional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active conflict prevents completion of the annual Statehood Audit in a significant portion (&gt;25% population) of a State's territory, the LI may grant provisional status for that audit cycle. Preserves State constitutional standing and BNF protections. Cannot be used where the conflict is attributable to the State government's own governance failures (§13.2.g.i).</w:t>
      </w:r>
    </w:p>
    <w:p>
      <w:pPr>
        <w:spacing w:after="60" w:before="200"/>
        <w:ind w:left="431"/>
        <w:jc w:val="left"/>
      </w:pPr>
      <w:r>
        <w:rPr>
          <w:rFonts w:ascii="Courier New" w:cs="Courier New" w:eastAsia="Courier New" w:hAnsi="Courier New"/>
          <w:b/>
          <w:bCs/>
          <w:color w:val="1B2A4A"/>
          <w:sz w:val="18"/>
          <w:szCs w:val="18"/>
        </w:rPr>
        <w:t xml:space="preserve">§13.2.g.i  </w:t>
      </w:r>
      <w:r>
        <w:rPr>
          <w:rFonts w:ascii="Garamond" w:cs="Garamond" w:eastAsia="Garamond" w:hAnsi="Garamond"/>
          <w:b/>
          <w:bCs/>
          <w:i w:val="false"/>
          <w:iCs w:val="false"/>
          <w:color w:val="1B2A4A"/>
          <w:sz w:val="22"/>
          <w:szCs w:val="22"/>
        </w:rPr>
        <w:t xml:space="preserve">Governance Contribution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Provisional status is unavailable where the joint assessment of all three Inspectorates finds that the State government materially contributed to the conditions producing conflict, or failed to take reasonable steps to prevent them when it knew or should have known of those conditions — even where direct State contribution cannot be established. Where this standard is met, the Statehood Audit proceeds on available evidence from accessible areas. Provisional status certification under §13.2.g requires the joint assessment of all three Inspectorates; no single Inspectorate's finding is sufficient to grant or deny provisional status.</w:t>
      </w:r>
    </w:p>
    <w:p>
      <w:pPr>
        <w:spacing w:after="60" w:before="200"/>
        <w:ind w:left="431"/>
        <w:jc w:val="left"/>
      </w:pPr>
      <w:r>
        <w:rPr>
          <w:rFonts w:ascii="Courier New" w:cs="Courier New" w:eastAsia="Courier New" w:hAnsi="Courier New"/>
          <w:b/>
          <w:bCs/>
          <w:color w:val="1B2A4A"/>
          <w:sz w:val="18"/>
          <w:szCs w:val="18"/>
        </w:rPr>
        <w:t xml:space="preserve">§13.2.g.ii  </w:t>
      </w:r>
      <w:r>
        <w:rPr>
          <w:rFonts w:ascii="Garamond" w:cs="Garamond" w:eastAsia="Garamond" w:hAnsi="Garamond"/>
          <w:b/>
          <w:bCs/>
          <w:i w:val="false"/>
          <w:iCs w:val="false"/>
          <w:color w:val="1B2A4A"/>
          <w:sz w:val="22"/>
          <w:szCs w:val="22"/>
        </w:rPr>
        <w:t xml:space="preserve">Provisional Status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any provisional status period, the LI conducts a modified annual Statehood Audit assessing only the criteria that can be meaningfully evaluated given the conflict's geographic scope. The three Inspectorates jointly publish a quarterly status report to the NRS documenting: the percentage of territory where normal audit conditions have been restored, the governance functions operating normally, and the estimated timeline to full audit resumption. The State government retains all constitutional functions in territory not affected by the conflict.</w:t>
      </w:r>
    </w:p>
    <w:p>
      <w:pPr>
        <w:spacing w:after="60" w:before="200"/>
        <w:ind w:left="431"/>
        <w:jc w:val="left"/>
      </w:pPr>
      <w:r>
        <w:rPr>
          <w:rFonts w:ascii="Courier New" w:cs="Courier New" w:eastAsia="Courier New" w:hAnsi="Courier New"/>
          <w:b/>
          <w:bCs/>
          <w:color w:val="1B2A4A"/>
          <w:sz w:val="18"/>
          <w:szCs w:val="18"/>
        </w:rPr>
        <w:t xml:space="preserve">§13.2.g.iii  </w:t>
      </w:r>
      <w:r>
        <w:rPr>
          <w:rFonts w:ascii="Garamond" w:cs="Garamond" w:eastAsia="Garamond" w:hAnsi="Garamond"/>
          <w:b/>
          <w:bCs/>
          <w:i w:val="false"/>
          <w:iCs w:val="false"/>
          <w:color w:val="1B2A4A"/>
          <w:sz w:val="22"/>
          <w:szCs w:val="22"/>
        </w:rPr>
        <w:t xml:space="preserve">Prior Provisional Status — Renewal Conditions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has previously held provisional status under §13.2.g, a new petition requires the joint Inspectorate assessment to certify both that the new conflict is genuinely distinct from the prior episode and that the State has completed at least one full Statehood Audit cycle since the prior provisional status ended.</w:t>
      </w:r>
    </w:p>
    <w:p>
      <w:pPr>
        <w:spacing w:after="60" w:before="200"/>
        <w:ind w:left="431"/>
        <w:jc w:val="left"/>
      </w:pPr>
      <w:r>
        <w:rPr>
          <w:rFonts w:ascii="Courier New" w:cs="Courier New" w:eastAsia="Courier New" w:hAnsi="Courier New"/>
          <w:b/>
          <w:bCs/>
          <w:color w:val="1B2A4A"/>
          <w:sz w:val="18"/>
          <w:szCs w:val="18"/>
        </w:rPr>
        <w:t xml:space="preserve">§13.2.g.iv  </w:t>
      </w:r>
      <w:r>
        <w:rPr>
          <w:rFonts w:ascii="Garamond" w:cs="Garamond" w:eastAsia="Garamond" w:hAnsi="Garamond"/>
          <w:b/>
          <w:bCs/>
          <w:i w:val="false"/>
          <w:iCs w:val="false"/>
          <w:color w:val="1B2A4A"/>
          <w:sz w:val="22"/>
          <w:szCs w:val="22"/>
        </w:rPr>
        <w:t xml:space="preserve">Maximum Provisional Period and Default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Provisional status may not continue indefinitely. The Legislature must by statute define the maximum provisional period, not to exceed five years.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remedial process for States that have failed to meet minimum governance standards over a sustained period. Not punishment — a constitutional alternative to indefinite dysfunction. The path back to full Statehood is always available. Devolution restructures the State's relationship with the federal government while preserving its constitutional status.</w:t>
      </w:r>
    </w:p>
    <w:p>
      <w:pPr>
        <w:spacing w:after="60" w:before="200"/>
        <w:ind w:left="431"/>
        <w:jc w:val="left"/>
      </w:pPr>
      <w:r>
        <w:rPr>
          <w:rFonts w:ascii="Courier New" w:cs="Courier New" w:eastAsia="Courier New" w:hAnsi="Courier New"/>
          <w:b/>
          <w:bCs/>
          <w:color w:val="1B2A4A"/>
          <w:sz w:val="18"/>
          <w:szCs w:val="18"/>
        </w:rPr>
        <w:t xml:space="preserve">§13.3.a  </w:t>
      </w:r>
      <w:r>
        <w:rPr>
          <w:rFonts w:ascii="Garamond" w:cs="Garamond" w:eastAsia="Garamond" w:hAnsi="Garamond"/>
          <w:b/>
          <w:bCs/>
          <w:i w:val="false"/>
          <w:iCs w:val="false"/>
          <w:color w:val="1B2A4A"/>
          <w:sz w:val="22"/>
          <w:szCs w:val="22"/>
        </w:rPr>
        <w:t xml:space="preserve">Devolution Triggers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after passing through the Early Warning (Year 1-2) and Devolution Vote (Year 3) stages without correction. The LI certifies the trigger; the EI and JI jointly confirm; the SC reviews the factual basis.</w:t>
      </w:r>
    </w:p>
    <w:p>
      <w:pPr>
        <w:spacing w:after="60" w:before="200"/>
        <w:ind w:left="431"/>
        <w:jc w:val="left"/>
      </w:pPr>
      <w:r>
        <w:rPr>
          <w:rFonts w:ascii="Courier New" w:cs="Courier New" w:eastAsia="Courier New" w:hAnsi="Courier New"/>
          <w:b/>
          <w:bCs/>
          <w:color w:val="1B2A4A"/>
          <w:sz w:val="18"/>
          <w:szCs w:val="18"/>
        </w:rPr>
        <w:t xml:space="preserve">§13.3.b  </w:t>
      </w:r>
      <w:r>
        <w:rPr>
          <w:rFonts w:ascii="Garamond" w:cs="Garamond" w:eastAsia="Garamond" w:hAnsi="Garamond"/>
          <w:b/>
          <w:bCs/>
          <w:i w:val="false"/>
          <w:iCs w:val="false"/>
          <w:color w:val="1B2A4A"/>
          <w:sz w:val="22"/>
          <w:szCs w:val="22"/>
        </w:rPr>
        <w:t xml:space="preserve">Early Warning — Years 1 and 2</w:t>
      </w:r>
    </w:p>
    <w:p>
      <w:pPr>
        <w:spacing w:after="120" w:before="0"/>
        <w:ind w:left="431"/>
        <w:jc w:val="both"/>
      </w:pPr>
      <w:r>
        <w:rPr>
          <w:rFonts w:ascii="Garamond" w:cs="Garamond" w:eastAsia="Garamond" w:hAnsi="Garamond"/>
          <w:b w:val="false"/>
          <w:bCs w:val="false"/>
          <w:i w:val="false"/>
          <w:iCs w:val="false"/>
          <w:color w:val="2a2520"/>
          <w:sz w:val="22"/>
          <w:szCs w:val="22"/>
        </w:rPr>
        <w:t xml:space="preserve">Year 1 and 2 audit failures trigger Early Warning: the LI publishes specific compliance requirements, the State submits a Remediation Plan within 60 days, and the LI monitors implementation quarterly. A cooperative remediation process — the federal government assists the State in correcting identified failures rather than immediately proceeding to devolution.</w:t>
      </w:r>
    </w:p>
    <w:p>
      <w:pPr>
        <w:spacing w:after="60" w:before="200"/>
        <w:ind w:left="431"/>
        <w:jc w:val="left"/>
      </w:pPr>
      <w:r>
        <w:rPr>
          <w:rFonts w:ascii="Courier New" w:cs="Courier New" w:eastAsia="Courier New" w:hAnsi="Courier New"/>
          <w:b/>
          <w:bCs/>
          <w:color w:val="1B2A4A"/>
          <w:sz w:val="18"/>
          <w:szCs w:val="18"/>
        </w:rPr>
        <w:t xml:space="preserve">§13.3.c  </w:t>
      </w:r>
      <w:r>
        <w:rPr>
          <w:rFonts w:ascii="Garamond" w:cs="Garamond" w:eastAsia="Garamond" w:hAnsi="Garamond"/>
          <w:b/>
          <w:bCs/>
          <w:i w:val="false"/>
          <w:iCs w:val="false"/>
          <w:color w:val="1B2A4A"/>
          <w:sz w:val="22"/>
          <w:szCs w:val="22"/>
        </w:rPr>
        <w:t xml:space="preserve">Devolution Vote — Year 3</w:t>
      </w:r>
    </w:p>
    <w:p>
      <w:pPr>
        <w:spacing w:after="120" w:before="0"/>
        <w:ind w:left="431"/>
        <w:jc w:val="both"/>
      </w:pPr>
      <w:r>
        <w:rPr>
          <w:rFonts w:ascii="Garamond" w:cs="Garamond" w:eastAsia="Garamond" w:hAnsi="Garamond"/>
          <w:b w:val="false"/>
          <w:bCs w:val="false"/>
          <w:i w:val="false"/>
          <w:iCs w:val="false"/>
          <w:color w:val="2a2520"/>
          <w:sz w:val="22"/>
          <w:szCs w:val="22"/>
        </w:rPr>
        <w:t xml:space="preserve">Year 3 failure triggers a State-level referendum: citizens vote on whether to proceed to devolution or accept a federal remediation commission. If the State chooses the remediation commission, devolution is suspended for 2 years. If devolution is chosen or the commission fails, §13.3.d applies.</w:t>
      </w:r>
    </w:p>
    <w:p>
      <w:pPr>
        <w:spacing w:after="60" w:before="200"/>
        <w:ind w:left="431"/>
        <w:jc w:val="left"/>
      </w:pPr>
      <w:r>
        <w:rPr>
          <w:rFonts w:ascii="Courier New" w:cs="Courier New" w:eastAsia="Courier New" w:hAnsi="Courier New"/>
          <w:b/>
          <w:bCs/>
          <w:color w:val="1B2A4A"/>
          <w:sz w:val="18"/>
          <w:szCs w:val="18"/>
        </w:rPr>
        <w:t xml:space="preserve">§13.3.d  </w:t>
      </w:r>
      <w:r>
        <w:rPr>
          <w:rFonts w:ascii="Garamond" w:cs="Garamond" w:eastAsia="Garamond" w:hAnsi="Garamond"/>
          <w:b/>
          <w:bCs/>
          <w:i w:val="false"/>
          <w:iCs w:val="false"/>
          <w:color w:val="1B2A4A"/>
          <w:sz w:val="22"/>
          <w:szCs w:val="22"/>
        </w:rPr>
        <w:t xml:space="preserve">Effect of 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to completion;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Basic Needs Floor — BNF distributions to Territory residents continue without interruption; (5) Article I rights — all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the Territory may pass the audit at any annual assessment; (8) Path to restoration — full Statehood is restored automatically upon passing the Statehood Audit and completing the Provisional Membership Period under §13.2; no additional parliamentary vote is required. No additional consequences beyond those listed above may be imposed on the Territory by statute or executive action.</w:t>
      </w:r>
    </w:p>
    <w:p>
      <w:pPr>
        <w:spacing w:after="60" w:before="200"/>
        <w:ind w:left="431"/>
        <w:jc w:val="left"/>
      </w:pPr>
      <w:r>
        <w:rPr>
          <w:rFonts w:ascii="Courier New" w:cs="Courier New" w:eastAsia="Courier New" w:hAnsi="Courier New"/>
          <w:b/>
          <w:bCs/>
          <w:color w:val="1B2A4A"/>
          <w:sz w:val="18"/>
          <w:szCs w:val="18"/>
        </w:rPr>
        <w:t xml:space="preserve">§13.3.e  </w:t>
      </w:r>
      <w:r>
        <w:rPr>
          <w:rFonts w:ascii="Garamond" w:cs="Garamond" w:eastAsia="Garamond" w:hAnsi="Garamond"/>
          <w:b/>
          <w:bCs/>
          <w:i w:val="false"/>
          <w:iCs w:val="false"/>
          <w:color w:val="1B2A4A"/>
          <w:sz w:val="22"/>
          <w:szCs w:val="22"/>
        </w:rPr>
        <w:t xml:space="preserve">Constitutional Challenge to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seek to restructure its relationship with the Republic. Requires a State referendum (60% of voters), a negotiated restructuring agreement approved by the Senate, and a Transition Plan published to the NRS. The voluntary path preserves far more State agency than mandatory devolution.</w:t>
      </w:r>
    </w:p>
    <w:p>
      <w:pPr>
        <w:spacing w:after="60" w:before="200"/>
        <w:ind w:left="431"/>
        <w:jc w:val="left"/>
      </w:pPr>
      <w:r>
        <w:rPr>
          <w:rFonts w:ascii="Courier New" w:cs="Courier New" w:eastAsia="Courier New" w:hAnsi="Courier New"/>
          <w:b/>
          <w:bCs/>
          <w:color w:val="1B2A4A"/>
          <w:sz w:val="18"/>
          <w:szCs w:val="18"/>
        </w:rPr>
        <w:t xml:space="preserve">§13.4.a  </w:t>
      </w:r>
      <w:r>
        <w:rPr>
          <w:rFonts w:ascii="Garamond" w:cs="Garamond" w:eastAsia="Garamond" w:hAnsi="Garamond"/>
          <w:b/>
          <w:bCs/>
          <w:i w:val="false"/>
          <w:iCs w:val="false"/>
          <w:color w:val="1B2A4A"/>
          <w:sz w:val="22"/>
          <w:szCs w:val="22"/>
        </w:rPr>
        <w:t xml:space="preserve">Voluntary Devolution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State voters must approve the voluntary devolution petition. The referendum must specify the proposed restructuring: subdivision, merger, conversion to Territory status, or other arrangement. Citizens vote on the specific proposal, not on abstract devolution.</w:t>
      </w:r>
    </w:p>
    <w:p>
      <w:pPr>
        <w:spacing w:after="60" w:before="200"/>
        <w:ind w:left="431"/>
        <w:jc w:val="left"/>
      </w:pPr>
      <w:r>
        <w:rPr>
          <w:rFonts w:ascii="Courier New" w:cs="Courier New" w:eastAsia="Courier New" w:hAnsi="Courier New"/>
          <w:b/>
          <w:bCs/>
          <w:color w:val="1B2A4A"/>
          <w:sz w:val="18"/>
          <w:szCs w:val="18"/>
        </w:rPr>
        <w:t xml:space="preserve">§13.4.b  </w:t>
      </w:r>
      <w:r>
        <w:rPr>
          <w:rFonts w:ascii="Garamond" w:cs="Garamond" w:eastAsia="Garamond" w:hAnsi="Garamond"/>
          <w:b/>
          <w:bCs/>
          <w:i w:val="false"/>
          <w:iCs w:val="false"/>
          <w:color w:val="1B2A4A"/>
          <w:sz w:val="22"/>
          <w:szCs w:val="22"/>
        </w:rPr>
        <w:t xml:space="preserve">Negotiated Restructuring Agreement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a successful referendum, the State and the federal government negotiate restructuring terms: asset and liability allocation, transition timeline, continuing federal obligations, and constitutional status of successor jurisdictions. Senate approval by 2/3 majority required. The agreement is published to the NRS and is legally binding on both parties.</w:t>
      </w:r>
    </w:p>
    <w:p>
      <w:pPr>
        <w:spacing w:after="60" w:before="200"/>
        <w:ind w:left="431"/>
        <w:jc w:val="left"/>
      </w:pPr>
      <w:r>
        <w:rPr>
          <w:rFonts w:ascii="Courier New" w:cs="Courier New" w:eastAsia="Courier New" w:hAnsi="Courier New"/>
          <w:b/>
          <w:bCs/>
          <w:color w:val="1B2A4A"/>
          <w:sz w:val="18"/>
          <w:szCs w:val="18"/>
        </w:rPr>
        <w:t xml:space="preserve">§13.4.c  </w:t>
      </w:r>
      <w:r>
        <w:rPr>
          <w:rFonts w:ascii="Garamond" w:cs="Garamond" w:eastAsia="Garamond" w:hAnsi="Garamond"/>
          <w:b/>
          <w:bCs/>
          <w:i w:val="false"/>
          <w:iCs w:val="false"/>
          <w:color w:val="1B2A4A"/>
          <w:sz w:val="22"/>
          <w:szCs w:val="22"/>
        </w:rPr>
        <w:t xml:space="preserve">Transition Plan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Plan specifies which functions transfer and when, how citizen rights are maintained during transition, and what remedies apply if transition encounters implementation problems. The LI monitors Transition Plan implementation and publishes quarterly compliance reports to the NRS.</w:t>
      </w:r>
    </w:p>
    <w:p>
      <w:pPr>
        <w:spacing w:after="60" w:before="200"/>
        <w:ind w:left="431"/>
        <w:jc w:val="left"/>
      </w:pPr>
      <w:r>
        <w:rPr>
          <w:rFonts w:ascii="Courier New" w:cs="Courier New" w:eastAsia="Courier New" w:hAnsi="Courier New"/>
          <w:b/>
          <w:bCs/>
          <w:color w:val="1B2A4A"/>
          <w:sz w:val="18"/>
          <w:szCs w:val="18"/>
        </w:rPr>
        <w:t xml:space="preserve">§13.4.d  </w:t>
      </w:r>
      <w:r>
        <w:rPr>
          <w:rFonts w:ascii="Garamond" w:cs="Garamond" w:eastAsia="Garamond" w:hAnsi="Garamond"/>
          <w:b/>
          <w:bCs/>
          <w:i w:val="false"/>
          <w:iCs w:val="false"/>
          <w:color w:val="1B2A4A"/>
          <w:sz w:val="22"/>
          <w:szCs w:val="22"/>
        </w:rPr>
        <w:t xml:space="preserve">Effect of 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Post-Devolution Status — following voluntary devolution, successor jurisdiction(s) begin their constitutional status from the starting point specified in the restructuring agreement. A subdivision that becomes a Territory enters the Statehood pathway immediately.</w:t>
      </w:r>
    </w:p>
    <w:p>
      <w:pPr>
        <w:spacing w:after="60" w:before="200"/>
        <w:ind w:left="431"/>
        <w:jc w:val="left"/>
      </w:pPr>
      <w:r>
        <w:rPr>
          <w:rFonts w:ascii="Courier New" w:cs="Courier New" w:eastAsia="Courier New" w:hAnsi="Courier New"/>
          <w:b/>
          <w:bCs/>
          <w:color w:val="1B2A4A"/>
          <w:sz w:val="18"/>
          <w:szCs w:val="18"/>
        </w:rPr>
        <w:t xml:space="preserve">§13.4.e  </w:t>
      </w:r>
      <w:r>
        <w:rPr>
          <w:rFonts w:ascii="Garamond" w:cs="Garamond" w:eastAsia="Garamond" w:hAnsi="Garamond"/>
          <w:b/>
          <w:bCs/>
          <w:i w:val="false"/>
          <w:iCs w:val="false"/>
          <w:color w:val="1B2A4A"/>
          <w:sz w:val="22"/>
          <w:szCs w:val="22"/>
        </w:rPr>
        <w:t xml:space="preserve">Negotiated Devolution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 of §13.4.b.</w:t>
      </w:r>
    </w:p>
    <w:p>
      <w:pPr>
        <w:spacing w:after="60" w:before="200"/>
        <w:ind w:left="431"/>
        <w:jc w:val="left"/>
      </w:pPr>
      <w:r>
        <w:rPr>
          <w:rFonts w:ascii="Courier New" w:cs="Courier New" w:eastAsia="Courier New" w:hAnsi="Courier New"/>
          <w:b/>
          <w:bCs/>
          <w:color w:val="1B2A4A"/>
          <w:sz w:val="18"/>
          <w:szCs w:val="18"/>
        </w:rPr>
        <w:t xml:space="preserve">§13.4.f  </w:t>
      </w:r>
      <w:r>
        <w:rPr>
          <w:rFonts w:ascii="Garamond" w:cs="Garamond" w:eastAsia="Garamond" w:hAnsi="Garamond"/>
          <w:b/>
          <w:bCs/>
          <w:i w:val="false"/>
          <w:iCs w:val="false"/>
          <w:color w:val="1B2A4A"/>
          <w:sz w:val="22"/>
          <w:szCs w:val="22"/>
        </w:rPr>
        <w:t xml:space="preserve">Independence Transition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Despite §10.1 applying to Republic Inhabitants, the Republic's obligations to the departing territory during the transition period must be specified in the framework agreement. Independence does not end Republic obligations to former Territory residents immediately. The transition period is a period of defined ongoing obligation.</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under §13.1. The Republic may not compel, incentivise, or pressure any sovereign entity to initiate this process — initiation must be an unencumbered democratic act of the petitioning entity's own governance. An indigenous nation recognised under Article XIV that wishes to pursue territorial incorporation must first make a status election through §14.6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Territorial Merger with Existing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a defined geographic portion of a Territory, may merge with an adjacent, geographically contiguous existing State rather than pursuing standalone Statehood. Merger requires approval from both the Territory population and the existing State, a joint Statehood Audit of the combined entity, and Senate ratification. The merged territory becomes fully part of the existing State — it does not create a new State or alter the existing State's constitutional standing.</w:t>
      </w:r>
    </w:p>
    <w:p>
      <w:pPr>
        <w:spacing w:after="60" w:before="200"/>
        <w:ind w:left="431"/>
        <w:jc w:val="left"/>
      </w:pPr>
      <w:r>
        <w:rPr>
          <w:rFonts w:ascii="Courier New" w:cs="Courier New" w:eastAsia="Courier New" w:hAnsi="Courier New"/>
          <w:b/>
          <w:bCs/>
          <w:color w:val="1B2A4A"/>
          <w:sz w:val="18"/>
          <w:szCs w:val="18"/>
        </w:rPr>
        <w:t xml:space="preserve">§13.7.a  </w:t>
      </w:r>
      <w:r>
        <w:rPr>
          <w:rFonts w:ascii="Garamond" w:cs="Garamond" w:eastAsia="Garamond" w:hAnsi="Garamond"/>
          <w:b/>
          <w:bCs/>
          <w:i w:val="false"/>
          <w:iCs w:val="false"/>
          <w:color w:val="1B2A4A"/>
          <w:sz w:val="22"/>
          <w:szCs w:val="22"/>
        </w:rPr>
        <w:t xml:space="preserve">Petition and Eligibility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defined geographic subdivision may petition the Senate to merge with a specific existing State. Eligibility requires: (1) geographic contiguity — the merging territory must share a land or navigable water border with the existing State; (2) a petition resolution adopted by the Territory's governance council or equivalent body; and (3) certification by the LI that the proposed merger boundaries are clearly defined and published to the NRS. A non-contiguous territory may not merge with a distant State regardless of other qualifications.</w:t>
      </w:r>
    </w:p>
    <w:p>
      <w:pPr>
        <w:spacing w:after="60" w:before="200"/>
        <w:ind w:left="431"/>
        <w:jc w:val="left"/>
      </w:pPr>
      <w:r>
        <w:rPr>
          <w:rFonts w:ascii="Courier New" w:cs="Courier New" w:eastAsia="Courier New" w:hAnsi="Courier New"/>
          <w:b/>
          <w:bCs/>
          <w:color w:val="1B2A4A"/>
          <w:sz w:val="18"/>
          <w:szCs w:val="18"/>
        </w:rPr>
        <w:t xml:space="preserve">§13.7.b  </w:t>
      </w:r>
      <w:r>
        <w:rPr>
          <w:rFonts w:ascii="Garamond" w:cs="Garamond" w:eastAsia="Garamond" w:hAnsi="Garamond"/>
          <w:b/>
          <w:bCs/>
          <w:i w:val="false"/>
          <w:iCs w:val="false"/>
          <w:color w:val="1B2A4A"/>
          <w:sz w:val="22"/>
          <w:szCs w:val="22"/>
        </w:rPr>
        <w:t xml:space="preserve">Dual Approval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Merger requires affirmative approval from both parties: (1) Territory approval — a referendum of eligible voters in the merging territory achieving 60% affirmative support with at least 50% participation. Where a partial territory merges, only the population of the merging portion votes; the remainder of the Territory does not participate in this referendum. (2) State approval — the existing State approves through its own constitutional or statutory process as the State defines; the approval method and result must be published to the NRS. Both approvals must be achieved within 18 months of each other. If either approval fails or expires without the other being obtained, the petition lapses and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§13.7.c  </w:t>
      </w:r>
      <w:r>
        <w:rPr>
          <w:rFonts w:ascii="Garamond" w:cs="Garamond" w:eastAsia="Garamond" w:hAnsi="Garamond"/>
          <w:b/>
          <w:bCs/>
          <w:i w:val="false"/>
          <w:iCs w:val="false"/>
          <w:color w:val="1B2A4A"/>
          <w:sz w:val="22"/>
          <w:szCs w:val="22"/>
        </w:rPr>
        <w:t xml:space="preserve">Joint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both approvals, the LI and JI conduct a joint Statehood Audit of the combined entity under the criteria of §13.2.a and §13.2.b. The audit assesses whether the existing State's fiscal integrity and legal compliance are maintained when the merging territory is included. The existing State retains its constitutional status throughout the audit process — audit failure blocks the merger but does not affect the State's existing Statehood. If the combined entity fails the audit, the merger may not proceed. The petition may be resubmitted once the audit criteria are met without requiring new dual approval under §13.7.b, provided resubmission occurs within 5 years of the original approvals.</w:t>
      </w:r>
    </w:p>
    <w:p>
      <w:pPr>
        <w:spacing w:after="60" w:before="200"/>
        <w:ind w:left="431"/>
        <w:jc w:val="left"/>
      </w:pPr>
      <w:r>
        <w:rPr>
          <w:rFonts w:ascii="Courier New" w:cs="Courier New" w:eastAsia="Courier New" w:hAnsi="Courier New"/>
          <w:b/>
          <w:bCs/>
          <w:color w:val="1B2A4A"/>
          <w:sz w:val="18"/>
          <w:szCs w:val="18"/>
        </w:rPr>
        <w:t xml:space="preserve">§13.7.d  </w:t>
      </w:r>
      <w:r>
        <w:rPr>
          <w:rFonts w:ascii="Garamond" w:cs="Garamond" w:eastAsia="Garamond" w:hAnsi="Garamond"/>
          <w:b/>
          <w:bCs/>
          <w:i w:val="false"/>
          <w:iCs w:val="false"/>
          <w:color w:val="1B2A4A"/>
          <w:sz w:val="22"/>
          <w:szCs w:val="22"/>
        </w:rPr>
        <w:t xml:space="preserve">Remaining Territory Viability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partial Territory merges with an existing State, the LI assesses the remaining Territory's viability for eventual standalone Statehood and publishes its assessment to the NRS within 90 days of the merger petition. Viability does not require the remaining Territory to currently meet Statehood Audit criteria — only that a credible path to meeting them exists given its population, fiscal capacity, and geographic coherence. If the LI finds the remaining Territory is not viable for standalone Statehood, the partial merger may not proceed unless the Republic commits by statute to a specific development and support program for the remaining Territory, published to the NRS before the Senate ratification vote. A Territory that is reduced to non-viability by a partial merger that proceeded in error is entitled to full BNF protection and federal support as a constitutional matter.</w:t>
      </w:r>
    </w:p>
    <w:p>
      <w:pPr>
        <w:spacing w:after="60" w:before="200"/>
        <w:ind w:left="431"/>
        <w:jc w:val="left"/>
      </w:pPr>
      <w:r>
        <w:rPr>
          <w:rFonts w:ascii="Courier New" w:cs="Courier New" w:eastAsia="Courier New" w:hAnsi="Courier New"/>
          <w:b/>
          <w:bCs/>
          <w:color w:val="1B2A4A"/>
          <w:sz w:val="18"/>
          <w:szCs w:val="18"/>
        </w:rPr>
        <w:t xml:space="preserve">§13.7.e  </w:t>
      </w:r>
      <w:r>
        <w:rPr>
          <w:rFonts w:ascii="Garamond" w:cs="Garamond" w:eastAsia="Garamond" w:hAnsi="Garamond"/>
          <w:b/>
          <w:bCs/>
          <w:i w:val="false"/>
          <w:iCs w:val="false"/>
          <w:color w:val="1B2A4A"/>
          <w:sz w:val="22"/>
          <w:szCs w:val="22"/>
        </w:rPr>
        <w:t xml:space="preserve">Senate Ratification and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ratification requires a simple majority of full seated membership. Upon ratification: the merging territory is incorporated into the existing State by operation of law from the date of ratification; the existing State's House seat allocation is recalculated at the next census; the existing State's two Senate seats remain unchanged; all residents of the merging territory become citizens and residents of the State for all constitutional purposes; and the LI publishes the updated State boundaries to the NRS within 30 days. Where a partial Territory merges, the remaining Territory continues under §13.1 and begins or continues the §13.2 Statehood Audit process from its current baseline.</w:t>
      </w:r>
    </w:p>
    <w:p>
      <w:pPr>
        <w:spacing w:after="60" w:before="200"/>
        <w:ind w:left="431"/>
        <w:jc w:val="left"/>
      </w:pPr>
      <w:r>
        <w:rPr>
          <w:rFonts w:ascii="Courier New" w:cs="Courier New" w:eastAsia="Courier New" w:hAnsi="Courier New"/>
          <w:b/>
          <w:bCs/>
          <w:color w:val="1B2A4A"/>
          <w:sz w:val="18"/>
          <w:szCs w:val="18"/>
        </w:rPr>
        <w:t xml:space="preserve">§13.8  </w:t>
      </w:r>
      <w:r>
        <w:rPr>
          <w:rFonts w:ascii="Garamond" w:cs="Garamond" w:eastAsia="Garamond" w:hAnsi="Garamond"/>
          <w:b/>
          <w:bCs/>
          <w:i w:val="false"/>
          <w:iCs w:val="false"/>
          <w:color w:val="1B2A4A"/>
          <w:sz w:val="22"/>
          <w:szCs w:val="22"/>
        </w:rPr>
        <w:t xml:space="preserve">State 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431"/>
        <w:jc w:val="left"/>
      </w:pPr>
      <w:r>
        <w:rPr>
          <w:rFonts w:ascii="Courier New" w:cs="Courier New" w:eastAsia="Courier New" w:hAnsi="Courier New"/>
          <w:b/>
          <w:bCs/>
          <w:color w:val="1B2A4A"/>
          <w:sz w:val="18"/>
          <w:szCs w:val="18"/>
        </w:rPr>
        <w:t xml:space="preserve">§14.3.a  </w:t>
      </w:r>
      <w:r>
        <w:rPr>
          <w:rFonts w:ascii="Garamond" w:cs="Garamond" w:eastAsia="Garamond" w:hAnsi="Garamond"/>
          <w:b/>
          <w:bCs/>
          <w:i w:val="false"/>
          <w:iCs w:val="false"/>
          <w:color w:val="1B2A4A"/>
          <w:sz w:val="22"/>
          <w:szCs w:val="22"/>
        </w:rPr>
        <w:t xml:space="preserve">Article I Rights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431"/>
        <w:jc w:val="left"/>
      </w:pPr>
      <w:r>
        <w:rPr>
          <w:rFonts w:ascii="Courier New" w:cs="Courier New" w:eastAsia="Courier New" w:hAnsi="Courier New"/>
          <w:b/>
          <w:bCs/>
          <w:color w:val="1B2A4A"/>
          <w:sz w:val="18"/>
          <w:szCs w:val="18"/>
        </w:rPr>
        <w:t xml:space="preserve">§14.3.b  </w:t>
      </w:r>
      <w:r>
        <w:rPr>
          <w:rFonts w:ascii="Garamond" w:cs="Garamond" w:eastAsia="Garamond" w:hAnsi="Garamond"/>
          <w:b/>
          <w:bCs/>
          <w:i w:val="false"/>
          <w:iCs w:val="false"/>
          <w:color w:val="1B2A4A"/>
          <w:sz w:val="22"/>
          <w:szCs w:val="22"/>
        </w:rPr>
        <w:t xml:space="preserve">Compact Judicial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431"/>
        <w:jc w:val="left"/>
      </w:pPr>
      <w:r>
        <w:rPr>
          <w:rFonts w:ascii="Courier New" w:cs="Courier New" w:eastAsia="Courier New" w:hAnsi="Courier New"/>
          <w:b/>
          <w:bCs/>
          <w:color w:val="1B2A4A"/>
          <w:sz w:val="18"/>
          <w:szCs w:val="18"/>
        </w:rPr>
        <w:t xml:space="preserve">§14.3.c  </w:t>
      </w:r>
      <w:r>
        <w:rPr>
          <w:rFonts w:ascii="Garamond" w:cs="Garamond" w:eastAsia="Garamond" w:hAnsi="Garamond"/>
          <w:b/>
          <w:bCs/>
          <w:i w:val="false"/>
          <w:iCs w:val="false"/>
          <w:color w:val="1B2A4A"/>
          <w:sz w:val="22"/>
          <w:szCs w:val="22"/>
        </w:rPr>
        <w:t xml:space="preserve">Land and Resource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431"/>
        <w:jc w:val="left"/>
      </w:pPr>
      <w:r>
        <w:rPr>
          <w:rFonts w:ascii="Courier New" w:cs="Courier New" w:eastAsia="Courier New" w:hAnsi="Courier New"/>
          <w:b/>
          <w:bCs/>
          <w:color w:val="1B2A4A"/>
          <w:sz w:val="18"/>
          <w:szCs w:val="18"/>
        </w:rPr>
        <w:t xml:space="preserve">§14.3.d  </w:t>
      </w:r>
      <w:r>
        <w:rPr>
          <w:rFonts w:ascii="Garamond" w:cs="Garamond" w:eastAsia="Garamond" w:hAnsi="Garamond"/>
          <w:b/>
          <w:bCs/>
          <w:i w:val="false"/>
          <w:iCs w:val="false"/>
          <w:color w:val="1B2A4A"/>
          <w:sz w:val="22"/>
          <w:szCs w:val="22"/>
        </w:rPr>
        <w:t xml:space="preserve">Compact Governance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431"/>
        <w:jc w:val="left"/>
      </w:pPr>
      <w:r>
        <w:rPr>
          <w:rFonts w:ascii="Courier New" w:cs="Courier New" w:eastAsia="Courier New" w:hAnsi="Courier New"/>
          <w:b/>
          <w:bCs/>
          <w:color w:val="1B2A4A"/>
          <w:sz w:val="18"/>
          <w:szCs w:val="18"/>
        </w:rPr>
        <w:t xml:space="preserve">§14.3.e  </w:t>
      </w:r>
      <w:r>
        <w:rPr>
          <w:rFonts w:ascii="Garamond" w:cs="Garamond" w:eastAsia="Garamond" w:hAnsi="Garamond"/>
          <w:b/>
          <w:bCs/>
          <w:i w:val="false"/>
          <w:iCs w:val="false"/>
          <w:color w:val="1B2A4A"/>
          <w:sz w:val="22"/>
          <w:szCs w:val="22"/>
        </w:rPr>
        <w:t xml:space="preserve">Compact Education and Language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431"/>
        <w:jc w:val="left"/>
      </w:pPr>
      <w:r>
        <w:rPr>
          <w:rFonts w:ascii="Courier New" w:cs="Courier New" w:eastAsia="Courier New" w:hAnsi="Courier New"/>
          <w:b/>
          <w:bCs/>
          <w:color w:val="1B2A4A"/>
          <w:sz w:val="18"/>
          <w:szCs w:val="18"/>
        </w:rPr>
        <w:t xml:space="preserve">§14.4.a  </w:t>
      </w:r>
      <w:r>
        <w:rPr>
          <w:rFonts w:ascii="Garamond" w:cs="Garamond" w:eastAsia="Garamond" w:hAnsi="Garamond"/>
          <w:b/>
          <w:bCs/>
          <w:i w:val="false"/>
          <w:iCs w:val="false"/>
          <w:color w:val="1B2A4A"/>
          <w:sz w:val="22"/>
          <w:szCs w:val="22"/>
        </w:rPr>
        <w:t xml:space="preserve">Compact Dispute Resolution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431"/>
        <w:jc w:val="left"/>
      </w:pPr>
      <w:r>
        <w:rPr>
          <w:rFonts w:ascii="Courier New" w:cs="Courier New" w:eastAsia="Courier New" w:hAnsi="Courier New"/>
          <w:b/>
          <w:bCs/>
          <w:color w:val="1B2A4A"/>
          <w:sz w:val="18"/>
          <w:szCs w:val="18"/>
        </w:rPr>
        <w:t xml:space="preserve">§14.4.b  </w:t>
      </w:r>
      <w:r>
        <w:rPr>
          <w:rFonts w:ascii="Garamond" w:cs="Garamond" w:eastAsia="Garamond" w:hAnsi="Garamond"/>
          <w:b/>
          <w:bCs/>
          <w:i w:val="false"/>
          <w:iCs w:val="false"/>
          <w:color w:val="1B2A4A"/>
          <w:sz w:val="22"/>
          <w:szCs w:val="22"/>
        </w:rPr>
        <w:t xml:space="preserve">Compact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431"/>
        <w:jc w:val="left"/>
      </w:pPr>
      <w:r>
        <w:rPr>
          <w:rFonts w:ascii="Courier New" w:cs="Courier New" w:eastAsia="Courier New" w:hAnsi="Courier New"/>
          <w:b/>
          <w:bCs/>
          <w:color w:val="1B2A4A"/>
          <w:sz w:val="18"/>
          <w:szCs w:val="18"/>
        </w:rPr>
        <w:t xml:space="preserve">§14.4.c  </w:t>
      </w:r>
      <w:r>
        <w:rPr>
          <w:rFonts w:ascii="Garamond" w:cs="Garamond" w:eastAsia="Garamond" w:hAnsi="Garamond"/>
          <w:b/>
          <w:bCs/>
          <w:i w:val="false"/>
          <w:iCs w:val="false"/>
          <w:color w:val="1B2A4A"/>
          <w:sz w:val="22"/>
          <w:szCs w:val="22"/>
        </w:rPr>
        <w:t xml:space="preserve">Compact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431"/>
        <w:jc w:val="left"/>
      </w:pPr>
      <w:r>
        <w:rPr>
          <w:rFonts w:ascii="Courier New" w:cs="Courier New" w:eastAsia="Courier New" w:hAnsi="Courier New"/>
          <w:b/>
          <w:bCs/>
          <w:color w:val="1B2A4A"/>
          <w:sz w:val="18"/>
          <w:szCs w:val="18"/>
        </w:rPr>
        <w:t xml:space="preserve">§14.5.a  </w:t>
      </w:r>
      <w:r>
        <w:rPr>
          <w:rFonts w:ascii="Garamond" w:cs="Garamond" w:eastAsia="Garamond" w:hAnsi="Garamond"/>
          <w:b/>
          <w:bCs/>
          <w:i w:val="false"/>
          <w:iCs w:val="false"/>
          <w:color w:val="1B2A4A"/>
          <w:sz w:val="22"/>
          <w:szCs w:val="22"/>
        </w:rPr>
        <w:t xml:space="preserve">Emergency Rights Writ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431"/>
        <w:jc w:val="left"/>
      </w:pPr>
      <w:r>
        <w:rPr>
          <w:rFonts w:ascii="Courier New" w:cs="Courier New" w:eastAsia="Courier New" w:hAnsi="Courier New"/>
          <w:b/>
          <w:bCs/>
          <w:color w:val="1B2A4A"/>
          <w:sz w:val="18"/>
          <w:szCs w:val="18"/>
        </w:rPr>
        <w:t xml:space="preserve">§14.5.b  </w:t>
      </w:r>
      <w:r>
        <w:rPr>
          <w:rFonts w:ascii="Garamond" w:cs="Garamond" w:eastAsia="Garamond" w:hAnsi="Garamond"/>
          <w:b/>
          <w:bCs/>
          <w:i w:val="false"/>
          <w:iCs w:val="false"/>
          <w:color w:val="1B2A4A"/>
          <w:sz w:val="22"/>
          <w:szCs w:val="22"/>
        </w:rPr>
        <w:t xml:space="preserve">Federal Assistance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431"/>
        <w:jc w:val="left"/>
      </w:pPr>
      <w:r>
        <w:rPr>
          <w:rFonts w:ascii="Courier New" w:cs="Courier New" w:eastAsia="Courier New" w:hAnsi="Courier New"/>
          <w:b/>
          <w:bCs/>
          <w:color w:val="1B2A4A"/>
          <w:sz w:val="18"/>
          <w:szCs w:val="18"/>
        </w:rPr>
        <w:t xml:space="preserve">§14.5.c  </w:t>
      </w:r>
      <w:r>
        <w:rPr>
          <w:rFonts w:ascii="Garamond" w:cs="Garamond" w:eastAsia="Garamond" w:hAnsi="Garamond"/>
          <w:b/>
          <w:bCs/>
          <w:i w:val="false"/>
          <w:iCs w:val="false"/>
          <w:color w:val="1B2A4A"/>
          <w:sz w:val="22"/>
          <w:szCs w:val="22"/>
        </w:rPr>
        <w:t xml:space="preserve">New Indigenous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§14.5.d  </w:t>
      </w:r>
      <w:r>
        <w:rPr>
          <w:rFonts w:ascii="Garamond" w:cs="Garamond" w:eastAsia="Garamond" w:hAnsi="Garamond"/>
          <w:b/>
          <w:bCs/>
          <w:i w:val="false"/>
          <w:iCs w:val="false"/>
          <w:color w:val="1B2A4A"/>
          <w:sz w:val="22"/>
          <w:szCs w:val="22"/>
        </w:rPr>
        <w:t xml:space="preserve">Compact and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Three 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431"/>
        <w:jc w:val="left"/>
      </w:pPr>
      <w:r>
        <w:rPr>
          <w:rFonts w:ascii="Courier New" w:cs="Courier New" w:eastAsia="Courier New" w:hAnsi="Courier New"/>
          <w:b/>
          <w:bCs/>
          <w:color w:val="1B2A4A"/>
          <w:sz w:val="18"/>
          <w:szCs w:val="18"/>
        </w:rPr>
        <w:t xml:space="preserve">§15.1.a  </w:t>
      </w:r>
      <w:r>
        <w:rPr>
          <w:rFonts w:ascii="Garamond" w:cs="Garamond" w:eastAsia="Garamond" w:hAnsi="Garamond"/>
          <w:b/>
          <w:bCs/>
          <w:i w:val="false"/>
          <w:iCs w:val="false"/>
          <w:color w:val="1B2A4A"/>
          <w:sz w:val="22"/>
          <w:szCs w:val="22"/>
        </w:rPr>
        <w:t xml:space="preserve">Parliamentary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Amendment. 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431"/>
        <w:jc w:val="left"/>
      </w:pPr>
      <w:r>
        <w:rPr>
          <w:rFonts w:ascii="Courier New" w:cs="Courier New" w:eastAsia="Courier New" w:hAnsi="Courier New"/>
          <w:b/>
          <w:bCs/>
          <w:color w:val="1B2A4A"/>
          <w:sz w:val="18"/>
          <w:szCs w:val="18"/>
        </w:rPr>
        <w:t xml:space="preserve">§15.1.b  </w:t>
      </w:r>
      <w:r>
        <w:rPr>
          <w:rFonts w:ascii="Garamond" w:cs="Garamond" w:eastAsia="Garamond" w:hAnsi="Garamond"/>
          <w:b/>
          <w:bCs/>
          <w:i w:val="false"/>
          <w:iCs w:val="false"/>
          <w:color w:val="1B2A4A"/>
          <w:sz w:val="22"/>
          <w:szCs w:val="22"/>
        </w:rPr>
        <w:t xml:space="preserve">Parliamentary and Popular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Path B — Legislative and Popular Amendment. 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431"/>
        <w:jc w:val="left"/>
      </w:pPr>
      <w:r>
        <w:rPr>
          <w:rFonts w:ascii="Courier New" w:cs="Courier New" w:eastAsia="Courier New" w:hAnsi="Courier New"/>
          <w:b/>
          <w:bCs/>
          <w:color w:val="1B2A4A"/>
          <w:sz w:val="18"/>
          <w:szCs w:val="18"/>
        </w:rPr>
        <w:t xml:space="preserve">§15.1.c  </w:t>
      </w:r>
      <w:r>
        <w:rPr>
          <w:rFonts w:ascii="Garamond" w:cs="Garamond" w:eastAsia="Garamond" w:hAnsi="Garamond"/>
          <w:b/>
          <w:bCs/>
          <w:i w:val="false"/>
          <w:iCs w:val="false"/>
          <w:color w:val="1B2A4A"/>
          <w:sz w:val="22"/>
          <w:szCs w:val="22"/>
        </w:rPr>
        <w:t xml:space="preserve">Citizen-Led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Over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431"/>
        <w:jc w:val="left"/>
      </w:pPr>
      <w:r>
        <w:rPr>
          <w:rFonts w:ascii="Courier New" w:cs="Courier New" w:eastAsia="Courier New" w:hAnsi="Courier New"/>
          <w:b/>
          <w:bCs/>
          <w:color w:val="1B2A4A"/>
          <w:sz w:val="18"/>
          <w:szCs w:val="18"/>
        </w:rPr>
        <w:t xml:space="preserve">§15.2.a  </w:t>
      </w:r>
      <w:r>
        <w:rPr>
          <w:rFonts w:ascii="Garamond" w:cs="Garamond" w:eastAsia="Garamond" w:hAnsi="Garamond"/>
          <w:b/>
          <w:bCs/>
          <w:i w:val="false"/>
          <w:iCs w:val="false"/>
          <w:color w:val="1B2A4A"/>
          <w:sz w:val="22"/>
          <w:szCs w:val="22"/>
        </w:rPr>
        <w:t xml:space="preserve">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431"/>
        <w:jc w:val="left"/>
      </w:pPr>
      <w:r>
        <w:rPr>
          <w:rFonts w:ascii="Courier New" w:cs="Courier New" w:eastAsia="Courier New" w:hAnsi="Courier New"/>
          <w:b/>
          <w:bCs/>
          <w:color w:val="1B2A4A"/>
          <w:sz w:val="18"/>
          <w:szCs w:val="18"/>
        </w:rPr>
        <w:t xml:space="preserve">§15.3.a  </w:t>
      </w:r>
      <w:r>
        <w:rPr>
          <w:rFonts w:ascii="Garamond" w:cs="Garamond" w:eastAsia="Garamond" w:hAnsi="Garamond"/>
          <w:b/>
          <w:bCs/>
          <w:i w:val="false"/>
          <w:iCs w:val="false"/>
          <w:color w:val="1B2A4A"/>
          <w:sz w:val="22"/>
          <w:szCs w:val="22"/>
        </w:rPr>
        <w:t xml:space="preserve">Permanently 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Unamendable Floor — 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431"/>
        <w:jc w:val="left"/>
      </w:pPr>
      <w:r>
        <w:rPr>
          <w:rFonts w:ascii="Courier New" w:cs="Courier New" w:eastAsia="Courier New" w:hAnsi="Courier New"/>
          <w:b/>
          <w:bCs/>
          <w:color w:val="1B2A4A"/>
          <w:sz w:val="18"/>
          <w:szCs w:val="18"/>
        </w:rPr>
        <w:t xml:space="preserve">§15.4.a  </w:t>
      </w:r>
      <w:r>
        <w:rPr>
          <w:rFonts w:ascii="Garamond" w:cs="Garamond" w:eastAsia="Garamond" w:hAnsi="Garamond"/>
          <w:b/>
          <w:bCs/>
          <w:i w:val="false"/>
          <w:iCs w:val="false"/>
          <w:color w:val="1B2A4A"/>
          <w:sz w:val="22"/>
          <w:szCs w:val="22"/>
        </w:rPr>
        <w:t xml:space="preserve">Amendment Requirement for Territorial Reduction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a Path B or Path C amendment (not Path A). Expansion of territory is governed by §13.1. No executive action may alter the Republic's territorial extent.</w:t>
      </w:r>
    </w:p>
    <w:p>
      <w:pPr>
        <w:spacing w:after="60" w:before="200"/>
        <w:ind w:left="431"/>
        <w:jc w:val="left"/>
      </w:pPr>
      <w:r>
        <w:rPr>
          <w:rFonts w:ascii="Courier New" w:cs="Courier New" w:eastAsia="Courier New" w:hAnsi="Courier New"/>
          <w:b/>
          <w:bCs/>
          <w:color w:val="1B2A4A"/>
          <w:sz w:val="18"/>
          <w:szCs w:val="18"/>
        </w:rPr>
        <w:t xml:space="preserve">§15.4.b  </w:t>
      </w:r>
      <w:r>
        <w:rPr>
          <w:rFonts w:ascii="Garamond" w:cs="Garamond" w:eastAsia="Garamond" w:hAnsi="Garamond"/>
          <w:b/>
          <w:bCs/>
          <w:i w:val="false"/>
          <w:iCs w:val="false"/>
          <w:color w:val="1B2A4A"/>
          <w:sz w:val="22"/>
          <w:szCs w:val="22"/>
        </w:rPr>
        <w:t xml:space="preserve">No Secession by Ordinary Legislation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431"/>
        <w:jc w:val="left"/>
      </w:pPr>
      <w:r>
        <w:rPr>
          <w:rFonts w:ascii="Courier New" w:cs="Courier New" w:eastAsia="Courier New" w:hAnsi="Courier New"/>
          <w:b/>
          <w:bCs/>
          <w:color w:val="1B2A4A"/>
          <w:sz w:val="18"/>
          <w:szCs w:val="18"/>
        </w:rPr>
        <w:t xml:space="preserve">§15.5.a  </w:t>
      </w:r>
      <w:r>
        <w:rPr>
          <w:rFonts w:ascii="Garamond" w:cs="Garamond" w:eastAsia="Garamond" w:hAnsi="Garamond"/>
          <w:b/>
          <w:bCs/>
          <w:i w:val="false"/>
          <w:iCs w:val="false"/>
          <w:color w:val="1B2A4A"/>
          <w:sz w:val="22"/>
          <w:szCs w:val="22"/>
        </w:rPr>
        <w:t xml:space="preserve">LI Consistency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431"/>
        <w:jc w:val="left"/>
      </w:pPr>
      <w:r>
        <w:rPr>
          <w:rFonts w:ascii="Courier New" w:cs="Courier New" w:eastAsia="Courier New" w:hAnsi="Courier New"/>
          <w:b/>
          <w:bCs/>
          <w:color w:val="1B2A4A"/>
          <w:sz w:val="18"/>
          <w:szCs w:val="18"/>
        </w:rPr>
        <w:t xml:space="preserve">§15.5.b  </w:t>
      </w:r>
      <w:r>
        <w:rPr>
          <w:rFonts w:ascii="Garamond" w:cs="Garamond" w:eastAsia="Garamond" w:hAnsi="Garamond"/>
          <w:b/>
          <w:bCs/>
          <w:i w:val="false"/>
          <w:iCs w:val="false"/>
          <w:color w:val="1B2A4A"/>
          <w:sz w:val="22"/>
          <w:szCs w:val="22"/>
        </w:rPr>
        <w:t xml:space="preserve">SC Consistency Adjudication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431"/>
        <w:jc w:val="left"/>
      </w:pPr>
      <w:r>
        <w:rPr>
          <w:rFonts w:ascii="Courier New" w:cs="Courier New" w:eastAsia="Courier New" w:hAnsi="Courier New"/>
          <w:b/>
          <w:bCs/>
          <w:color w:val="1B2A4A"/>
          <w:sz w:val="18"/>
          <w:szCs w:val="18"/>
        </w:rPr>
        <w:t xml:space="preserve">§15.5.c  </w:t>
      </w:r>
      <w:r>
        <w:rPr>
          <w:rFonts w:ascii="Garamond" w:cs="Garamond" w:eastAsia="Garamond" w:hAnsi="Garamond"/>
          <w:b/>
          <w:bCs/>
          <w:i w:val="false"/>
          <w:iCs w:val="false"/>
          <w:color w:val="1B2A4A"/>
          <w:sz w:val="22"/>
          <w:szCs w:val="22"/>
        </w:rPr>
        <w:t xml:space="preserve">Retroactive Effect of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431"/>
        <w:jc w:val="left"/>
      </w:pPr>
      <w:r>
        <w:rPr>
          <w:rFonts w:ascii="Courier New" w:cs="Courier New" w:eastAsia="Courier New" w:hAnsi="Courier New"/>
          <w:b/>
          <w:bCs/>
          <w:color w:val="1B2A4A"/>
          <w:sz w:val="18"/>
          <w:szCs w:val="18"/>
        </w:rPr>
        <w:t xml:space="preserve">§15.5.d  </w:t>
      </w:r>
      <w:r>
        <w:rPr>
          <w:rFonts w:ascii="Garamond" w:cs="Garamond" w:eastAsia="Garamond" w:hAnsi="Garamond"/>
          <w:b/>
          <w:bCs/>
          <w:i w:val="false"/>
          <w:iCs w:val="false"/>
          <w:color w:val="1B2A4A"/>
          <w:sz w:val="22"/>
          <w:szCs w:val="22"/>
        </w:rPr>
        <w:t xml:space="preserve">Simultaneous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431"/>
        <w:jc w:val="left"/>
      </w:pPr>
      <w:r>
        <w:rPr>
          <w:rFonts w:ascii="Courier New" w:cs="Courier New" w:eastAsia="Courier New" w:hAnsi="Courier New"/>
          <w:b/>
          <w:bCs/>
          <w:color w:val="1B2A4A"/>
          <w:sz w:val="18"/>
          <w:szCs w:val="18"/>
        </w:rPr>
        <w:t xml:space="preserve">§15.5.e  </w:t>
      </w:r>
      <w:r>
        <w:rPr>
          <w:rFonts w:ascii="Garamond" w:cs="Garamond" w:eastAsia="Garamond" w:hAnsi="Garamond"/>
          <w:b/>
          <w:bCs/>
          <w:i w:val="false"/>
          <w:iCs w:val="false"/>
          <w:color w:val="1B2A4A"/>
          <w:sz w:val="22"/>
          <w:szCs w:val="22"/>
        </w:rPr>
        <w:t xml:space="preserve">Withdrawn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Supremacy — 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Electoral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is a constitutionally independent body of five members elected by national ranked-choice vote on National Election Day to non-renewable six-year staggered terms. No political body nominates EC members. The EC administers all federal elections and referenda, maintains the National Voting System, enforces Article XVIII campaign finance requirements, and certifies all election results to the NRS. The EC is independent of both executives and the Legislature in the exercise of its administrative and certification functions. No member of the EC may have held elected office or party membership within ten years of their election.</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Electoral Commission Qualifications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Commission members must meet three independently verified requirements: at least 15 years of professional expertise in elections, technology, or public administration; no current or recent partisan affiliation; and passage of the Constitutional Logic Test. The qualifications are substantive — the EC requires genuine expertise.</w:t>
      </w:r>
    </w:p>
    <w:p>
      <w:pPr>
        <w:spacing w:after="60" w:before="200"/>
        <w:ind w:left="431"/>
        <w:jc w:val="left"/>
      </w:pPr>
      <w:r>
        <w:rPr>
          <w:rFonts w:ascii="Courier New" w:cs="Courier New" w:eastAsia="Courier New" w:hAnsi="Courier New"/>
          <w:b/>
          <w:bCs/>
          <w:color w:val="1B2A4A"/>
          <w:sz w:val="18"/>
          <w:szCs w:val="18"/>
        </w:rPr>
        <w:t xml:space="preserve">§16.2.a  </w:t>
      </w:r>
      <w:r>
        <w:rPr>
          <w:rFonts w:ascii="Garamond" w:cs="Garamond" w:eastAsia="Garamond" w:hAnsi="Garamond"/>
          <w:b/>
          <w:bCs/>
          <w:i w:val="false"/>
          <w:iCs w:val="false"/>
          <w:color w:val="1B2A4A"/>
          <w:sz w:val="22"/>
          <w:szCs w:val="22"/>
        </w:rPr>
        <w:t xml:space="preserve">Electoral Commission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Commission members may be removed for cause only. No no-cause removal is available for EC members. For-cause removal requires: a JI-documented finding transmitted to a State Designee Panel under §8.9.f; a Panel determination that stated grounds are substantiated; a 14-day SC appeal window from publication of the Panel finding; and a 2/3 vote of both chambers simultaneously. Where the Panel finding is substantiated, the EC member is suspended from all duties pending the legislative vote and any SC review. On legislative acquittal following a substantiated Panel finding, the member returns to full duties immediately. Any removal vote scheduled within 180 days of a major national election is automatically suspended pending SC review within 48 hours; the proximity restriction applies to the removal vote, not to Panel-triggered suspension of duties.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431"/>
        <w:jc w:val="left"/>
      </w:pPr>
      <w:r>
        <w:rPr>
          <w:rFonts w:ascii="Courier New" w:cs="Courier New" w:eastAsia="Courier New" w:hAnsi="Courier New"/>
          <w:b/>
          <w:bCs/>
          <w:color w:val="1B2A4A"/>
          <w:sz w:val="18"/>
          <w:szCs w:val="18"/>
        </w:rPr>
        <w:t xml:space="preserve">§16.3.a  </w:t>
      </w:r>
      <w:r>
        <w:rPr>
          <w:rFonts w:ascii="Garamond" w:cs="Garamond" w:eastAsia="Garamond" w:hAnsi="Garamond"/>
          <w:b/>
          <w:bCs/>
          <w:i w:val="false"/>
          <w:iCs w:val="false"/>
          <w:color w:val="1B2A4A"/>
          <w:sz w:val="22"/>
          <w:szCs w:val="22"/>
        </w:rPr>
        <w:t xml:space="preserve">Ballot Secrecy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431"/>
        <w:jc w:val="left"/>
      </w:pPr>
      <w:r>
        <w:rPr>
          <w:rFonts w:ascii="Courier New" w:cs="Courier New" w:eastAsia="Courier New" w:hAnsi="Courier New"/>
          <w:b/>
          <w:bCs/>
          <w:color w:val="1B2A4A"/>
          <w:sz w:val="18"/>
          <w:szCs w:val="18"/>
        </w:rPr>
        <w:t xml:space="preserve">§16.3.b  </w:t>
      </w:r>
      <w:r>
        <w:rPr>
          <w:rFonts w:ascii="Garamond" w:cs="Garamond" w:eastAsia="Garamond" w:hAnsi="Garamond"/>
          <w:b/>
          <w:bCs/>
          <w:i w:val="false"/>
          <w:iCs w:val="false"/>
          <w:color w:val="1B2A4A"/>
          <w:sz w:val="22"/>
          <w:szCs w:val="22"/>
        </w:rPr>
        <w:t xml:space="preserve">Public Auditability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431"/>
        <w:jc w:val="left"/>
      </w:pPr>
      <w:r>
        <w:rPr>
          <w:rFonts w:ascii="Courier New" w:cs="Courier New" w:eastAsia="Courier New" w:hAnsi="Courier New"/>
          <w:b/>
          <w:bCs/>
          <w:color w:val="1B2A4A"/>
          <w:sz w:val="18"/>
          <w:szCs w:val="18"/>
        </w:rPr>
        <w:t xml:space="preserve">§16.3.c  </w:t>
      </w:r>
      <w:r>
        <w:rPr>
          <w:rFonts w:ascii="Garamond" w:cs="Garamond" w:eastAsia="Garamond" w:hAnsi="Garamond"/>
          <w:b/>
          <w:bCs/>
          <w:i w:val="false"/>
          <w:iCs w:val="false"/>
          <w:color w:val="1B2A4A"/>
          <w:sz w:val="22"/>
          <w:szCs w:val="22"/>
        </w:rPr>
        <w:t xml:space="preserve">Resilience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Voting Rights and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in federal elections. The Electoral Commission administers the Citizen Voting Credential and is constitutionally obligated to maintain access to the National Voting System for every eligible citizen.</w:t>
      </w:r>
    </w:p>
    <w:p>
      <w:pPr>
        <w:spacing w:after="60" w:before="200"/>
        <w:ind w:left="431"/>
        <w:jc w:val="left"/>
      </w:pPr>
      <w:r>
        <w:rPr>
          <w:rFonts w:ascii="Courier New" w:cs="Courier New" w:eastAsia="Courier New" w:hAnsi="Courier New"/>
          <w:b/>
          <w:bCs/>
          <w:color w:val="1B2A4A"/>
          <w:sz w:val="18"/>
          <w:szCs w:val="18"/>
        </w:rPr>
        <w:t xml:space="preserve">§16.4.a  </w:t>
      </w:r>
      <w:r>
        <w:rPr>
          <w:rFonts w:ascii="Garamond" w:cs="Garamond" w:eastAsia="Garamond" w:hAnsi="Garamond"/>
          <w:b/>
          <w:bCs/>
          <w:i w:val="false"/>
          <w:iCs w:val="false"/>
          <w:color w:val="1B2A4A"/>
          <w:sz w:val="22"/>
          <w:szCs w:val="22"/>
        </w:rPr>
        <w:t xml:space="preserve">The Citizen Voting Credential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00"/>
        <w:ind w:left="431"/>
        <w:jc w:val="left"/>
      </w:pPr>
      <w:r>
        <w:rPr>
          <w:rFonts w:ascii="Courier New" w:cs="Courier New" w:eastAsia="Courier New" w:hAnsi="Courier New"/>
          <w:b/>
          <w:bCs/>
          <w:color w:val="1B2A4A"/>
          <w:sz w:val="18"/>
          <w:szCs w:val="18"/>
        </w:rPr>
        <w:t xml:space="preserve">§16.4.b  </w:t>
      </w:r>
      <w:r>
        <w:rPr>
          <w:rFonts w:ascii="Garamond" w:cs="Garamond" w:eastAsia="Garamond" w:hAnsi="Garamond"/>
          <w:b/>
          <w:bCs/>
          <w:i w:val="false"/>
          <w:iCs w:val="false"/>
          <w:color w:val="1B2A4A"/>
          <w:sz w:val="22"/>
          <w:szCs w:val="22"/>
        </w:rPr>
        <w:t xml:space="preserve">Remote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431"/>
        <w:jc w:val="left"/>
      </w:pPr>
      <w:r>
        <w:rPr>
          <w:rFonts w:ascii="Courier New" w:cs="Courier New" w:eastAsia="Courier New" w:hAnsi="Courier New"/>
          <w:b/>
          <w:bCs/>
          <w:color w:val="1B2A4A"/>
          <w:sz w:val="18"/>
          <w:szCs w:val="18"/>
        </w:rPr>
        <w:t xml:space="preserve">§16.4.c  </w:t>
      </w:r>
      <w:r>
        <w:rPr>
          <w:rFonts w:ascii="Garamond" w:cs="Garamond" w:eastAsia="Garamond" w:hAnsi="Garamond"/>
          <w:b/>
          <w:bCs/>
          <w:i w:val="false"/>
          <w:iCs w:val="false"/>
          <w:color w:val="1B2A4A"/>
          <w:sz w:val="22"/>
          <w:szCs w:val="22"/>
        </w:rPr>
        <w:t xml:space="preserve">State Voting Method Flexibility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431"/>
        <w:jc w:val="left"/>
      </w:pPr>
      <w:r>
        <w:rPr>
          <w:rFonts w:ascii="Courier New" w:cs="Courier New" w:eastAsia="Courier New" w:hAnsi="Courier New"/>
          <w:b/>
          <w:bCs/>
          <w:color w:val="1B2A4A"/>
          <w:sz w:val="18"/>
          <w:szCs w:val="18"/>
        </w:rPr>
        <w:t xml:space="preserve">§16.4.d  </w:t>
      </w:r>
      <w:r>
        <w:rPr>
          <w:rFonts w:ascii="Garamond" w:cs="Garamond" w:eastAsia="Garamond" w:hAnsi="Garamond"/>
          <w:b/>
          <w:bCs/>
          <w:i w:val="false"/>
          <w:iCs w:val="false"/>
          <w:color w:val="1B2A4A"/>
          <w:sz w:val="22"/>
          <w:szCs w:val="22"/>
        </w:rPr>
        <w:t xml:space="preserve">Federal Ballot Information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§16.4.e  </w:t>
      </w:r>
      <w:r>
        <w:rPr>
          <w:rFonts w:ascii="Garamond" w:cs="Garamond" w:eastAsia="Garamond" w:hAnsi="Garamond"/>
          <w:b/>
          <w:bCs/>
          <w:i w:val="false"/>
          <w:iCs w:val="false"/>
          <w:color w:val="1B2A4A"/>
          <w:sz w:val="22"/>
          <w:szCs w:val="22"/>
        </w:rPr>
        <w:t xml:space="preserve">State Ballot Information on Request</w:t>
      </w:r>
    </w:p>
    <w:p>
      <w:pPr>
        <w:spacing w:after="120" w:before="0"/>
        <w:ind w:left="431"/>
        <w:jc w:val="both"/>
      </w:pPr>
      <w:r>
        <w:rPr>
          <w:rFonts w:ascii="Garamond" w:cs="Garamond" w:eastAsia="Garamond" w:hAnsi="Garamond"/>
          <w:b w:val="false"/>
          <w:bCs w:val="false"/>
          <w:i w:val="false"/>
          <w:iCs w:val="false"/>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Electoral Commission —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Commission's independence does not place it above accountability. This section governs its funding, Inspectorate oversight, removal of members for cause, and vacancy procedures.</w:t>
      </w:r>
    </w:p>
    <w:p>
      <w:pPr>
        <w:spacing w:after="60" w:before="200"/>
        <w:ind w:left="431"/>
        <w:jc w:val="left"/>
      </w:pPr>
      <w:r>
        <w:rPr>
          <w:rFonts w:ascii="Courier New" w:cs="Courier New" w:eastAsia="Courier New" w:hAnsi="Courier New"/>
          <w:b/>
          <w:bCs/>
          <w:color w:val="1B2A4A"/>
          <w:sz w:val="18"/>
          <w:szCs w:val="18"/>
        </w:rPr>
        <w:t xml:space="preserve">§16.5.a  </w:t>
      </w:r>
      <w:r>
        <w:rPr>
          <w:rFonts w:ascii="Garamond" w:cs="Garamond" w:eastAsia="Garamond" w:hAnsi="Garamond"/>
          <w:b/>
          <w:bCs/>
          <w:i w:val="false"/>
          <w:iCs w:val="false"/>
          <w:color w:val="1B2A4A"/>
          <w:sz w:val="22"/>
          <w:szCs w:val="22"/>
        </w:rPr>
        <w:t xml:space="preserve">Campaign Funding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Campaigns for Electoral Commission seats are publicly funded in full. No private money may be spent on EC campaigns. The EC administers elections for all other offices — it cannot itself be captured by the interests that it would regulate in other campaigns.</w:t>
      </w:r>
    </w:p>
    <w:p>
      <w:pPr>
        <w:spacing w:after="60" w:before="200"/>
        <w:ind w:left="431"/>
        <w:jc w:val="left"/>
      </w:pPr>
      <w:r>
        <w:rPr>
          <w:rFonts w:ascii="Courier New" w:cs="Courier New" w:eastAsia="Courier New" w:hAnsi="Courier New"/>
          <w:b/>
          <w:bCs/>
          <w:color w:val="1B2A4A"/>
          <w:sz w:val="18"/>
          <w:szCs w:val="18"/>
        </w:rPr>
        <w:t xml:space="preserve">§16.5.b  </w:t>
      </w:r>
      <w:r>
        <w:rPr>
          <w:rFonts w:ascii="Garamond" w:cs="Garamond" w:eastAsia="Garamond" w:hAnsi="Garamond"/>
          <w:b/>
          <w:bCs/>
          <w:i w:val="false"/>
          <w:iCs w:val="false"/>
          <w:color w:val="1B2A4A"/>
          <w:sz w:val="22"/>
          <w:szCs w:val="22"/>
        </w:rPr>
        <w:t xml:space="preserve">JI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audits the Electoral Commission annually. The JI is the appropriate Inspectorate for EC oversight — it audits judicial independence, and electoral integrity has similar structural properties. JI audit findings on the EC are published to the NRS and presented to both chambers.</w:t>
      </w:r>
    </w:p>
    <w:p>
      <w:pPr>
        <w:spacing w:after="60" w:before="200"/>
        <w:ind w:left="431"/>
        <w:jc w:val="left"/>
      </w:pPr>
      <w:r>
        <w:rPr>
          <w:rFonts w:ascii="Courier New" w:cs="Courier New" w:eastAsia="Courier New" w:hAnsi="Courier New"/>
          <w:b/>
          <w:bCs/>
          <w:color w:val="1B2A4A"/>
          <w:sz w:val="18"/>
          <w:szCs w:val="18"/>
        </w:rPr>
        <w:t xml:space="preserve">§16.5.c  </w:t>
      </w:r>
      <w:r>
        <w:rPr>
          <w:rFonts w:ascii="Garamond" w:cs="Garamond" w:eastAsia="Garamond" w:hAnsi="Garamond"/>
          <w:b/>
          <w:bCs/>
          <w:i w:val="false"/>
          <w:iCs w:val="false"/>
          <w:color w:val="1B2A4A"/>
          <w:sz w:val="22"/>
          <w:szCs w:val="22"/>
        </w:rPr>
        <w:t xml:space="preserve">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only, 2/3 both chambers simultaneously, preceded by State Designee Panel verification. 180-day election proximity rule: any removal vote within 180 days of a major national election is automatically suspended pending SC review within 48 hours. Critically: the proximity restriction applies to the removal vote only — Panel-triggered suspension of duties under §16.2.a is not subject to the proximity window.</w:t>
      </w:r>
    </w:p>
    <w:p>
      <w:pPr>
        <w:spacing w:after="60" w:before="200"/>
        <w:ind w:left="431"/>
        <w:jc w:val="left"/>
      </w:pPr>
      <w:r>
        <w:rPr>
          <w:rFonts w:ascii="Courier New" w:cs="Courier New" w:eastAsia="Courier New" w:hAnsi="Courier New"/>
          <w:b/>
          <w:bCs/>
          <w:color w:val="1B2A4A"/>
          <w:sz w:val="18"/>
          <w:szCs w:val="18"/>
        </w:rPr>
        <w:t xml:space="preserve">§16.5.d  </w:t>
      </w:r>
      <w:r>
        <w:rPr>
          <w:rFonts w:ascii="Garamond" w:cs="Garamond" w:eastAsia="Garamond" w:hAnsi="Garamond"/>
          <w:b/>
          <w:bCs/>
          <w:i w:val="false"/>
          <w:iCs w:val="false"/>
          <w:color w:val="1B2A4A"/>
          <w:sz w:val="22"/>
          <w:szCs w:val="22"/>
        </w:rPr>
        <w:t xml:space="preserve">Mid-Term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any Electoral Commission seat becomes vacant mid-term, a special election is held within 90 days through the NVS. The replacement serves the remainder of the vacated seat's term, then may stand as a candidate at the next regular EC election for a full new non-renewable term. Where fewer than 18 months remain in the vacated seat's term, the replacement may stand for a full term at the next regular EC election without serving the remainder. The Commission operates under its active-membership threshold during the vacancy period.</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Electoral Commission Technical Deadlock</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a procedure for the EC to adopt temporary technical measures in imminent security threats or system failures, bypassing the normal 3/5 decision threshold. The emergency power is narrowly constrained — it cannot change electoral rules, timelines, or candidate eligibility. A system-integrity tool only.</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Day Zero Voting System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 The ratification vote itself was conducted on the NVS (§19.1).</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431"/>
        <w:jc w:val="left"/>
      </w:pPr>
      <w:r>
        <w:rPr>
          <w:rFonts w:ascii="Courier New" w:cs="Courier New" w:eastAsia="Courier New" w:hAnsi="Courier New"/>
          <w:b/>
          <w:bCs/>
          <w:color w:val="1B2A4A"/>
          <w:sz w:val="18"/>
          <w:szCs w:val="18"/>
        </w:rPr>
        <w:t xml:space="preserve">§17.2.a  </w:t>
      </w:r>
      <w:r>
        <w:rPr>
          <w:rFonts w:ascii="Garamond" w:cs="Garamond" w:eastAsia="Garamond" w:hAnsi="Garamond"/>
          <w:b/>
          <w:bCs/>
          <w:i w:val="false"/>
          <w:iCs w:val="false"/>
          <w:color w:val="1B2A4A"/>
          <w:sz w:val="22"/>
          <w:szCs w:val="22"/>
        </w:rPr>
        <w:t xml:space="preserve">Bid Process and Requirements Specification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431"/>
        <w:jc w:val="left"/>
      </w:pPr>
      <w:r>
        <w:rPr>
          <w:rFonts w:ascii="Courier New" w:cs="Courier New" w:eastAsia="Courier New" w:hAnsi="Courier New"/>
          <w:b/>
          <w:bCs/>
          <w:color w:val="1B2A4A"/>
          <w:sz w:val="18"/>
          <w:szCs w:val="18"/>
        </w:rPr>
        <w:t xml:space="preserve">§17.2.b  </w:t>
      </w:r>
      <w:r>
        <w:rPr>
          <w:rFonts w:ascii="Garamond" w:cs="Garamond" w:eastAsia="Garamond" w:hAnsi="Garamond"/>
          <w:b/>
          <w:bCs/>
          <w:i w:val="false"/>
          <w:iCs w:val="false"/>
          <w:color w:val="1B2A4A"/>
          <w:sz w:val="22"/>
          <w:szCs w:val="22"/>
        </w:rPr>
        <w:t xml:space="preserve">Twenty-Year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431"/>
        <w:jc w:val="left"/>
      </w:pPr>
      <w:r>
        <w:rPr>
          <w:rFonts w:ascii="Courier New" w:cs="Courier New" w:eastAsia="Courier New" w:hAnsi="Courier New"/>
          <w:b/>
          <w:bCs/>
          <w:color w:val="1B2A4A"/>
          <w:sz w:val="18"/>
          <w:szCs w:val="18"/>
        </w:rPr>
        <w:t xml:space="preserve">§17.2.c  </w:t>
      </w:r>
      <w:r>
        <w:rPr>
          <w:rFonts w:ascii="Garamond" w:cs="Garamond" w:eastAsia="Garamond" w:hAnsi="Garamond"/>
          <w:b/>
          <w:bCs/>
          <w:i w:val="false"/>
          <w:iCs w:val="false"/>
          <w:color w:val="1B2A4A"/>
          <w:sz w:val="22"/>
          <w:szCs w:val="22"/>
        </w:rPr>
        <w:t xml:space="preserve">Transition Window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431"/>
        <w:jc w:val="left"/>
      </w:pPr>
      <w:r>
        <w:rPr>
          <w:rFonts w:ascii="Courier New" w:cs="Courier New" w:eastAsia="Courier New" w:hAnsi="Courier New"/>
          <w:b/>
          <w:bCs/>
          <w:color w:val="1B2A4A"/>
          <w:sz w:val="18"/>
          <w:szCs w:val="18"/>
        </w:rPr>
        <w:t xml:space="preserve">§17.2.d  </w:t>
      </w:r>
      <w:r>
        <w:rPr>
          <w:rFonts w:ascii="Garamond" w:cs="Garamond" w:eastAsia="Garamond" w:hAnsi="Garamond"/>
          <w:b/>
          <w:bCs/>
          <w:i w:val="false"/>
          <w:iCs w:val="false"/>
          <w:color w:val="1B2A4A"/>
          <w:sz w:val="22"/>
          <w:szCs w:val="22"/>
        </w:rPr>
        <w:t xml:space="preserve">No-Bid Scenario</w:t>
      </w:r>
    </w:p>
    <w:p>
      <w:pPr>
        <w:spacing w:after="120" w:before="0"/>
        <w:ind w:left="431"/>
        <w:jc w:val="both"/>
      </w:pPr>
      <w:r>
        <w:rPr>
          <w:rFonts w:ascii="Garamond" w:cs="Garamond" w:eastAsia="Garamond" w:hAnsi="Garamond"/>
          <w:b w:val="false"/>
          <w:bCs w:val="false"/>
          <w:i w:val="false"/>
          <w:iCs w:val="false"/>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431"/>
        <w:jc w:val="left"/>
      </w:pPr>
      <w:r>
        <w:rPr>
          <w:rFonts w:ascii="Courier New" w:cs="Courier New" w:eastAsia="Courier New" w:hAnsi="Courier New"/>
          <w:b/>
          <w:bCs/>
          <w:color w:val="1B2A4A"/>
          <w:sz w:val="18"/>
          <w:szCs w:val="18"/>
        </w:rPr>
        <w:t xml:space="preserve">§17.2.e  </w:t>
      </w:r>
      <w:r>
        <w:rPr>
          <w:rFonts w:ascii="Garamond" w:cs="Garamond" w:eastAsia="Garamond" w:hAnsi="Garamond"/>
          <w:b/>
          <w:bCs/>
          <w:i w:val="false"/>
          <w:iCs w:val="false"/>
          <w:color w:val="1B2A4A"/>
          <w:sz w:val="22"/>
          <w:szCs w:val="22"/>
        </w:rPr>
        <w:t xml:space="preserve">Federal Control Within Footprint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431"/>
        <w:jc w:val="left"/>
      </w:pPr>
      <w:r>
        <w:rPr>
          <w:rFonts w:ascii="Courier New" w:cs="Courier New" w:eastAsia="Courier New" w:hAnsi="Courier New"/>
          <w:b/>
          <w:bCs/>
          <w:color w:val="1B2A4A"/>
          <w:sz w:val="18"/>
          <w:szCs w:val="18"/>
        </w:rPr>
        <w:t xml:space="preserve">§17.2.f  </w:t>
      </w:r>
      <w:r>
        <w:rPr>
          <w:rFonts w:ascii="Garamond" w:cs="Garamond" w:eastAsia="Garamond" w:hAnsi="Garamond"/>
          <w:b/>
          <w:bCs/>
          <w:i w:val="false"/>
          <w:iCs w:val="false"/>
          <w:color w:val="1B2A4A"/>
          <w:sz w:val="22"/>
          <w:szCs w:val="22"/>
        </w:rPr>
        <w:t xml:space="preserve">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property interests within States through Operational Use Rights rather than fee ownership. This section governs registration, termination, improvements, and the rights of residents within federal use footprints.</w:t>
      </w:r>
    </w:p>
    <w:p>
      <w:pPr>
        <w:spacing w:after="60" w:before="200"/>
        <w:ind w:left="431"/>
        <w:jc w:val="left"/>
      </w:pPr>
      <w:r>
        <w:rPr>
          <w:rFonts w:ascii="Courier New" w:cs="Courier New" w:eastAsia="Courier New" w:hAnsi="Courier New"/>
          <w:b/>
          <w:bCs/>
          <w:color w:val="1B2A4A"/>
          <w:sz w:val="18"/>
          <w:szCs w:val="18"/>
        </w:rPr>
        <w:t xml:space="preserve">§17.3.a  </w:t>
      </w:r>
      <w:r>
        <w:rPr>
          <w:rFonts w:ascii="Garamond" w:cs="Garamond" w:eastAsia="Garamond" w:hAnsi="Garamond"/>
          <w:b/>
          <w:bCs/>
          <w:i w:val="false"/>
          <w:iCs w:val="false"/>
          <w:color w:val="1B2A4A"/>
          <w:sz w:val="22"/>
          <w:szCs w:val="22"/>
        </w:rPr>
        <w:t xml:space="preserve">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431"/>
        <w:jc w:val="left"/>
      </w:pPr>
      <w:r>
        <w:rPr>
          <w:rFonts w:ascii="Courier New" w:cs="Courier New" w:eastAsia="Courier New" w:hAnsi="Courier New"/>
          <w:b/>
          <w:bCs/>
          <w:color w:val="1B2A4A"/>
          <w:sz w:val="18"/>
          <w:szCs w:val="18"/>
        </w:rPr>
        <w:t xml:space="preserve">§17.3.b  </w:t>
      </w:r>
      <w:r>
        <w:rPr>
          <w:rFonts w:ascii="Garamond" w:cs="Garamond" w:eastAsia="Garamond" w:hAnsi="Garamond"/>
          <w:b/>
          <w:bCs/>
          <w:i w:val="false"/>
          <w:iCs w:val="false"/>
          <w:color w:val="1B2A4A"/>
          <w:sz w:val="22"/>
          <w:szCs w:val="22"/>
        </w:rPr>
        <w:t xml:space="preserve">Termination and Reversion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431"/>
        <w:jc w:val="left"/>
      </w:pPr>
      <w:r>
        <w:rPr>
          <w:rFonts w:ascii="Courier New" w:cs="Courier New" w:eastAsia="Courier New" w:hAnsi="Courier New"/>
          <w:b/>
          <w:bCs/>
          <w:color w:val="1B2A4A"/>
          <w:sz w:val="18"/>
          <w:szCs w:val="18"/>
        </w:rPr>
        <w:t xml:space="preserve">§17.3.c  </w:t>
      </w:r>
      <w:r>
        <w:rPr>
          <w:rFonts w:ascii="Garamond" w:cs="Garamond" w:eastAsia="Garamond" w:hAnsi="Garamond"/>
          <w:b/>
          <w:bCs/>
          <w:i w:val="false"/>
          <w:iCs w:val="false"/>
          <w:color w:val="1B2A4A"/>
          <w:sz w:val="22"/>
          <w:szCs w:val="22"/>
        </w:rPr>
        <w:t xml:space="preserve">Improvements — Negotiated Settlement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431"/>
        <w:jc w:val="left"/>
      </w:pPr>
      <w:r>
        <w:rPr>
          <w:rFonts w:ascii="Courier New" w:cs="Courier New" w:eastAsia="Courier New" w:hAnsi="Courier New"/>
          <w:b/>
          <w:bCs/>
          <w:color w:val="1B2A4A"/>
          <w:sz w:val="18"/>
          <w:szCs w:val="18"/>
        </w:rPr>
        <w:t xml:space="preserve">§17.3.d  </w:t>
      </w:r>
      <w:r>
        <w:rPr>
          <w:rFonts w:ascii="Garamond" w:cs="Garamond" w:eastAsia="Garamond" w:hAnsi="Garamond"/>
          <w:b/>
          <w:bCs/>
          <w:i w:val="false"/>
          <w:iCs w:val="false"/>
          <w:color w:val="1B2A4A"/>
          <w:sz w:val="22"/>
          <w:szCs w:val="22"/>
        </w:rPr>
        <w:t xml:space="preserve">Disputes</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431"/>
        <w:jc w:val="left"/>
      </w:pPr>
      <w:r>
        <w:rPr>
          <w:rFonts w:ascii="Courier New" w:cs="Courier New" w:eastAsia="Courier New" w:hAnsi="Courier New"/>
          <w:b/>
          <w:bCs/>
          <w:color w:val="1B2A4A"/>
          <w:sz w:val="18"/>
          <w:szCs w:val="18"/>
        </w:rPr>
        <w:t xml:space="preserve">§17.3.e  </w:t>
      </w:r>
      <w:r>
        <w:rPr>
          <w:rFonts w:ascii="Garamond" w:cs="Garamond" w:eastAsia="Garamond" w:hAnsi="Garamond"/>
          <w:b/>
          <w:bCs/>
          <w:i w:val="false"/>
          <w:iCs w:val="false"/>
          <w:color w:val="1B2A4A"/>
          <w:sz w:val="22"/>
          <w:szCs w:val="22"/>
        </w:rPr>
        <w:t xml:space="preserve">Independence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achieves independence through a constitutional amendment under §15.4.a and a voluntary devolution agreement under §13.4, automatic reversion under §17.3.b does not immediately apply to Operational Use Rights within the departing territory. Use rights continue under the terms of the framework agreement and independence treaty negotiated under §13.4.b.</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preventing privatization by executive discretion. The National Trust Administrator is independently confirmed under the §2.2.h escalation framework, insulating land management from PM pressure. The Trust is structurally distinct from the Community Land Trust: the NTA manages federal holdings; the CLT Administrator manages affordable residential land held in trust for Inhabitants.</w:t>
      </w:r>
    </w:p>
    <w:p>
      <w:pPr>
        <w:spacing w:after="60" w:before="200"/>
        <w:ind w:left="431"/>
        <w:jc w:val="left"/>
      </w:pPr>
      <w:r>
        <w:rPr>
          <w:rFonts w:ascii="Courier New" w:cs="Courier New" w:eastAsia="Courier New" w:hAnsi="Courier New"/>
          <w:b/>
          <w:bCs/>
          <w:color w:val="1B2A4A"/>
          <w:sz w:val="18"/>
          <w:szCs w:val="18"/>
        </w:rPr>
        <w:t xml:space="preserve">§17.4.a  </w:t>
      </w:r>
      <w:r>
        <w:rPr>
          <w:rFonts w:ascii="Garamond" w:cs="Garamond" w:eastAsia="Garamond" w:hAnsi="Garamond"/>
          <w:b/>
          <w:bCs/>
          <w:i w:val="false"/>
          <w:iCs w:val="false"/>
          <w:color w:val="1B2A4A"/>
          <w:sz w:val="22"/>
          <w:szCs w:val="22"/>
        </w:rPr>
        <w:t xml:space="preserve">Trust Nature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431"/>
        <w:jc w:val="left"/>
      </w:pPr>
      <w:r>
        <w:rPr>
          <w:rFonts w:ascii="Courier New" w:cs="Courier New" w:eastAsia="Courier New" w:hAnsi="Courier New"/>
          <w:b/>
          <w:bCs/>
          <w:color w:val="1B2A4A"/>
          <w:sz w:val="18"/>
          <w:szCs w:val="18"/>
        </w:rPr>
        <w:t xml:space="preserve">§17.4.b  </w:t>
      </w:r>
      <w:r>
        <w:rPr>
          <w:rFonts w:ascii="Garamond" w:cs="Garamond" w:eastAsia="Garamond" w:hAnsi="Garamond"/>
          <w:b/>
          <w:bCs/>
          <w:i w:val="false"/>
          <w:iCs w:val="false"/>
          <w:color w:val="1B2A4A"/>
          <w:sz w:val="22"/>
          <w:szCs w:val="22"/>
        </w:rPr>
        <w:t xml:space="preserve">Stewardship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431"/>
        <w:jc w:val="left"/>
      </w:pPr>
      <w:r>
        <w:rPr>
          <w:rFonts w:ascii="Courier New" w:cs="Courier New" w:eastAsia="Courier New" w:hAnsi="Courier New"/>
          <w:b/>
          <w:bCs/>
          <w:color w:val="1B2A4A"/>
          <w:sz w:val="18"/>
          <w:szCs w:val="18"/>
        </w:rPr>
        <w:t xml:space="preserve">§17.4.c  </w:t>
      </w:r>
      <w:r>
        <w:rPr>
          <w:rFonts w:ascii="Garamond" w:cs="Garamond" w:eastAsia="Garamond" w:hAnsi="Garamond"/>
          <w:b/>
          <w:bCs/>
          <w:i w:val="false"/>
          <w:iCs w:val="false"/>
          <w:color w:val="1B2A4A"/>
          <w:sz w:val="22"/>
          <w:szCs w:val="22"/>
        </w:rPr>
        <w:t xml:space="preserve">Co-Management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431"/>
        <w:jc w:val="left"/>
      </w:pPr>
      <w:r>
        <w:rPr>
          <w:rFonts w:ascii="Courier New" w:cs="Courier New" w:eastAsia="Courier New" w:hAnsi="Courier New"/>
          <w:b/>
          <w:bCs/>
          <w:color w:val="1B2A4A"/>
          <w:sz w:val="18"/>
          <w:szCs w:val="18"/>
        </w:rPr>
        <w:t xml:space="preserve">§17.4.d  </w:t>
      </w:r>
      <w:r>
        <w:rPr>
          <w:rFonts w:ascii="Garamond" w:cs="Garamond" w:eastAsia="Garamond" w:hAnsi="Garamond"/>
          <w:b/>
          <w:bCs/>
          <w:i w:val="false"/>
          <w:iCs w:val="false"/>
          <w:color w:val="1B2A4A"/>
          <w:sz w:val="22"/>
          <w:szCs w:val="22"/>
        </w:rPr>
        <w:t xml:space="preserve">Reclassification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431"/>
        <w:jc w:val="left"/>
      </w:pPr>
      <w:r>
        <w:rPr>
          <w:rFonts w:ascii="Courier New" w:cs="Courier New" w:eastAsia="Courier New" w:hAnsi="Courier New"/>
          <w:b/>
          <w:bCs/>
          <w:color w:val="1B2A4A"/>
          <w:sz w:val="18"/>
          <w:szCs w:val="18"/>
        </w:rPr>
        <w:t xml:space="preserve">§17.4.e  </w:t>
      </w:r>
      <w:r>
        <w:rPr>
          <w:rFonts w:ascii="Garamond" w:cs="Garamond" w:eastAsia="Garamond" w:hAnsi="Garamond"/>
          <w:b/>
          <w:bCs/>
          <w:i w:val="false"/>
          <w:iCs w:val="false"/>
          <w:color w:val="1B2A4A"/>
          <w:sz w:val="22"/>
          <w:szCs w:val="22"/>
        </w:rPr>
        <w:t xml:space="preserve">International Sites</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431"/>
        <w:jc w:val="left"/>
      </w:pPr>
      <w:r>
        <w:rPr>
          <w:rFonts w:ascii="Courier New" w:cs="Courier New" w:eastAsia="Courier New" w:hAnsi="Courier New"/>
          <w:b/>
          <w:bCs/>
          <w:color w:val="1B2A4A"/>
          <w:sz w:val="18"/>
          <w:szCs w:val="18"/>
        </w:rPr>
        <w:t xml:space="preserve">§17.4.f  </w:t>
      </w:r>
      <w:r>
        <w:rPr>
          <w:rFonts w:ascii="Garamond" w:cs="Garamond" w:eastAsia="Garamond" w:hAnsi="Garamond"/>
          <w:b/>
          <w:bCs/>
          <w:i w:val="false"/>
          <w:iCs w:val="false"/>
          <w:color w:val="1B2A4A"/>
          <w:sz w:val="22"/>
          <w:szCs w:val="22"/>
        </w:rPr>
        <w:t xml:space="preserve">Admission of New Trust Lands</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designated National Trust by a 2/3 vote of both chambers with host State consent (land in Territories: 2/3 vote alone). No executive action may designate Trust lands — designation is a legislative act. Prevents executive land grabs under Trust designation and executive stripping of Trust status.</w:t>
      </w:r>
    </w:p>
    <w:p>
      <w:pPr>
        <w:spacing w:after="60" w:before="200"/>
        <w:ind w:left="431"/>
        <w:jc w:val="left"/>
      </w:pPr>
      <w:r>
        <w:rPr>
          <w:rFonts w:ascii="Courier New" w:cs="Courier New" w:eastAsia="Courier New" w:hAnsi="Courier New"/>
          <w:b/>
          <w:bCs/>
          <w:color w:val="1B2A4A"/>
          <w:sz w:val="18"/>
          <w:szCs w:val="18"/>
        </w:rPr>
        <w:t xml:space="preserve">§17.4.g  </w:t>
      </w:r>
      <w:r>
        <w:rPr>
          <w:rFonts w:ascii="Garamond" w:cs="Garamond" w:eastAsia="Garamond" w:hAnsi="Garamond"/>
          <w:b/>
          <w:bCs/>
          <w:i w:val="false"/>
          <w:iCs w:val="false"/>
          <w:color w:val="1B2A4A"/>
          <w:sz w:val="22"/>
          <w:szCs w:val="22"/>
        </w:rPr>
        <w:t xml:space="preserve">National Trust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Administrator is a statutory independent officer under §3.7.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431"/>
        <w:jc w:val="left"/>
      </w:pPr>
      <w:r>
        <w:rPr>
          <w:rFonts w:ascii="Courier New" w:cs="Courier New" w:eastAsia="Courier New" w:hAnsi="Courier New"/>
          <w:b/>
          <w:bCs/>
          <w:color w:val="1B2A4A"/>
          <w:sz w:val="18"/>
          <w:szCs w:val="18"/>
        </w:rPr>
        <w:t xml:space="preserve">§18.1.a  </w:t>
      </w:r>
      <w:r>
        <w:rPr>
          <w:rFonts w:ascii="Garamond" w:cs="Garamond" w:eastAsia="Garamond" w:hAnsi="Garamond"/>
          <w:b/>
          <w:bCs/>
          <w:i w:val="false"/>
          <w:iCs w:val="false"/>
          <w:color w:val="1B2A4A"/>
          <w:sz w:val="22"/>
          <w:szCs w:val="22"/>
        </w:rPr>
        <w:t xml:space="preserve">Financial Contributions as Electoral Acts</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Disclosure — 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431"/>
        <w:jc w:val="left"/>
      </w:pPr>
      <w:r>
        <w:rPr>
          <w:rFonts w:ascii="Courier New" w:cs="Courier New" w:eastAsia="Courier New" w:hAnsi="Courier New"/>
          <w:b/>
          <w:bCs/>
          <w:color w:val="1B2A4A"/>
          <w:sz w:val="18"/>
          <w:szCs w:val="18"/>
        </w:rPr>
        <w:t xml:space="preserve">§18.1.b  </w:t>
      </w:r>
      <w:r>
        <w:rPr>
          <w:rFonts w:ascii="Garamond" w:cs="Garamond" w:eastAsia="Garamond" w:hAnsi="Garamond"/>
          <w:b/>
          <w:bCs/>
          <w:i w:val="false"/>
          <w:iCs w:val="false"/>
          <w:color w:val="1B2A4A"/>
          <w:sz w:val="22"/>
          <w:szCs w:val="22"/>
        </w:rPr>
        <w:t xml:space="preserve">Natural Persons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Contribution Limits — 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431"/>
        <w:jc w:val="left"/>
      </w:pPr>
      <w:r>
        <w:rPr>
          <w:rFonts w:ascii="Courier New" w:cs="Courier New" w:eastAsia="Courier New" w:hAnsi="Courier New"/>
          <w:b/>
          <w:bCs/>
          <w:color w:val="1B2A4A"/>
          <w:sz w:val="18"/>
          <w:szCs w:val="18"/>
        </w:rPr>
        <w:t xml:space="preserve">§18.1.c  </w:t>
      </w:r>
      <w:r>
        <w:rPr>
          <w:rFonts w:ascii="Garamond" w:cs="Garamond" w:eastAsia="Garamond" w:hAnsi="Garamond"/>
          <w:b/>
          <w:bCs/>
          <w:i w:val="false"/>
          <w:iCs w:val="false"/>
          <w:color w:val="1B2A4A"/>
          <w:sz w:val="22"/>
          <w:szCs w:val="22"/>
        </w:rPr>
        <w:t xml:space="preserve">Voter-Donor Parity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Independent Expenditure Disclosure — 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431"/>
        <w:jc w:val="left"/>
      </w:pPr>
      <w:r>
        <w:rPr>
          <w:rFonts w:ascii="Courier New" w:cs="Courier New" w:eastAsia="Courier New" w:hAnsi="Courier New"/>
          <w:b/>
          <w:bCs/>
          <w:color w:val="1B2A4A"/>
          <w:sz w:val="18"/>
          <w:szCs w:val="18"/>
        </w:rPr>
        <w:t xml:space="preserve">§18.1.d  </w:t>
      </w:r>
      <w:r>
        <w:rPr>
          <w:rFonts w:ascii="Garamond" w:cs="Garamond" w:eastAsia="Garamond" w:hAnsi="Garamond"/>
          <w:b/>
          <w:bCs/>
          <w:i w:val="false"/>
          <w:iCs w:val="false"/>
          <w:color w:val="1B2A4A"/>
          <w:sz w:val="22"/>
          <w:szCs w:val="22"/>
        </w:rPr>
        <w:t xml:space="preserve">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EC Administration — 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are subject to conduct standards administered by the Electoral Commission. These standards govern factual accuracy, media access, and foreign interference — not political content or viewpoint.</w:t>
      </w:r>
    </w:p>
    <w:p>
      <w:pPr>
        <w:spacing w:after="60" w:before="200"/>
        <w:ind w:left="431"/>
        <w:jc w:val="left"/>
      </w:pPr>
      <w:r>
        <w:rPr>
          <w:rFonts w:ascii="Courier New" w:cs="Courier New" w:eastAsia="Courier New" w:hAnsi="Courier New"/>
          <w:b/>
          <w:bCs/>
          <w:color w:val="1B2A4A"/>
          <w:sz w:val="18"/>
          <w:szCs w:val="18"/>
        </w:rPr>
        <w:t xml:space="preserve">§18.2.a  </w:t>
      </w:r>
      <w:r>
        <w:rPr>
          <w:rFonts w:ascii="Garamond" w:cs="Garamond" w:eastAsia="Garamond" w:hAnsi="Garamond"/>
          <w:b/>
          <w:bCs/>
          <w:i w:val="false"/>
          <w:iCs w:val="false"/>
          <w:color w:val="1B2A4A"/>
          <w:sz w:val="22"/>
          <w:szCs w:val="22"/>
        </w:rPr>
        <w:t xml:space="preserve">Campaign Conduct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431"/>
        <w:jc w:val="left"/>
      </w:pPr>
      <w:r>
        <w:rPr>
          <w:rFonts w:ascii="Courier New" w:cs="Courier New" w:eastAsia="Courier New" w:hAnsi="Courier New"/>
          <w:b/>
          <w:bCs/>
          <w:color w:val="1B2A4A"/>
          <w:sz w:val="18"/>
          <w:szCs w:val="18"/>
        </w:rPr>
        <w:t xml:space="preserve">§18.2.b  </w:t>
      </w:r>
      <w:r>
        <w:rPr>
          <w:rFonts w:ascii="Garamond" w:cs="Garamond" w:eastAsia="Garamond" w:hAnsi="Garamond"/>
          <w:b/>
          <w:bCs/>
          <w:i w:val="false"/>
          <w:iCs w:val="false"/>
          <w:color w:val="1B2A4A"/>
          <w:sz w:val="22"/>
          <w:szCs w:val="22"/>
        </w:rPr>
        <w:t xml:space="preserve">Media and Communication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431"/>
        <w:jc w:val="left"/>
      </w:pPr>
      <w:r>
        <w:rPr>
          <w:rFonts w:ascii="Courier New" w:cs="Courier New" w:eastAsia="Courier New" w:hAnsi="Courier New"/>
          <w:b/>
          <w:bCs/>
          <w:color w:val="1B2A4A"/>
          <w:sz w:val="18"/>
          <w:szCs w:val="18"/>
        </w:rPr>
        <w:t xml:space="preserve">§18.2.c  </w:t>
      </w:r>
      <w:r>
        <w:rPr>
          <w:rFonts w:ascii="Garamond" w:cs="Garamond" w:eastAsia="Garamond" w:hAnsi="Garamond"/>
          <w:b/>
          <w:bCs/>
          <w:i w:val="false"/>
          <w:iCs w:val="false"/>
          <w:color w:val="1B2A4A"/>
          <w:sz w:val="22"/>
          <w:szCs w:val="22"/>
        </w:rPr>
        <w:t xml:space="preserve">Foreign Interference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431"/>
        <w:jc w:val="left"/>
      </w:pPr>
      <w:r>
        <w:rPr>
          <w:rFonts w:ascii="Courier New" w:cs="Courier New" w:eastAsia="Courier New" w:hAnsi="Courier New"/>
          <w:b/>
          <w:bCs/>
          <w:color w:val="1B2A4A"/>
          <w:sz w:val="18"/>
          <w:szCs w:val="18"/>
        </w:rPr>
        <w:t xml:space="preserve">§18.2.d  </w:t>
      </w:r>
      <w:r>
        <w:rPr>
          <w:rFonts w:ascii="Garamond" w:cs="Garamond" w:eastAsia="Garamond" w:hAnsi="Garamond"/>
          <w:b/>
          <w:bCs/>
          <w:i w:val="false"/>
          <w:iCs w:val="false"/>
          <w:color w:val="1B2A4A"/>
          <w:sz w:val="22"/>
          <w:szCs w:val="22"/>
        </w:rPr>
        <w:t xml:space="preserve">Incumbent Advantage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431"/>
        <w:jc w:val="left"/>
      </w:pPr>
      <w:r>
        <w:rPr>
          <w:rFonts w:ascii="Courier New" w:cs="Courier New" w:eastAsia="Courier New" w:hAnsi="Courier New"/>
          <w:b/>
          <w:bCs/>
          <w:color w:val="1B2A4A"/>
          <w:sz w:val="18"/>
          <w:szCs w:val="18"/>
        </w:rPr>
        <w:t xml:space="preserve">§18.3.a  </w:t>
      </w:r>
      <w:r>
        <w:rPr>
          <w:rFonts w:ascii="Garamond" w:cs="Garamond" w:eastAsia="Garamond" w:hAnsi="Garamond"/>
          <w:b/>
          <w:bCs/>
          <w:i w:val="false"/>
          <w:iCs w:val="false"/>
          <w:color w:val="1B2A4A"/>
          <w:sz w:val="22"/>
          <w:szCs w:val="22"/>
        </w:rPr>
        <w:t xml:space="preserve">Public Financing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431"/>
        <w:jc w:val="left"/>
      </w:pPr>
      <w:r>
        <w:rPr>
          <w:rFonts w:ascii="Courier New" w:cs="Courier New" w:eastAsia="Courier New" w:hAnsi="Courier New"/>
          <w:b/>
          <w:bCs/>
          <w:color w:val="1B2A4A"/>
          <w:sz w:val="18"/>
          <w:szCs w:val="18"/>
        </w:rPr>
        <w:t xml:space="preserve">§18.3.b  </w:t>
      </w:r>
      <w:r>
        <w:rPr>
          <w:rFonts w:ascii="Garamond" w:cs="Garamond" w:eastAsia="Garamond" w:hAnsi="Garamond"/>
          <w:b/>
          <w:bCs/>
          <w:i w:val="false"/>
          <w:iCs w:val="false"/>
          <w:color w:val="1B2A4A"/>
          <w:sz w:val="22"/>
          <w:szCs w:val="22"/>
        </w:rPr>
        <w:t xml:space="preserve">Matching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431"/>
        <w:jc w:val="left"/>
      </w:pPr>
      <w:r>
        <w:rPr>
          <w:rFonts w:ascii="Courier New" w:cs="Courier New" w:eastAsia="Courier New" w:hAnsi="Courier New"/>
          <w:b/>
          <w:bCs/>
          <w:color w:val="1B2A4A"/>
          <w:sz w:val="18"/>
          <w:szCs w:val="18"/>
        </w:rPr>
        <w:t xml:space="preserve">§18.3.c  </w:t>
      </w:r>
      <w:r>
        <w:rPr>
          <w:rFonts w:ascii="Garamond" w:cs="Garamond" w:eastAsia="Garamond" w:hAnsi="Garamond"/>
          <w:b/>
          <w:bCs/>
          <w:i w:val="false"/>
          <w:iCs w:val="false"/>
          <w:color w:val="1B2A4A"/>
          <w:sz w:val="22"/>
          <w:szCs w:val="22"/>
        </w:rPr>
        <w:t xml:space="preserve">EC Allocation of Public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431"/>
        <w:jc w:val="left"/>
      </w:pPr>
      <w:r>
        <w:rPr>
          <w:rFonts w:ascii="Courier New" w:cs="Courier New" w:eastAsia="Courier New" w:hAnsi="Courier New"/>
          <w:b/>
          <w:bCs/>
          <w:color w:val="1B2A4A"/>
          <w:sz w:val="18"/>
          <w:szCs w:val="18"/>
        </w:rPr>
        <w:t xml:space="preserve">§18.3.d  </w:t>
      </w:r>
      <w:r>
        <w:rPr>
          <w:rFonts w:ascii="Garamond" w:cs="Garamond" w:eastAsia="Garamond" w:hAnsi="Garamond"/>
          <w:b/>
          <w:bCs/>
          <w:i w:val="false"/>
          <w:iCs w:val="false"/>
          <w:color w:val="1B2A4A"/>
          <w:sz w:val="22"/>
          <w:szCs w:val="22"/>
        </w:rPr>
        <w:t xml:space="preserve">Electoral Finance — Not Protected Speech</w:t>
      </w:r>
    </w:p>
    <w:p>
      <w:pPr>
        <w:spacing w:after="120" w:before="0"/>
        <w:ind w:left="431"/>
        <w:jc w:val="both"/>
      </w:pPr>
      <w:r>
        <w:rPr>
          <w:rFonts w:ascii="Garamond" w:cs="Garamond" w:eastAsia="Garamond" w:hAnsi="Garamond"/>
          <w:b w:val="false"/>
          <w:bCs w:val="false"/>
          <w:i w:val="false"/>
          <w:iCs w:val="false"/>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The 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431"/>
        <w:jc w:val="left"/>
      </w:pPr>
      <w:r>
        <w:rPr>
          <w:rFonts w:ascii="Courier New" w:cs="Courier New" w:eastAsia="Courier New" w:hAnsi="Courier New"/>
          <w:b/>
          <w:bCs/>
          <w:color w:val="1B2A4A"/>
          <w:sz w:val="18"/>
          <w:szCs w:val="18"/>
        </w:rPr>
        <w:t xml:space="preserve">§19.1.a  </w:t>
      </w:r>
      <w:r>
        <w:rPr>
          <w:rFonts w:ascii="Garamond" w:cs="Garamond" w:eastAsia="Garamond" w:hAnsi="Garamond"/>
          <w:b/>
          <w:bCs/>
          <w:i w:val="false"/>
          <w:iCs w:val="false"/>
          <w:color w:val="1B2A4A"/>
          <w:sz w:val="22"/>
          <w:szCs w:val="22"/>
        </w:rPr>
        <w:t xml:space="preserve">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 The ratification threshold is intentionally set lower than the amendment thresholds of §15.1 — founding requires achievability. An impractically high founding threshold would prevent the constitutional order from being established at all. Once established, the higher amendment thresholds reflect the greater burden of changing a working system.</w:t>
      </w:r>
    </w:p>
    <w:p>
      <w:pPr>
        <w:spacing w:after="60" w:before="200"/>
        <w:ind w:left="431"/>
        <w:jc w:val="left"/>
      </w:pPr>
      <w:r>
        <w:rPr>
          <w:rFonts w:ascii="Courier New" w:cs="Courier New" w:eastAsia="Courier New" w:hAnsi="Courier New"/>
          <w:b/>
          <w:bCs/>
          <w:color w:val="1B2A4A"/>
          <w:sz w:val="18"/>
          <w:szCs w:val="18"/>
        </w:rPr>
        <w:t xml:space="preserve">§19.1.b  </w:t>
      </w:r>
      <w:r>
        <w:rPr>
          <w:rFonts w:ascii="Garamond" w:cs="Garamond" w:eastAsia="Garamond" w:hAnsi="Garamond"/>
          <w:b/>
          <w:bCs/>
          <w:i w:val="false"/>
          <w:iCs w:val="false"/>
          <w:color w:val="1B2A4A"/>
          <w:sz w:val="22"/>
          <w:szCs w:val="22"/>
        </w:rPr>
        <w:t xml:space="preserve">Institutional Accommodation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431"/>
        <w:jc w:val="left"/>
      </w:pPr>
      <w:r>
        <w:rPr>
          <w:rFonts w:ascii="Courier New" w:cs="Courier New" w:eastAsia="Courier New" w:hAnsi="Courier New"/>
          <w:b/>
          <w:bCs/>
          <w:color w:val="1B2A4A"/>
          <w:sz w:val="18"/>
          <w:szCs w:val="18"/>
        </w:rPr>
        <w:t xml:space="preserve">§19.1.c  </w:t>
      </w:r>
      <w:r>
        <w:rPr>
          <w:rFonts w:ascii="Garamond" w:cs="Garamond" w:eastAsia="Garamond" w:hAnsi="Garamond"/>
          <w:b/>
          <w:bCs/>
          <w:i w:val="false"/>
          <w:iCs w:val="false"/>
          <w:color w:val="1B2A4A"/>
          <w:sz w:val="22"/>
          <w:szCs w:val="22"/>
        </w:rPr>
        <w:t xml:space="preserve">Multi-Founder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The Four-Phase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is implemented through a 24-month, four-phase transition process. Phase 0 (pre-ratification preparation) is governed by §19.3.a. Phase 1 (emergency stabilization, Days 1–90) is governed by §19.3.b. Phase 2 (institutional construction, Days 91–270) is governed by §19.3.c. Phase 3 (first elections, Days 271–450) is governed by §19.3.d. Phase 4 (full constitutional operation) is governed by §19.3.e.</w:t>
      </w:r>
    </w:p>
    <w:p>
      <w:pPr>
        <w:spacing w:after="60" w:before="200"/>
        <w:ind w:left="431"/>
        <w:jc w:val="left"/>
      </w:pPr>
      <w:r>
        <w:rPr>
          <w:rFonts w:ascii="Courier New" w:cs="Courier New" w:eastAsia="Courier New" w:hAnsi="Courier New"/>
          <w:b/>
          <w:bCs/>
          <w:color w:val="1B2A4A"/>
          <w:sz w:val="18"/>
          <w:szCs w:val="18"/>
        </w:rPr>
        <w:t xml:space="preserve">§19.3.a  </w:t>
      </w:r>
      <w:r>
        <w:rPr>
          <w:rFonts w:ascii="Garamond" w:cs="Garamond" w:eastAsia="Garamond" w:hAnsi="Garamond"/>
          <w:b/>
          <w:bCs/>
          <w:i w:val="false"/>
          <w:iCs w:val="false"/>
          <w:color w:val="1B2A4A"/>
          <w:sz w:val="22"/>
          <w:szCs w:val="22"/>
        </w:rPr>
        <w:t xml:space="preserve">Phase 0 — Pre-Ratification Preparation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 The Republic's constitutional infrastructure must exist before it can be activated.</w:t>
      </w:r>
    </w:p>
    <w:p>
      <w:pPr>
        <w:spacing w:after="60" w:before="200"/>
        <w:ind w:left="431"/>
        <w:jc w:val="left"/>
      </w:pPr>
      <w:r>
        <w:rPr>
          <w:rFonts w:ascii="Courier New" w:cs="Courier New" w:eastAsia="Courier New" w:hAnsi="Courier New"/>
          <w:b/>
          <w:bCs/>
          <w:color w:val="1B2A4A"/>
          <w:sz w:val="18"/>
          <w:szCs w:val="18"/>
        </w:rPr>
        <w:t xml:space="preserve">§19.3.b  </w:t>
      </w:r>
      <w:r>
        <w:rPr>
          <w:rFonts w:ascii="Garamond" w:cs="Garamond" w:eastAsia="Garamond" w:hAnsi="Garamond"/>
          <w:b/>
          <w:bCs/>
          <w:i w:val="false"/>
          <w:iCs w:val="false"/>
          <w:color w:val="1B2A4A"/>
          <w:sz w:val="22"/>
          <w:szCs w:val="22"/>
        </w:rPr>
        <w:t xml:space="preserve">Phase 1 — Emergency Stabilization (Days 1–90)</w:t>
      </w:r>
    </w:p>
    <w:p>
      <w:pPr>
        <w:spacing w:after="120" w:before="0"/>
        <w:ind w:left="431"/>
        <w:jc w:val="both"/>
      </w:pPr>
      <w:r>
        <w:rPr>
          <w:rFonts w:ascii="Garamond" w:cs="Garamond" w:eastAsia="Garamond" w:hAnsi="Garamond"/>
          <w:b w:val="false"/>
          <w:bCs w:val="false"/>
          <w:i w:val="false"/>
          <w:iCs w:val="false"/>
          <w:color w:val="2a2520"/>
          <w:sz w:val="22"/>
          <w:szCs w:val="22"/>
        </w:rPr>
        <w:t xml:space="preserve">Existing government officials serve as caretakers under §19.4. The joint Inspectorate panel assumes oversight. The NRS begins recording all government acts. Priority functions: Basic Needs Floor delivery continuity, public safety, and essential services. No new permanent legislation. This phase is explicitly temporary — its only mandate is stability while Phase 2 institutional construction begins.</w:t>
      </w:r>
    </w:p>
    <w:p>
      <w:pPr>
        <w:spacing w:after="60" w:before="200"/>
        <w:ind w:left="431"/>
        <w:jc w:val="left"/>
      </w:pPr>
      <w:r>
        <w:rPr>
          <w:rFonts w:ascii="Courier New" w:cs="Courier New" w:eastAsia="Courier New" w:hAnsi="Courier New"/>
          <w:b/>
          <w:bCs/>
          <w:color w:val="1B2A4A"/>
          <w:sz w:val="18"/>
          <w:szCs w:val="18"/>
        </w:rPr>
        <w:t xml:space="preserve">§19.3.c  </w:t>
      </w:r>
      <w:r>
        <w:rPr>
          <w:rFonts w:ascii="Garamond" w:cs="Garamond" w:eastAsia="Garamond" w:hAnsi="Garamond"/>
          <w:b/>
          <w:bCs/>
          <w:i w:val="false"/>
          <w:iCs w:val="false"/>
          <w:color w:val="1B2A4A"/>
          <w:sz w:val="22"/>
          <w:szCs w:val="22"/>
        </w:rPr>
        <w:t xml:space="preserve">Phase 2 — Institutional Construction (Days 91–270)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2 (Days 91–270) is Institutional Construction. Statehood Audits are conducted for all entering territories. Inspectorates are formally constituted. The Candidate Register for MA board members and the RSA Director is assembled. Electoral Commission is certified as operational. The National Voting System is fully deployed for citizen registration. Phase 2 ends at Day 270.</w:t>
      </w:r>
    </w:p>
    <w:p>
      <w:pPr>
        <w:spacing w:after="60" w:before="200"/>
        <w:ind w:left="431"/>
        <w:jc w:val="left"/>
      </w:pPr>
      <w:r>
        <w:rPr>
          <w:rFonts w:ascii="Courier New" w:cs="Courier New" w:eastAsia="Courier New" w:hAnsi="Courier New"/>
          <w:b/>
          <w:bCs/>
          <w:color w:val="1B2A4A"/>
          <w:sz w:val="18"/>
          <w:szCs w:val="18"/>
        </w:rPr>
        <w:t xml:space="preserve">§19.3.d  </w:t>
      </w:r>
      <w:r>
        <w:rPr>
          <w:rFonts w:ascii="Garamond" w:cs="Garamond" w:eastAsia="Garamond" w:hAnsi="Garamond"/>
          <w:b/>
          <w:bCs/>
          <w:i w:val="false"/>
          <w:iCs w:val="false"/>
          <w:color w:val="1B2A4A"/>
          <w:sz w:val="22"/>
          <w:szCs w:val="22"/>
        </w:rPr>
        <w:t xml:space="preserve">Phase 3 — First Elections (Days 271–450)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3 (Days 271-450) is First Elections. The first National Election Day. Supreme Court justices elected through the open-candidacy judicial selection process. Electoral Commission inaugural elections. Phase 3 ends when the first the Legislature is sworn in and the first executives take office — the moment at which the Republic's constitutional design becomes self-sustaining.</w:t>
      </w:r>
    </w:p>
    <w:p>
      <w:pPr>
        <w:spacing w:after="60" w:before="200"/>
        <w:ind w:left="431"/>
        <w:jc w:val="left"/>
      </w:pPr>
      <w:r>
        <w:rPr>
          <w:rFonts w:ascii="Courier New" w:cs="Courier New" w:eastAsia="Courier New" w:hAnsi="Courier New"/>
          <w:b/>
          <w:bCs/>
          <w:color w:val="1B2A4A"/>
          <w:sz w:val="18"/>
          <w:szCs w:val="18"/>
        </w:rPr>
        <w:t xml:space="preserve">§19.3.e  </w:t>
      </w:r>
      <w:r>
        <w:rPr>
          <w:rFonts w:ascii="Garamond" w:cs="Garamond" w:eastAsia="Garamond" w:hAnsi="Garamond"/>
          <w:b/>
          <w:bCs/>
          <w:i w:val="false"/>
          <w:iCs w:val="false"/>
          <w:color w:val="1B2A4A"/>
          <w:sz w:val="22"/>
          <w:szCs w:val="22"/>
        </w:rPr>
        <w:t xml:space="preserve">Phase 4 — Full Constitutional Operation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 Caretaker status prevents the predecessor government from entrenching itself during transition.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not a discretionary choice.</w:t>
      </w:r>
    </w:p>
    <w:p>
      <w:pPr>
        <w:spacing w:after="60" w:before="200"/>
        <w:ind w:left="431"/>
        <w:jc w:val="left"/>
      </w:pPr>
      <w:r>
        <w:rPr>
          <w:rFonts w:ascii="Courier New" w:cs="Courier New" w:eastAsia="Courier New" w:hAnsi="Courier New"/>
          <w:b/>
          <w:bCs/>
          <w:color w:val="1B2A4A"/>
          <w:sz w:val="18"/>
          <w:szCs w:val="18"/>
        </w:rPr>
        <w:t xml:space="preserve">§19.6.a  </w:t>
      </w:r>
      <w:r>
        <w:rPr>
          <w:rFonts w:ascii="Garamond" w:cs="Garamond" w:eastAsia="Garamond" w:hAnsi="Garamond"/>
          <w:b/>
          <w:bCs/>
          <w:i w:val="false"/>
          <w:iCs w:val="false"/>
          <w:color w:val="1B2A4A"/>
          <w:sz w:val="22"/>
          <w:szCs w:val="22"/>
        </w:rPr>
        <w:t xml:space="preserve">Debt Assumption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431"/>
        <w:jc w:val="left"/>
      </w:pPr>
      <w:r>
        <w:rPr>
          <w:rFonts w:ascii="Courier New" w:cs="Courier New" w:eastAsia="Courier New" w:hAnsi="Courier New"/>
          <w:b/>
          <w:bCs/>
          <w:color w:val="1B2A4A"/>
          <w:sz w:val="18"/>
          <w:szCs w:val="18"/>
        </w:rPr>
        <w:t xml:space="preserve">§19.6.b  </w:t>
      </w:r>
      <w:r>
        <w:rPr>
          <w:rFonts w:ascii="Garamond" w:cs="Garamond" w:eastAsia="Garamond" w:hAnsi="Garamond"/>
          <w:b/>
          <w:bCs/>
          <w:i w:val="false"/>
          <w:iCs w:val="false"/>
          <w:color w:val="1B2A4A"/>
          <w:sz w:val="22"/>
          <w:szCs w:val="22"/>
        </w:rPr>
        <w:t xml:space="preserve">Active Military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431"/>
        <w:jc w:val="left"/>
      </w:pPr>
      <w:r>
        <w:rPr>
          <w:rFonts w:ascii="Courier New" w:cs="Courier New" w:eastAsia="Courier New" w:hAnsi="Courier New"/>
          <w:b/>
          <w:bCs/>
          <w:color w:val="1B2A4A"/>
          <w:sz w:val="18"/>
          <w:szCs w:val="18"/>
        </w:rPr>
        <w:t xml:space="preserve">§19.6.c  </w:t>
      </w:r>
      <w:r>
        <w:rPr>
          <w:rFonts w:ascii="Garamond" w:cs="Garamond" w:eastAsia="Garamond" w:hAnsi="Garamond"/>
          <w:b/>
          <w:bCs/>
          <w:i w:val="false"/>
          <w:iCs w:val="false"/>
          <w:color w:val="1B2A4A"/>
          <w:sz w:val="22"/>
          <w:szCs w:val="22"/>
        </w:rPr>
        <w:t xml:space="preserve">Social Insurance Programs</w:t>
      </w:r>
    </w:p>
    <w:p>
      <w:pPr>
        <w:spacing w:after="120" w:before="0"/>
        <w:ind w:left="431"/>
        <w:jc w:val="both"/>
      </w:pPr>
      <w:r>
        <w:rPr>
          <w:rFonts w:ascii="Garamond" w:cs="Garamond" w:eastAsia="Garamond" w:hAnsi="Garamond"/>
          <w:b w:val="false"/>
          <w:bCs w:val="false"/>
          <w:i w:val="false"/>
          <w:iCs w:val="false"/>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431"/>
        <w:jc w:val="left"/>
      </w:pPr>
      <w:r>
        <w:rPr>
          <w:rFonts w:ascii="Courier New" w:cs="Courier New" w:eastAsia="Courier New" w:hAnsi="Courier New"/>
          <w:b/>
          <w:bCs/>
          <w:color w:val="1B2A4A"/>
          <w:sz w:val="18"/>
          <w:szCs w:val="18"/>
        </w:rPr>
        <w:t xml:space="preserve">§19.6.d  </w:t>
      </w:r>
      <w:r>
        <w:rPr>
          <w:rFonts w:ascii="Garamond" w:cs="Garamond" w:eastAsia="Garamond" w:hAnsi="Garamond"/>
          <w:b/>
          <w:bCs/>
          <w:i w:val="false"/>
          <w:iCs w:val="false"/>
          <w:color w:val="1B2A4A"/>
          <w:sz w:val="22"/>
          <w:szCs w:val="22"/>
        </w:rPr>
        <w:t xml:space="preserve">Veterans and National Service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431"/>
        <w:jc w:val="left"/>
      </w:pPr>
      <w:r>
        <w:rPr>
          <w:rFonts w:ascii="Courier New" w:cs="Courier New" w:eastAsia="Courier New" w:hAnsi="Courier New"/>
          <w:b/>
          <w:bCs/>
          <w:color w:val="1B2A4A"/>
          <w:sz w:val="18"/>
          <w:szCs w:val="18"/>
        </w:rPr>
        <w:t xml:space="preserve">§19.6.e  </w:t>
      </w:r>
      <w:r>
        <w:rPr>
          <w:rFonts w:ascii="Garamond" w:cs="Garamond" w:eastAsia="Garamond" w:hAnsi="Garamond"/>
          <w:b/>
          <w:bCs/>
          <w:i w:val="false"/>
          <w:iCs w:val="false"/>
          <w:color w:val="1B2A4A"/>
          <w:sz w:val="22"/>
          <w:szCs w:val="22"/>
        </w:rPr>
        <w:t xml:space="preserve">Constitutional Claims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§19.6.f  </w:t>
      </w:r>
      <w:r>
        <w:rPr>
          <w:rFonts w:ascii="Garamond" w:cs="Garamond" w:eastAsia="Garamond" w:hAnsi="Garamond"/>
          <w:b/>
          <w:bCs/>
          <w:i w:val="false"/>
          <w:iCs w:val="false"/>
          <w:color w:val="1B2A4A"/>
          <w:sz w:val="22"/>
          <w:szCs w:val="22"/>
        </w:rPr>
        <w:t xml:space="preserve">Legal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Transition-Period Territory and 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431"/>
        <w:jc w:val="left"/>
      </w:pPr>
      <w:r>
        <w:rPr>
          <w:rFonts w:ascii="Courier New" w:cs="Courier New" w:eastAsia="Courier New" w:hAnsi="Courier New"/>
          <w:b/>
          <w:bCs/>
          <w:color w:val="1B2A4A"/>
          <w:sz w:val="18"/>
          <w:szCs w:val="18"/>
        </w:rPr>
        <w:t xml:space="preserve">§19.7.a  </w:t>
      </w:r>
      <w:r>
        <w:rPr>
          <w:rFonts w:ascii="Garamond" w:cs="Garamond" w:eastAsia="Garamond" w:hAnsi="Garamond"/>
          <w:b/>
          <w:bCs/>
          <w:i w:val="false"/>
          <w:iCs w:val="false"/>
          <w:color w:val="1B2A4A"/>
          <w:sz w:val="22"/>
          <w:szCs w:val="22"/>
        </w:rPr>
        <w:t xml:space="preserve">Transition-Period Territorial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431"/>
        <w:jc w:val="left"/>
      </w:pPr>
      <w:r>
        <w:rPr>
          <w:rFonts w:ascii="Courier New" w:cs="Courier New" w:eastAsia="Courier New" w:hAnsi="Courier New"/>
          <w:b/>
          <w:bCs/>
          <w:color w:val="1B2A4A"/>
          <w:sz w:val="18"/>
          <w:szCs w:val="18"/>
        </w:rPr>
        <w:t xml:space="preserve">§19.7.b  </w:t>
      </w:r>
      <w:r>
        <w:rPr>
          <w:rFonts w:ascii="Garamond" w:cs="Garamond" w:eastAsia="Garamond" w:hAnsi="Garamond"/>
          <w:b/>
          <w:bCs/>
          <w:i w:val="false"/>
          <w:iCs w:val="false"/>
          <w:color w:val="1B2A4A"/>
          <w:sz w:val="22"/>
          <w:szCs w:val="22"/>
        </w:rPr>
        <w:t xml:space="preserve">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431"/>
        <w:jc w:val="left"/>
      </w:pPr>
      <w:r>
        <w:rPr>
          <w:rFonts w:ascii="Courier New" w:cs="Courier New" w:eastAsia="Courier New" w:hAnsi="Courier New"/>
          <w:b/>
          <w:bCs/>
          <w:color w:val="1B2A4A"/>
          <w:sz w:val="18"/>
          <w:szCs w:val="18"/>
        </w:rPr>
        <w:t xml:space="preserve">§19.7.c  </w:t>
      </w:r>
      <w:r>
        <w:rPr>
          <w:rFonts w:ascii="Garamond" w:cs="Garamond" w:eastAsia="Garamond" w:hAnsi="Garamond"/>
          <w:b/>
          <w:bCs/>
          <w:i w:val="false"/>
          <w:iCs w:val="false"/>
          <w:color w:val="1B2A4A"/>
          <w:sz w:val="22"/>
          <w:szCs w:val="22"/>
        </w:rPr>
        <w:t xml:space="preserve">Phase 2 Statehood Audit Failures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431"/>
        <w:jc w:val="left"/>
      </w:pPr>
      <w:r>
        <w:rPr>
          <w:rFonts w:ascii="Courier New" w:cs="Courier New" w:eastAsia="Courier New" w:hAnsi="Courier New"/>
          <w:b/>
          <w:bCs/>
          <w:color w:val="1B2A4A"/>
          <w:sz w:val="18"/>
          <w:szCs w:val="18"/>
        </w:rPr>
        <w:t xml:space="preserve">§19.7.d  </w:t>
      </w:r>
      <w:r>
        <w:rPr>
          <w:rFonts w:ascii="Garamond" w:cs="Garamond" w:eastAsia="Garamond" w:hAnsi="Garamond"/>
          <w:b/>
          <w:bCs/>
          <w:i w:val="false"/>
          <w:iCs w:val="false"/>
          <w:color w:val="1B2A4A"/>
          <w:sz w:val="22"/>
          <w:szCs w:val="22"/>
        </w:rPr>
        <w:t xml:space="preserve">Pre-Existing Territories and the District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431"/>
        <w:jc w:val="left"/>
      </w:pPr>
      <w:r>
        <w:rPr>
          <w:rFonts w:ascii="Courier New" w:cs="Courier New" w:eastAsia="Courier New" w:hAnsi="Courier New"/>
          <w:b/>
          <w:bCs/>
          <w:color w:val="1B2A4A"/>
          <w:sz w:val="18"/>
          <w:szCs w:val="18"/>
        </w:rPr>
        <w:t xml:space="preserve">§19.8.a  </w:t>
      </w:r>
      <w:r>
        <w:rPr>
          <w:rFonts w:ascii="Garamond" w:cs="Garamond" w:eastAsia="Garamond" w:hAnsi="Garamond"/>
          <w:b/>
          <w:bCs/>
          <w:i w:val="false"/>
          <w:iCs w:val="false"/>
          <w:color w:val="1B2A4A"/>
          <w:sz w:val="22"/>
          <w:szCs w:val="22"/>
        </w:rPr>
        <w:t xml:space="preserve">Initial Register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Phase 2, the joint Inspectorate panel assembles an initial Candidate Register for the MA board members and RSA Director.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431"/>
        <w:jc w:val="left"/>
      </w:pPr>
      <w:r>
        <w:rPr>
          <w:rFonts w:ascii="Courier New" w:cs="Courier New" w:eastAsia="Courier New" w:hAnsi="Courier New"/>
          <w:b/>
          <w:bCs/>
          <w:color w:val="1B2A4A"/>
          <w:sz w:val="18"/>
          <w:szCs w:val="18"/>
        </w:rPr>
        <w:t xml:space="preserve">§19.8.b  </w:t>
      </w:r>
      <w:r>
        <w:rPr>
          <w:rFonts w:ascii="Garamond" w:cs="Garamond" w:eastAsia="Garamond" w:hAnsi="Garamond"/>
          <w:b/>
          <w:bCs/>
          <w:i w:val="false"/>
          <w:iCs w:val="false"/>
          <w:color w:val="1B2A4A"/>
          <w:sz w:val="22"/>
          <w:szCs w:val="22"/>
        </w:rPr>
        <w:t xml:space="preserve">Interim Functions and First Nomination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an RSA Director within 180 days.</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431"/>
        <w:jc w:val="left"/>
      </w:pPr>
      <w:r>
        <w:rPr>
          <w:rFonts w:ascii="Courier New" w:cs="Courier New" w:eastAsia="Courier New" w:hAnsi="Courier New"/>
          <w:b/>
          <w:bCs/>
          <w:color w:val="1B2A4A"/>
          <w:sz w:val="18"/>
          <w:szCs w:val="18"/>
        </w:rPr>
        <w:t xml:space="preserve">§19.9.a  </w:t>
      </w:r>
      <w:r>
        <w:rPr>
          <w:rFonts w:ascii="Garamond" w:cs="Garamond" w:eastAsia="Garamond" w:hAnsi="Garamond"/>
          <w:b/>
          <w:bCs/>
          <w:i w:val="false"/>
          <w:iCs w:val="false"/>
          <w:color w:val="1B2A4A"/>
          <w:sz w:val="22"/>
          <w:szCs w:val="22"/>
        </w:rPr>
        <w:t xml:space="preserve">TAM Establishment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431"/>
        <w:jc w:val="left"/>
      </w:pPr>
      <w:r>
        <w:rPr>
          <w:rFonts w:ascii="Courier New" w:cs="Courier New" w:eastAsia="Courier New" w:hAnsi="Courier New"/>
          <w:b/>
          <w:bCs/>
          <w:color w:val="1B2A4A"/>
          <w:sz w:val="18"/>
          <w:szCs w:val="18"/>
        </w:rPr>
        <w:t xml:space="preserve">§19.9.b  </w:t>
      </w:r>
      <w:r>
        <w:rPr>
          <w:rFonts w:ascii="Garamond" w:cs="Garamond" w:eastAsia="Garamond" w:hAnsi="Garamond"/>
          <w:b/>
          <w:bCs/>
          <w:i w:val="false"/>
          <w:iCs w:val="false"/>
          <w:color w:val="1B2A4A"/>
          <w:sz w:val="22"/>
          <w:szCs w:val="22"/>
        </w:rPr>
        <w:t xml:space="preserve">TAM Amendment and Successor Bar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431"/>
        <w:jc w:val="left"/>
      </w:pPr>
      <w:r>
        <w:rPr>
          <w:rFonts w:ascii="Courier New" w:cs="Courier New" w:eastAsia="Courier New" w:hAnsi="Courier New"/>
          <w:b/>
          <w:bCs/>
          <w:color w:val="1B2A4A"/>
          <w:sz w:val="18"/>
          <w:szCs w:val="18"/>
        </w:rPr>
        <w:t xml:space="preserve">§19.9.c  </w:t>
      </w:r>
      <w:r>
        <w:rPr>
          <w:rFonts w:ascii="Garamond" w:cs="Garamond" w:eastAsia="Garamond" w:hAnsi="Garamond"/>
          <w:b/>
          <w:bCs/>
          <w:i w:val="false"/>
          <w:iCs w:val="false"/>
          <w:color w:val="1B2A4A"/>
          <w:sz w:val="22"/>
          <w:szCs w:val="22"/>
        </w:rPr>
        <w:t xml:space="preserve">TAM Jurisdiction and Publication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431"/>
        <w:jc w:val="left"/>
      </w:pPr>
      <w:r>
        <w:rPr>
          <w:rFonts w:ascii="Courier New" w:cs="Courier New" w:eastAsia="Courier New" w:hAnsi="Courier New"/>
          <w:b/>
          <w:bCs/>
          <w:color w:val="1B2A4A"/>
          <w:sz w:val="18"/>
          <w:szCs w:val="18"/>
        </w:rPr>
        <w:t xml:space="preserve">§19.9.d  </w:t>
      </w:r>
      <w:r>
        <w:rPr>
          <w:rFonts w:ascii="Garamond" w:cs="Garamond" w:eastAsia="Garamond" w:hAnsi="Garamond"/>
          <w:b/>
          <w:bCs/>
          <w:i w:val="false"/>
          <w:iCs w:val="false"/>
          <w:color w:val="1B2A4A"/>
          <w:sz w:val="22"/>
          <w:szCs w:val="22"/>
        </w:rPr>
        <w:t xml:space="preserve">TAM Sunset and Rationale</w:t>
      </w:r>
    </w:p>
    <w:p>
      <w:pPr>
        <w:spacing w:after="120" w:before="0"/>
        <w:ind w:left="431"/>
        <w:jc w:val="both"/>
      </w:pPr>
      <w:r>
        <w:rPr>
          <w:rFonts w:ascii="Garamond" w:cs="Garamond" w:eastAsia="Garamond" w:hAnsi="Garamond"/>
          <w:b w:val="false"/>
          <w:bCs w:val="false"/>
          <w:i w:val="false"/>
          <w:iCs w:val="false"/>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 A Republic that inherits the territory, institutions, and treaty obligations of its predecessor bears a constitutional obligation to account for what was done in the name of that predecessor state.</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§15.4.a and §13.4, to independent nations outside the Republic seeking a defined relationship, or to nations recognised as pre-existing sovereigns under Article XIV.</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authorise, or systematically permit violations of any of the six non-derogable rights established in §1.26.b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2026-05-21T11:44:13.627Z</dcterms:created>
  <dcterms:modified xsi:type="dcterms:W3CDTF">2026-05-21T11:44:13.627Z</dcterms:modified>
</cp:coreProperties>
</file>

<file path=docProps/custom.xml><?xml version="1.0" encoding="utf-8"?>
<Properties xmlns="http://schemas.openxmlformats.org/officeDocument/2006/custom-properties" xmlns:vt="http://schemas.openxmlformats.org/officeDocument/2006/docPropsVTypes"/>
</file>