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1B2A4A"/>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3.7 — Statutory Independent Agencies</w:t>
      </w:r>
    </w:p>
    <w:p>
      <w:pPr>
        <w:spacing w:after="60" w:before="60" w:line="280" w:lineRule="auto"/>
        <w:jc w:val="both"/>
      </w:pPr>
      <w:r>
        <w:rPr>
          <w:rFonts w:ascii="Times New Roman" w:cs="Times New Roman" w:eastAsia="Times New Roman" w:hAnsi="Times New Roman"/>
          <w:b/>
          <w:bCs/>
          <w:color w:val="1B2A4A"/>
          <w:sz w:val="22"/>
          <w:szCs w:val="22"/>
        </w:rPr>
        <w:t xml:space="preserve">3.7.a Authorization: </w:t>
      </w:r>
      <w:r>
        <w:rPr>
          <w:rFonts w:ascii="Times New Roman" w:cs="Times New Roman" w:eastAsia="Times New Roman" w:hAnsi="Times New Roman"/>
          <w:color w:val="000000"/>
          <w:sz w:val="22"/>
          <w:szCs w:val="22"/>
        </w:rPr>
        <w:t xml:space="preserve">The Legislature may by statute establish independent agencies exercising regulatory, prosecutorial, or other executive functions and designate their directors as statutory independent officers. A director’s term may not exceed eight years per appointment. The enabling statute governs all other terms of service.</w:t>
      </w:r>
    </w:p>
    <w:p>
      <w:pPr>
        <w:spacing w:after="60" w:before="60" w:line="280" w:lineRule="auto"/>
        <w:jc w:val="both"/>
      </w:pPr>
      <w:r>
        <w:rPr>
          <w:rFonts w:ascii="Times New Roman" w:cs="Times New Roman" w:eastAsia="Times New Roman" w:hAnsi="Times New Roman"/>
          <w:b/>
          <w:bCs/>
          <w:color w:val="1B2A4A"/>
          <w:sz w:val="22"/>
          <w:szCs w:val="22"/>
        </w:rPr>
        <w:t xml:space="preserve">3.7.b Appointment: </w:t>
      </w:r>
      <w:r>
        <w:rPr>
          <w:rFonts w:ascii="Times New Roman" w:cs="Times New Roman" w:eastAsia="Times New Roman" w:hAnsi="Times New Roman"/>
          <w:color w:val="000000"/>
          <w:sz w:val="22"/>
          <w:szCs w:val="22"/>
        </w:rPr>
        <w:t xml:space="preserve">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spacing w:after="60" w:before="60" w:line="280" w:lineRule="auto"/>
        <w:jc w:val="both"/>
      </w:pPr>
      <w:r>
        <w:rPr>
          <w:rFonts w:ascii="Times New Roman" w:cs="Times New Roman" w:eastAsia="Times New Roman" w:hAnsi="Times New Roman"/>
          <w:b/>
          <w:bCs/>
          <w:color w:val="1B2A4A"/>
          <w:sz w:val="22"/>
          <w:szCs w:val="22"/>
        </w:rPr>
        <w:t xml:space="preserve">3.7.c Removal: </w:t>
      </w:r>
      <w:r>
        <w:rPr>
          <w:rFonts w:ascii="Times New Roman" w:cs="Times New Roman" w:eastAsia="Times New Roman" w:hAnsi="Times New Roman"/>
          <w:color w:val="000000"/>
          <w:sz w:val="22"/>
          <w:szCs w:val="22"/>
        </w:rPr>
        <w:t xml:space="preserve">The PM may remove a statutory independent officer only on grounds specified in the enabling statute. Removal takes effect upon publication to the NRS of a written statement identifying the statutory ground relied upon. Within 21 days of that publication, the Senate may vote by simple majority to void the removal, in which case the director is reinstated to the full remainder of their term.</w:t>
      </w:r>
    </w:p>
    <w:p>
      <w:pPr>
        <w:spacing w:after="60" w:before="60" w:line="280" w:lineRule="auto"/>
        <w:jc w:val="both"/>
      </w:pPr>
      <w:r>
        <w:rPr>
          <w:rFonts w:ascii="Times New Roman" w:cs="Times New Roman" w:eastAsia="Times New Roman" w:hAnsi="Times New Roman"/>
          <w:b/>
          <w:bCs/>
          <w:color w:val="1B2A4A"/>
          <w:sz w:val="22"/>
          <w:szCs w:val="22"/>
        </w:rPr>
        <w:t xml:space="preserve">3.7.d Oversight: </w:t>
      </w:r>
      <w:r>
        <w:rPr>
          <w:rFonts w:ascii="Times New Roman" w:cs="Times New Roman" w:eastAsia="Times New Roman" w:hAnsi="Times New Roman"/>
          <w:color w:val="000000"/>
          <w:sz w:val="22"/>
          <w:szCs w:val="22"/>
        </w:rPr>
        <w:t xml:space="preserve">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spacing w:after="60" w:before="60" w:line="280" w:lineRule="auto"/>
        <w:jc w:val="both"/>
      </w:pPr>
      <w:r>
        <w:rPr>
          <w:rFonts w:ascii="Times New Roman" w:cs="Times New Roman" w:eastAsia="Times New Roman" w:hAnsi="Times New Roman"/>
          <w:b/>
          <w:bCs/>
          <w:color w:val="1B2A4A"/>
          <w:sz w:val="22"/>
          <w:szCs w:val="22"/>
        </w:rPr>
        <w:t xml:space="preserve">3.7.e Limits: </w:t>
      </w:r>
      <w:r>
        <w:rPr>
          <w:rFonts w:ascii="Times New Roman" w:cs="Times New Roman" w:eastAsia="Times New Roman" w:hAnsi="Times New Roman"/>
          <w:color w:val="000000"/>
          <w:sz w:val="22"/>
          <w:szCs w:val="22"/>
        </w:rPr>
        <w:t xml:space="preserve">An agency’s operational independence does not preclude legislative appropriation control, impeachment under §3.5, or Inspectorate referral. No enabling statute may insulate an agency’s officers from criminal liability or constitutional accountability.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1B2A4A"/>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