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The Legat Consul's veto may be used only once on any bill; a bill reintroduced and passed by both chambers in a subsequent session proceeds without Legat Consul interference. Either Speaker may petition the SC for an expedited domain determination of any disputed veto; the SC must rule within 14 days of such petition; where the SC does not rule within 14 days, the veto is void and the bill proceeds to ordinary enactment without Legat Consul assent.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Senate may override by 2/3 supermajority;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longest-serving Assembly member who otherwise meets the requirements for Civic Consul assumes the role by constitutional operation, published to the NRS; this appointee holds full Civic Consul authority and is subject to removal under §2.6.</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Civic Consul withholds assent from a bill passed by both chambers, the Civic Consul exercises a suspensive veto by returning the bill to the Legislature within 10 business days of final passage with a written statement of objection specifying constitutional, fiscal, or operational grounds, published to the NRS. The bill is tabled for one month from the date of return regardless of any change in the office of Civic Consul. The Senate may override the suspensive veto by 2/3 supermajority during that month; a successfully overridden bill takes effect without Civic Consul assent. Where no Senate override occurs within that month, the bill lapses for that session. The suspensive veto may be used only once on any bill within a session; a bill reintroduced and passed again by both chambers in the same session is not subject to the suspensive veto and returns to the Civic Consul with only the fiscal veto, approval, or automatic enactment by silence available. The Civic Consul may also object on specific solvency grounds — the bill would cause or materially worsen a structural deficit; the Assembly may override a solvency objection by simple majority. If the Civic Consul neither signs nor objects within 10 business days of final passage, the bill is enacted. Silence is not a veto. The suspensive veto may not be used on the annual budget, bills implementing a constitutional obligation, or emergency legislation. Both executives review legislation concurrently from the date of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