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first to the Senate Speaker, then to the Senate Deputy Speaker, and then to the most senior member of the Senate Armed Services Committee. A successor serves the remainder of the current presidential term; service by succession does not consume the successor's own eligibility to stand at the next election.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at the timeline defined by statute, sufficiently in advance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by the House from a pool of qualified candidates maintained by the Elections Panel at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timeline defined by statute under §1.31;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an Acting Inspector General designated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the following three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proposes the amendment.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