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100"/>
        <w:jc w:val="center"/>
      </w:pPr>
      <w:r>
        <w:rPr>
          <w:rFonts w:ascii="Garamond" w:cs="Garamond" w:eastAsia="Garamond" w:hAnsi="Garamond"/>
          <w:color w:val="7a7060"/>
          <w:sz w:val="22"/>
          <w:szCs w:val="22"/>
        </w:rPr>
        <w:t xml:space="preserve">Version 166</w:t>
      </w:r>
    </w:p>
    <w:p>
      <w:pPr>
        <w:spacing w:after="800"/>
        <w:jc w:val="center"/>
      </w:pPr>
      <w:r>
        <w:rPr>
          <w:rFonts w:ascii="Garamond" w:cs="Garamond" w:eastAsia="Garamond" w:hAnsi="Garamond"/>
          <w:color w:val="7a7060"/>
          <w:sz w:val="22"/>
          <w:szCs w:val="22"/>
        </w:rPr>
        <w:t xml:space="preserve">May 2026</w:t>
      </w:r>
    </w:p>
    <w:p>
      <w:pPr>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seven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If the House cannot elect a PM within 30 days, the SDACO continues as Caretaker. Persistent failure triggers a snap election under §3.5.</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most senior SC justice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Impeachment</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Impeachment Inquiry</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Articles of Impeachment</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Senate Trial</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Executive Continuity During Impeachment</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of each other on the combined score,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The Draw</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Term and Pool Depletion</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Inspectorate Staff Continuity</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Inspectorate Minimum Funding Guarantee</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Node Operators</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RSA Director</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Classification Authority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Classification Authority</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Classification Duration</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Classification Registry</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Automatic Declassification</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Taxation Authority</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Deficit Controls</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Inherited Deficit Transition Threshold</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7-year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Jury Duty</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Free, Prior, and Informed Consent</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Unamendable Rights Override</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Internal Enforcement Support</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Inspectorate Jurisdiction Limit</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Eminent Domain Prohibition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Conservation Trust</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National Record System</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Article I Rights</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Dual Citizenship</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National Voting System — Voluntary Connection</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Pre-Existing Sovereignty Pathway</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Indigenous Nation Status Elections</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Two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Second vote mechanism: if participation falls between 60-65% but affirmative exceeds 75%, the EC schedules a second vote. One second vote per amendment text.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a full new non-renewable 6-year term from certification — not the remainder of the vacated term.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does not have a permanent capital city with territorial sovereignty. The Seat of Government is hosted by a consenting State — the host retaining sovereignty outside the specific federal footprint. The Republic exercises functional authority, not territorial sovereignty, within the footprint. This design prevents the accumulation of federal territorial power over a de facto national enclave that characterizes most existing federal capitals.</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Host State Consent</w:t>
      </w:r>
    </w:p>
    <w:p>
      <w:pPr>
        <w:spacing w:after="120" w:before="0"/>
        <w:ind w:left="863"/>
        <w:jc w:val="both"/>
      </w:pPr>
      <w:r>
        <w:rPr>
          <w:rFonts w:ascii="Garamond" w:cs="Garamond" w:eastAsia="Garamond" w:hAnsi="Garamond"/>
          <w:color w:val="2a2520"/>
          <w:sz w:val="22"/>
          <w:szCs w:val="22"/>
        </w:rPr>
        <w:t xml:space="preserve">The host State consents to hosting the Seat of Government by a majority vote of its legislature, recorded on the NRS. Consent is explicit, documented, and revocable. A State cannot be involuntarily assigned as the host.</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Federal Control Within the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Host State may not tax federal operations, interfere with federal functions, or apply State law to federal employees acting in official capacity on federal grounds. The footprint is fixed — expansion requires a new Host State Agreement. Federal control is functional, not sovereign.</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No State may be involuntarily designated as the permanent seat of government. A State may withdraw consent to host the seat of government by a 2/3 vote of its legislature, subject to a statutory transition period during which the Republic must identify a new host or trigger the provisional host designation under §17.2.e.</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Reversion on Relocation</w:t>
      </w:r>
    </w:p>
    <w:p>
      <w:pPr>
        <w:spacing w:after="120" w:before="0"/>
        <w:ind w:left="863"/>
        <w:jc w:val="both"/>
      </w:pPr>
      <w:r>
        <w:rPr>
          <w:rFonts w:ascii="Garamond" w:cs="Garamond" w:eastAsia="Garamond" w:hAnsi="Garamond"/>
          <w:color w:val="2a2520"/>
          <w:sz w:val="22"/>
          <w:szCs w:val="22"/>
        </w:rPr>
        <w:t xml:space="preserve">If the seat of government relocates, the prior host State recovers full sovereignty over all previously designated grounds upon completion of the statutory transition period. Individual facilities remaining in active operational use may be retained as Operational Use Rights by mutual agreement. All improvements revert to the host State unless otherwise negotiated within the statutory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Provisional Seat — No Voluntary Host</w:t>
      </w:r>
    </w:p>
    <w:p>
      <w:pPr>
        <w:spacing w:after="120" w:before="0"/>
        <w:ind w:left="863"/>
        <w:jc w:val="both"/>
      </w:pPr>
      <w:r>
        <w:rPr>
          <w:rFonts w:ascii="Garamond" w:cs="Garamond" w:eastAsia="Garamond" w:hAnsi="Garamond"/>
          <w:color w:val="2a2520"/>
          <w:sz w:val="22"/>
          <w:szCs w:val="22"/>
        </w:rPr>
        <w:t xml:space="preserve">If no State consents to host the seat within 24 months of ratification — or within 24 months of a host State withdrawing consent — the Legislature may by 2/3 vote designate any State as provisional host. The provisional designation holds until a State volunteers; the designated State may not be involuntarily permanent.</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accurate representation of voting records and policy positions,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center"/>
    </w:pPr>
    <w:r>
      <w:rPr>
        <w:rFonts w:ascii="Garamond" w:cs="Garamond" w:eastAsia="Garamond" w:hAnsi="Garamond"/>
        <w:color w:val="7a7060"/>
        <w:spacing w:val="40"/>
        <w:sz w:val="16"/>
        <w:szCs w:val="16"/>
      </w:rPr>
      <w:t xml:space="preserve">THE FEDERATED REPUBLIC — CONSTITUTION v166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a38f7c3a22247350e8f884cc47c98fda193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2026-05-16T21:59:45.295Z</dcterms:created>
  <dcterms:modified xsi:type="dcterms:W3CDTF">2026-05-16T21:59:45.311Z</dcterms:modified>
</cp:coreProperties>
</file>

<file path=docProps/custom.xml><?xml version="1.0" encoding="utf-8"?>
<Properties xmlns="http://schemas.openxmlformats.org/officeDocument/2006/custom-properties" xmlns:vt="http://schemas.openxmlformats.org/officeDocument/2006/docPropsVTypes"/>
</file>