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2A4A" w:sz="8" w:space="8"/>
        </w:pBdr>
        <w:spacing w:after="120" w:before="480"/>
        <w:jc w:val="center"/>
      </w:pPr>
      <w:r>
        <w:rPr>
          <w:rFonts w:ascii="Times New Roman" w:cs="Times New Roman" w:eastAsia="Times New Roman" w:hAnsi="Times New Roman"/>
          <w:b/>
          <w:bCs/>
          <w:color w:val="1B2A4A"/>
          <w:spacing w:val="40"/>
          <w:sz w:val="38"/>
          <w:szCs w:val="38"/>
        </w:rPr>
        <w:t xml:space="preserve">THE CONSTITUTION OF THE FEDERATED REPUBLIC</w:t>
      </w:r>
    </w:p>
    <w:p>
      <w:pPr>
        <w:spacing w:after="480" w:before="120"/>
        <w:jc w:val="center"/>
      </w:pPr>
      <w:r>
        <w:rPr>
          <w:rFonts w:ascii="Times New Roman" w:cs="Times New Roman" w:eastAsia="Times New Roman" w:hAnsi="Times New Roman"/>
          <w:i/>
          <w:iCs/>
          <w:color w:val="7A7060"/>
          <w:sz w:val="22"/>
          <w:szCs w:val="22"/>
        </w:rPr>
        <w:t xml:space="preserve">A Constitutional Framework for Sovereign Governance — Rights, Powers, and Limits</w:t>
      </w:r>
    </w:p>
    <w:p>
      <w:pPr>
        <w:spacing w:after="120" w:before="240"/>
        <w:jc w:val="center"/>
      </w:pPr>
      <w:r>
        <w:rPr>
          <w:rFonts w:ascii="Times New Roman" w:cs="Times New Roman" w:eastAsia="Times New Roman" w:hAnsi="Times New Roman"/>
          <w:b/>
          <w:bCs/>
          <w:color w:val="1B2A4A"/>
          <w:spacing w:val="60"/>
          <w:sz w:val="24"/>
          <w:szCs w:val="24"/>
        </w:rPr>
        <w:t xml:space="preserve">PREAMBLE</w:t>
      </w:r>
    </w:p>
    <w:p>
      <w:pPr>
        <w:spacing w:after="80" w:before="80" w:line="280" w:lineRule="auto"/>
        <w:jc w:val="both"/>
      </w:pPr>
      <w:r>
        <w:rPr>
          <w:rFonts w:ascii="Times New Roman" w:cs="Times New Roman" w:eastAsia="Times New Roman" w:hAnsi="Times New Roman"/>
          <w:i/>
          <w:iCs/>
          <w:color w:val="000000"/>
          <w:sz w:val="22"/>
          <w:szCs w:val="22"/>
        </w:rPr>
        <w:t xml:space="preserve">We, the inhabitants of the Federated Republic, knowing that power unchecked becomes tyranny and that rights unprotected become hollow, do ordain and establish this Constitution.</w:t>
      </w:r>
    </w:p>
    <w:p>
      <w:pPr>
        <w:spacing w:after="80" w:before="80" w:line="280" w:lineRule="auto"/>
        <w:jc w:val="both"/>
      </w:pPr>
      <w:r>
        <w:rPr>
          <w:rFonts w:ascii="Times New Roman" w:cs="Times New Roman" w:eastAsia="Times New Roman" w:hAnsi="Times New Roman"/>
          <w:i/>
          <w:iCs/>
          <w:color w:val="000000"/>
          <w:sz w:val="22"/>
          <w:szCs w:val="22"/>
        </w:rPr>
        <w:t xml:space="preserve">We establish this government to protect the sovereignty of each person within our borders, to secure the rights that no government may rightfully take away, to hold power accountable to those who grant it, and to ensure that what this government does — in our name and with our money — is done in the open, on the permanent record, for all to see.</w:t>
      </w:r>
    </w:p>
    <w:p>
      <w:pPr>
        <w:spacing w:after="80" w:before="80" w:line="280" w:lineRule="auto"/>
        <w:jc w:val="both"/>
      </w:pPr>
      <w:r>
        <w:rPr>
          <w:rFonts w:ascii="Times New Roman" w:cs="Times New Roman" w:eastAsia="Times New Roman" w:hAnsi="Times New Roman"/>
          <w:i/>
          <w:iCs/>
          <w:color w:val="000000"/>
          <w:sz w:val="22"/>
          <w:szCs w:val="22"/>
        </w:rPr>
        <w:t xml:space="preserve">We recognize that a government capable of great good is also capable of great harm. Therefore we limit it. We do not limit it because we distrust the people who serve within it — we limit it because no document can select only the trustworthy, and no generation can bind the next to its own virtue. The limits in this Constitution are not a judgment on any person. They are an acknowledgment that power itself requires constraint, regardless of who holds it.</w:t>
      </w:r>
    </w:p>
    <w:p>
      <w:pPr>
        <w:spacing w:after="80" w:before="80" w:line="280" w:lineRule="auto"/>
        <w:jc w:val="both"/>
      </w:pPr>
      <w:r>
        <w:rPr>
          <w:rFonts w:ascii="Times New Roman" w:cs="Times New Roman" w:eastAsia="Times New Roman" w:hAnsi="Times New Roman"/>
          <w:i/>
          <w:iCs/>
          <w:color w:val="000000"/>
          <w:sz w:val="22"/>
          <w:szCs w:val="22"/>
        </w:rPr>
        <w:t xml:space="preserve">Every right enumerated here is a floor, not a ceiling. Every power granted to government is a ceiling, not a floor. What this Constitution does not give to government, government does not have.</w:t>
      </w:r>
    </w:p>
    <w:p>
      <w:pPr>
        <w:spacing w:after="80" w:before="80" w:line="280" w:lineRule="auto"/>
        <w:jc w:val="both"/>
      </w:pPr>
      <w:r>
        <w:rPr>
          <w:rFonts w:ascii="Times New Roman" w:cs="Times New Roman" w:eastAsia="Times New Roman" w:hAnsi="Times New Roman"/>
          <w:i/>
          <w:iCs/>
          <w:color w:val="000000"/>
          <w:sz w:val="22"/>
          <w:szCs w:val="22"/>
        </w:rPr>
        <w:t xml:space="preserve">This is our compact — with each other, and with those who will inherit what we build.</w:t>
      </w:r>
    </w:p>
    <w:p>
      <w:pPr>
        <w:spacing w:after="240" w:before="240"/>
        <w:jc w:val="center"/>
      </w:pPr>
      <w:r>
        <w:rPr>
          <w:rFonts w:ascii="Times New Roman" w:cs="Times New Roman" w:eastAsia="Times New Roman" w:hAnsi="Times New Roman"/>
          <w:i/>
          <w:iCs/>
          <w:color w:val="7A7060"/>
          <w:sz w:val="20"/>
          <w:szCs w:val="20"/>
        </w:rPr>
        <w:t xml:space="preserve">Navigation Guide and Citizen Glossary are published as companion documents. They have no legal force. The operative text begins with Article I.</w:t>
      </w:r>
    </w:p>
    <w:p>
      <w:pPr>
        <w:pBdr>
          <w:bottom w:val="single" w:color="C9A84C" w:sz="6" w:space="6"/>
        </w:pBdr>
        <w:spacing w:after="200" w:before="600"/>
        <w:jc w:val="center"/>
      </w:pPr>
      <w:r>
        <w:rPr>
          <w:rFonts w:ascii="Times New Roman" w:cs="Times New Roman" w:eastAsia="Times New Roman" w:hAnsi="Times New Roman"/>
          <w:b/>
          <w:bCs/>
          <w:color w:val="1B2A4A"/>
          <w:spacing w:val="20"/>
          <w:sz w:val="28"/>
          <w:szCs w:val="28"/>
        </w:rPr>
        <w:t xml:space="preserve">ARTICLE I — THE INDIVIDUAL SOVEREIGNTY FLOOR</w:t>
      </w:r>
    </w:p>
    <w:p>
      <w:pPr>
        <w:spacing w:after="60" w:before="60" w:line="280" w:lineRule="auto"/>
        <w:jc w:val="both"/>
      </w:pPr>
      <w:r>
        <w:rPr>
          <w:rFonts w:ascii="Times New Roman" w:cs="Times New Roman" w:eastAsia="Times New Roman" w:hAnsi="Times New Roman"/>
          <w:color w:val="000000"/>
          <w:sz w:val="22"/>
          <w:szCs w:val="22"/>
        </w:rPr>
        <w:t xml:space="preserve">The rights enumerated in this Article are absolute minimums binding on all branches and levels of government. All Inhabitants of the Republic — regardless of citizenship status — are guaranteed these protections unless a specific section explicitly limits the right to citizens. No provision of this Constitution may be construed to diminish any right enumerated here. Throughout this Article, Inhabitants means all persons within the Republic regardless of citizenship status. Citizens and Legal Residents are defined in Article V.</w:t>
      </w:r>
    </w:p>
    <w:p>
      <w:pPr>
        <w:spacing w:after="60" w:before="60" w:line="280" w:lineRule="auto"/>
        <w:jc w:val="both"/>
      </w:pPr>
      <w:r>
        <w:rPr>
          <w:rFonts w:ascii="Times New Roman" w:cs="Times New Roman" w:eastAsia="Times New Roman" w:hAnsi="Times New Roman"/>
          <w:color w:val="000000"/>
          <w:sz w:val="22"/>
          <w:szCs w:val="22"/>
        </w:rPr>
        <w:t xml:space="preserve">This Constitution, and all laws enacted under it, must be interpreted to give maximum effect to every right in this Article. Where two rights conflict, courts must seek the interpretation that best honors both — no right in this Article automatically trumps another, and no branch may use one right to hollow out another.</w:t>
      </w:r>
    </w:p>
    <w:p>
      <w:pPr>
        <w:spacing w:after="100" w:before="280"/>
        <w:jc w:val="center"/>
      </w:pPr>
      <w:r>
        <w:rPr>
          <w:rFonts w:ascii="Times New Roman" w:cs="Times New Roman" w:eastAsia="Times New Roman" w:hAnsi="Times New Roman"/>
          <w:i/>
          <w:iCs/>
          <w:color w:val="7A7060"/>
          <w:sz w:val="18"/>
          <w:szCs w:val="18"/>
        </w:rPr>
        <w:t xml:space="preserve">—  Part A — Personal Integrity (§§ 1.0 – 1.3)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 — Right of Access to Courts</w:t>
      </w:r>
    </w:p>
    <w:p>
      <w:pPr>
        <w:spacing w:after="60" w:before="60" w:line="280" w:lineRule="auto"/>
        <w:jc w:val="both"/>
      </w:pPr>
      <w:r>
        <w:rPr>
          <w:rFonts w:ascii="Times New Roman" w:cs="Times New Roman" w:eastAsia="Times New Roman" w:hAnsi="Times New Roman"/>
          <w:color w:val="000000"/>
          <w:sz w:val="22"/>
          <w:szCs w:val="22"/>
        </w:rPr>
        <w:t xml:space="preserve">Every person within the jurisdiction of the Republic has the right to seek legal remedy before a court for any violation of their rights under this Constitution or under law. No person may be denied access to the courts to assert a legal claim. The State may not impose procedural barriers so onerous as to make meaningful access to justice impossible for any person regardless of financial means. the Legislature must by statute ensure that legal aid is available to persons who cannot afford representation in civil matters affecting their fundamental rights. This obligation is self-executing: in the absence of a statute, any person who demonstrates they cannot afford representation may petition the court for appointed counsel at public expense. The court must appoint where this is demonstrated. This default operates until a statutory legal aid framework is enacted, at which point the statute governs.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 — Right to Life</w:t>
      </w:r>
    </w:p>
    <w:p>
      <w:pPr>
        <w:spacing w:after="60" w:before="60" w:line="280" w:lineRule="auto"/>
        <w:jc w:val="both"/>
      </w:pPr>
      <w:r>
        <w:rPr>
          <w:rFonts w:ascii="Times New Roman" w:cs="Times New Roman" w:eastAsia="Times New Roman" w:hAnsi="Times New Roman"/>
          <w:color w:val="000000"/>
          <w:sz w:val="22"/>
          <w:szCs w:val="22"/>
        </w:rPr>
        <w:t xml:space="preserve">Every person has the inherent right to life. The State may not deliberately deprive any person of life except as the lawful consequence of a capital sentence imposed by a unanimous jury following conviction for the most serious crimes as defined by House statute. No executive may order the deliberate killing of any Inhabitant outside of active armed conflict governed by Article XII. This right admits no emergency derogation. A capital sentence lawfully imposed and carried out under this section does not constitute cruel, degrading, or inhumane punishment within the meaning of §1.2.</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 — Prohibition of Torture and Cruel Treatment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 — Prohibition of Slavery and Forced Labor</w:t>
      </w:r>
    </w:p>
    <w:p>
      <w:pPr>
        <w:spacing w:after="60" w:before="60" w:line="280" w:lineRule="auto"/>
        <w:jc w:val="both"/>
      </w:pPr>
      <w:r>
        <w:rPr>
          <w:rFonts w:ascii="Times New Roman" w:cs="Times New Roman" w:eastAsia="Times New Roman" w:hAnsi="Times New Roman"/>
          <w:color w:val="000000"/>
          <w:sz w:val="22"/>
          <w:szCs w:val="22"/>
        </w:rPr>
        <w:t xml:space="preserve">No person within the jurisdiction of the Republic may be held in slavery or servitude or required to perform forced or compulsory labor. This prohibition admits no derogation. The following do not constitute forced labor: jury service (§10.6.a) and lawful sentences of community service imposed by a court. This prohibition is permanently unamendable under §15.3.</w:t>
      </w:r>
    </w:p>
    <w:p>
      <w:pPr>
        <w:spacing w:after="100" w:before="280"/>
        <w:jc w:val="center"/>
      </w:pPr>
      <w:r>
        <w:rPr>
          <w:rFonts w:ascii="Times New Roman" w:cs="Times New Roman" w:eastAsia="Times New Roman" w:hAnsi="Times New Roman"/>
          <w:i/>
          <w:iCs/>
          <w:color w:val="7A7060"/>
          <w:sz w:val="18"/>
          <w:szCs w:val="18"/>
        </w:rPr>
        <w:t xml:space="preserve">—  Part B — Civil and Political Liberties (§§ 1.4 – 1.7)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 — Freedom of Expression</w:t>
      </w:r>
    </w:p>
    <w:p>
      <w:pPr>
        <w:spacing w:after="60" w:before="60" w:line="280" w:lineRule="auto"/>
        <w:jc w:val="both"/>
      </w:pPr>
      <w:r>
        <w:rPr>
          <w:rFonts w:ascii="Times New Roman" w:cs="Times New Roman" w:eastAsia="Times New Roman" w:hAnsi="Times New Roman"/>
          <w:color w:val="000000"/>
          <w:sz w:val="22"/>
          <w:szCs w:val="22"/>
        </w:rPr>
        <w:t xml:space="preserve">No branch, agency, official, or instrumentality of the Republic or any State may abridge the freedom of speech, press, or assembly in any medium — physical or digital.</w:t>
      </w:r>
    </w:p>
    <w:p>
      <w:pPr>
        <w:spacing w:after="60" w:before="60" w:line="280" w:lineRule="auto"/>
        <w:jc w:val="both"/>
      </w:pPr>
      <w:r>
        <w:rPr>
          <w:rFonts w:ascii="Times New Roman" w:cs="Times New Roman" w:eastAsia="Times New Roman" w:hAnsi="Times New Roman"/>
          <w:b/>
          <w:bCs/>
          <w:color w:val="1B2A4A"/>
          <w:sz w:val="22"/>
          <w:szCs w:val="22"/>
        </w:rPr>
        <w:t xml:space="preserve">1.4.a Censorship by Proxy: </w:t>
      </w:r>
      <w:r>
        <w:rPr>
          <w:rFonts w:ascii="Times New Roman" w:cs="Times New Roman" w:eastAsia="Times New Roman" w:hAnsi="Times New Roman"/>
          <w:color w:val="000000"/>
          <w:sz w:val="22"/>
          <w:szCs w:val="22"/>
        </w:rPr>
        <w:t xml:space="preserve">No government agent may coerce, incentivize, or direct private entities to suppress protected speech.</w:t>
      </w:r>
    </w:p>
    <w:p>
      <w:pPr>
        <w:spacing w:after="60" w:before="60" w:line="280" w:lineRule="auto"/>
        <w:jc w:val="both"/>
      </w:pPr>
      <w:r>
        <w:rPr>
          <w:rFonts w:ascii="Times New Roman" w:cs="Times New Roman" w:eastAsia="Times New Roman" w:hAnsi="Times New Roman"/>
          <w:b/>
          <w:bCs/>
          <w:color w:val="1B2A4A"/>
          <w:sz w:val="22"/>
          <w:szCs w:val="22"/>
        </w:rPr>
        <w:t xml:space="preserve">1.4.b Separation of Church and State: </w:t>
      </w:r>
      <w:r>
        <w:rPr>
          <w:rFonts w:ascii="Times New Roman" w:cs="Times New Roman" w:eastAsia="Times New Roman" w:hAnsi="Times New Roman"/>
          <w:color w:val="000000"/>
          <w:sz w:val="22"/>
          <w:szCs w:val="22"/>
        </w:rPr>
        <w:t xml:space="preserve">No religion may be established by law. Public funds directed to religious organizations for secular services must adhere to non-discrimination statutes.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 — Freedom of Thought, Conscience, and Religion</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freedom of thought, conscience, and religion — to hold, practice, change, or decline any belief, and to manifest it through worship, observance, practice, and teaching. No person may be compelled to participate in any religious observance, oath, or ceremony contrary to their beliefs. Free exercise does not authorize harm to or discrimination against any other person, and creates no exemption from laws protecting the rights enumerated in this Article.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 — Freedom of Association</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freely associate with others for any lawful purpose, including political parties, trade unions, civic organizations, and professional associations. The State may not compel membership in any association as a condition of employment, civic participation, or access to public services, nor prohibit any association solely on ideological grounds unless it advocates the violent overthrow of this Constitution or the denial of rights enumerated here.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 — Right to Petition</w:t>
      </w:r>
    </w:p>
    <w:p>
      <w:pPr>
        <w:spacing w:after="60" w:before="60" w:line="280" w:lineRule="auto"/>
        <w:jc w:val="both"/>
      </w:pPr>
      <w:r>
        <w:rPr>
          <w:rFonts w:ascii="Times New Roman" w:cs="Times New Roman" w:eastAsia="Times New Roman" w:hAnsi="Times New Roman"/>
          <w:color w:val="000000"/>
          <w:sz w:val="22"/>
          <w:szCs w:val="22"/>
        </w:rPr>
        <w:t xml:space="preserve">Every citizen has the right to petition any branch of government on any matter of public or personal concern. This right extends to citizens only. All petitions must receive a formal response within a period the Legislature defines by statute. The subject and status of petitions are published to the National Record System; petitioner identity is withheld where the petitioner requests anonymity. The right to petition includes the right to file formal complaints against government officials and agencies.</w:t>
      </w:r>
    </w:p>
    <w:p>
      <w:pPr>
        <w:spacing w:after="100" w:before="280"/>
        <w:jc w:val="center"/>
      </w:pPr>
      <w:r>
        <w:rPr>
          <w:rFonts w:ascii="Times New Roman" w:cs="Times New Roman" w:eastAsia="Times New Roman" w:hAnsi="Times New Roman"/>
          <w:i/>
          <w:iCs/>
          <w:color w:val="7A7060"/>
          <w:sz w:val="18"/>
          <w:szCs w:val="18"/>
        </w:rPr>
        <w:t xml:space="preserve">—  Part C — Equality (§ 1.8)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 — Equality Before the Law</w:t>
      </w:r>
    </w:p>
    <w:p>
      <w:pPr>
        <w:spacing w:after="60" w:before="60" w:line="280" w:lineRule="auto"/>
        <w:jc w:val="both"/>
      </w:pPr>
      <w:r>
        <w:rPr>
          <w:rFonts w:ascii="Times New Roman" w:cs="Times New Roman" w:eastAsia="Times New Roman" w:hAnsi="Times New Roman"/>
          <w:color w:val="000000"/>
          <w:sz w:val="22"/>
          <w:szCs w:val="22"/>
        </w:rPr>
        <w:t xml:space="preserve">All persons are equal before the law and entitled to equal protection without discrimination on the basis of race, ethnicity, sex, sexual orientation, gender identity, religion, disability, age, national origin, or economic status. This section binds all branches of government, all agencies, and all entities receiving public funds or exercising public authority. Distinctions rationally connected to a legitimate government purpose and proportionate to that purpose are permitted, provided they do not target any characteristic enumerated above. Means-tested programs that condition benefits on demonstrated financial need are not discrimination on the basis of economic status — the distinction between those who qualify by need and those who do not is the constitutional purpose of such programs, not discrimination against either group. Distinctions based on race, ethnicity, religion, sex, sexual orientation, gender identity, national origin, or disability are presumptively unconstitutional and may only be justified by a compelling government purpose that cannot be achieved by less discriminatory means. Distinctions based on age or economic status require only a rational connection to a legitimate government purpose.</w:t>
      </w:r>
    </w:p>
    <w:p>
      <w:pPr>
        <w:spacing w:after="100" w:before="280"/>
        <w:jc w:val="center"/>
      </w:pPr>
      <w:r>
        <w:rPr>
          <w:rFonts w:ascii="Times New Roman" w:cs="Times New Roman" w:eastAsia="Times New Roman" w:hAnsi="Times New Roman"/>
          <w:i/>
          <w:iCs/>
          <w:color w:val="7A7060"/>
          <w:sz w:val="18"/>
          <w:szCs w:val="18"/>
        </w:rPr>
        <w:t xml:space="preserve">—  Part D — Privacy, Property and Economic Rights (§§ 1.9 – 1.12)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 — Bodily Autonomy and Digital Privacy</w:t>
      </w:r>
    </w:p>
    <w:p>
      <w:pPr>
        <w:spacing w:after="60" w:before="60" w:line="280" w:lineRule="auto"/>
        <w:jc w:val="both"/>
      </w:pPr>
      <w:r>
        <w:rPr>
          <w:rFonts w:ascii="Times New Roman" w:cs="Times New Roman" w:eastAsia="Times New Roman" w:hAnsi="Times New Roman"/>
          <w:b/>
          <w:bCs/>
          <w:color w:val="1B2A4A"/>
          <w:sz w:val="22"/>
          <w:szCs w:val="22"/>
        </w:rPr>
        <w:t xml:space="preserve">1.9.a Physical Sovereignty: </w:t>
      </w:r>
      <w:r>
        <w:rPr>
          <w:rFonts w:ascii="Times New Roman" w:cs="Times New Roman" w:eastAsia="Times New Roman" w:hAnsi="Times New Roman"/>
          <w:color w:val="000000"/>
          <w:sz w:val="22"/>
          <w:szCs w:val="22"/>
        </w:rPr>
        <w:t xml:space="preserve">Every person has the absolute right to refuse any medical procedure or biological sampling. No mandate is permissible under any declared emergency unless the individual provides uncoerced, revocable written consent.</w:t>
      </w:r>
    </w:p>
    <w:p>
      <w:pPr>
        <w:spacing w:after="60" w:before="60" w:line="280" w:lineRule="auto"/>
        <w:jc w:val="both"/>
      </w:pPr>
      <w:r>
        <w:rPr>
          <w:rFonts w:ascii="Times New Roman" w:cs="Times New Roman" w:eastAsia="Times New Roman" w:hAnsi="Times New Roman"/>
          <w:b/>
          <w:bCs/>
          <w:color w:val="1B2A4A"/>
          <w:sz w:val="22"/>
          <w:szCs w:val="22"/>
        </w:rPr>
        <w:t xml:space="preserve">1.9.b Data Ownership: </w:t>
      </w:r>
      <w:r>
        <w:rPr>
          <w:rFonts w:ascii="Times New Roman" w:cs="Times New Roman" w:eastAsia="Times New Roman" w:hAnsi="Times New Roman"/>
          <w:color w:val="000000"/>
          <w:sz w:val="22"/>
          <w:szCs w:val="22"/>
        </w:rPr>
        <w:t xml:space="preserve">Individuals own their personal data, likeness, and biometric information. Data collected by any government actor is subject to strict necessity limits — it may not be retained beyond the purpose for which it was collected, shared with third parties without consent, or used to build behavioral profiles of individuals.</w:t>
      </w:r>
    </w:p>
    <w:p>
      <w:pPr>
        <w:spacing w:after="60" w:before="60" w:line="280" w:lineRule="auto"/>
        <w:jc w:val="both"/>
      </w:pPr>
      <w:r>
        <w:rPr>
          <w:rFonts w:ascii="Times New Roman" w:cs="Times New Roman" w:eastAsia="Times New Roman" w:hAnsi="Times New Roman"/>
          <w:b/>
          <w:bCs/>
          <w:color w:val="1B2A4A"/>
          <w:sz w:val="22"/>
          <w:szCs w:val="22"/>
        </w:rPr>
        <w:t xml:space="preserve">1.9.c Encryption Protection: </w:t>
      </w:r>
      <w:r>
        <w:rPr>
          <w:rFonts w:ascii="Times New Roman" w:cs="Times New Roman" w:eastAsia="Times New Roman" w:hAnsi="Times New Roman"/>
          <w:color w:val="000000"/>
          <w:sz w:val="22"/>
          <w:szCs w:val="22"/>
        </w:rPr>
        <w:t xml:space="preserve">Cryptographic keys are private property. No court or agency may compel their disclosure.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1.10 — Inviolability of the Home and Property Rights</w:t>
      </w:r>
    </w:p>
    <w:p>
      <w:pPr>
        <w:spacing w:after="60" w:before="60" w:line="280" w:lineRule="auto"/>
        <w:jc w:val="both"/>
      </w:pPr>
      <w:r>
        <w:rPr>
          <w:rFonts w:ascii="Times New Roman" w:cs="Times New Roman" w:eastAsia="Times New Roman" w:hAnsi="Times New Roman"/>
          <w:b/>
          <w:bCs/>
          <w:color w:val="1B2A4A"/>
          <w:sz w:val="22"/>
          <w:szCs w:val="22"/>
        </w:rPr>
        <w:t xml:space="preserve">1.10.a Home and Digital Privacy: </w:t>
      </w:r>
      <w:r>
        <w:rPr>
          <w:rFonts w:ascii="Times New Roman" w:cs="Times New Roman" w:eastAsia="Times New Roman" w:hAnsi="Times New Roman"/>
          <w:color w:val="000000"/>
          <w:sz w:val="22"/>
          <w:szCs w:val="22"/>
        </w:rPr>
        <w:t xml:space="preserve">'Home' extends to all physical residences and all digital spaces secured by private cryptographic keys. Access by the State requires a warrant issued by a judge, specifying with precision the data target or physical space to be searched, verified on the National Record System before execution.  General warrants — broad or unspecified authorizations — are absolutely prohibited.</w:t>
      </w:r>
    </w:p>
    <w:p>
      <w:pPr>
        <w:spacing w:after="60" w:before="60" w:line="280" w:lineRule="auto"/>
        <w:jc w:val="both"/>
      </w:pPr>
      <w:r>
        <w:rPr>
          <w:rFonts w:ascii="Times New Roman" w:cs="Times New Roman" w:eastAsia="Times New Roman" w:hAnsi="Times New Roman"/>
          <w:b/>
          <w:bCs/>
          <w:color w:val="1B2A4A"/>
          <w:sz w:val="22"/>
          <w:szCs w:val="22"/>
        </w:rPr>
        <w:t xml:space="preserve">1.10.b Eminent Domain: </w:t>
      </w:r>
      <w:r>
        <w:rPr>
          <w:rFonts w:ascii="Times New Roman" w:cs="Times New Roman" w:eastAsia="Times New Roman" w:hAnsi="Times New Roman"/>
          <w:color w:val="000000"/>
          <w:sz w:val="22"/>
          <w:szCs w:val="22"/>
        </w:rPr>
        <w:t xml:space="preserve">Seizure of private property requires proof of absolute public necessity, payment of 150% of fair market value, and recording on the National Record System. Private-to-private transfer via eminent domain is prohibited.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1.11 — Self-Defense and the Right to Bear Arms</w:t>
      </w:r>
    </w:p>
    <w:p>
      <w:pPr>
        <w:spacing w:after="60" w:before="60" w:line="280" w:lineRule="auto"/>
        <w:jc w:val="both"/>
      </w:pPr>
      <w:r>
        <w:rPr>
          <w:rFonts w:ascii="Times New Roman" w:cs="Times New Roman" w:eastAsia="Times New Roman" w:hAnsi="Times New Roman"/>
          <w:b/>
          <w:bCs/>
          <w:color w:val="1B2A4A"/>
          <w:sz w:val="22"/>
          <w:szCs w:val="22"/>
        </w:rPr>
        <w:t xml:space="preserve">1.11.a Right to Bear Arms: </w:t>
      </w:r>
      <w:r>
        <w:rPr>
          <w:rFonts w:ascii="Times New Roman" w:cs="Times New Roman" w:eastAsia="Times New Roman" w:hAnsi="Times New Roman"/>
          <w:color w:val="000000"/>
          <w:sz w:val="22"/>
          <w:szCs w:val="22"/>
        </w:rPr>
        <w:t xml:space="preserve">The right to keep and bear arms for personal defense and hunting must not be infringed.</w:t>
      </w:r>
    </w:p>
    <w:p>
      <w:pPr>
        <w:spacing w:after="60" w:before="60" w:line="280" w:lineRule="auto"/>
        <w:jc w:val="both"/>
      </w:pPr>
      <w:r>
        <w:rPr>
          <w:rFonts w:ascii="Times New Roman" w:cs="Times New Roman" w:eastAsia="Times New Roman" w:hAnsi="Times New Roman"/>
          <w:b/>
          <w:bCs/>
          <w:color w:val="1B2A4A"/>
          <w:sz w:val="22"/>
          <w:szCs w:val="22"/>
        </w:rPr>
        <w:t xml:space="preserve">1.11.b State Licensing Latitude: </w:t>
      </w:r>
      <w:r>
        <w:rPr>
          <w:rFonts w:ascii="Times New Roman" w:cs="Times New Roman" w:eastAsia="Times New Roman" w:hAnsi="Times New Roman"/>
          <w:color w:val="000000"/>
          <w:sz w:val="22"/>
          <w:szCs w:val="22"/>
        </w:rPr>
        <w:t xml:space="preserve">States may establish licensing requirements and require basic firearms safety training as a condition of carrying or possessing firearms within their jurisdiction. This latitude reflects the principle that competency and safety are legitimate State interests. Requirements are expected to be proportionate to purpose — lighter for firearms used primarily for self-defense and hunting. States and local governments determine what constitutes basic safety training and appropriate licensing processes.</w:t>
      </w:r>
    </w:p>
    <w:p>
      <w:pPr>
        <w:spacing w:after="60" w:before="60" w:line="280" w:lineRule="auto"/>
        <w:jc w:val="both"/>
      </w:pPr>
      <w:r>
        <w:rPr>
          <w:rFonts w:ascii="Times New Roman" w:cs="Times New Roman" w:eastAsia="Times New Roman" w:hAnsi="Times New Roman"/>
          <w:b/>
          <w:bCs/>
          <w:color w:val="1B2A4A"/>
          <w:sz w:val="22"/>
          <w:szCs w:val="22"/>
        </w:rPr>
        <w:t xml:space="preserve">1.11.c Non-Prohibition Principle: </w:t>
      </w:r>
      <w:r>
        <w:rPr>
          <w:rFonts w:ascii="Times New Roman" w:cs="Times New Roman" w:eastAsia="Times New Roman" w:hAnsi="Times New Roman"/>
          <w:color w:val="000000"/>
          <w:sz w:val="22"/>
          <w:szCs w:val="22"/>
        </w:rPr>
        <w:t xml:space="preserve">No State licensing or training requirement may function as an effective prohibition on the right to keep and bear arms. A requirement is an effective prohibition if it imposes costs, delays, or conditions that make lawful ownership practically inaccessible to ordinary citizens. The burden of proof lies with the State to demonstrate that any challenged requirement is proportionate, non-discriminatory, and genuinely serves a safety purpose. Courts determine whether a requirement crosses this line on a case-by-case basis.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1.12 — Freedom of Movement and Labor</w:t>
      </w:r>
    </w:p>
    <w:p>
      <w:pPr>
        <w:spacing w:after="60" w:before="60" w:line="280" w:lineRule="auto"/>
        <w:jc w:val="both"/>
      </w:pPr>
      <w:r>
        <w:rPr>
          <w:rFonts w:ascii="Times New Roman" w:cs="Times New Roman" w:eastAsia="Times New Roman" w:hAnsi="Times New Roman"/>
          <w:color w:val="000000"/>
          <w:sz w:val="22"/>
          <w:szCs w:val="22"/>
        </w:rPr>
        <w:t xml:space="preserve">All Inhabitants have the right to travel and reside anywhere within the Republic. The State may not create barriers to labor through state-specific professional licensing requirements or residency restrictions on professional practice. Professional licenses issued under State law are recognized throughout the Republic under §4.4.c. The Citizen Voting Credential serves as the universal civic credential for electoral participation across all States and Territories.</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form, join, and participate in trade unions and other workers' organizations for the purpose of protecting and advancing their employment interests. The right to collective bargaining is protected. Workers may not be dismissed, penalized, or discriminated against for exercising these rights. The right to strike as a collective work stoppage in support of legitimate labor interests is protected, subject to reasonable regulation by House statute to protect essential services. No law may prohibit the existence of trade unions.</w:t>
      </w:r>
    </w:p>
    <w:p>
      <w:pPr>
        <w:spacing w:after="100" w:before="280"/>
        <w:jc w:val="center"/>
      </w:pPr>
      <w:r>
        <w:rPr>
          <w:rFonts w:ascii="Times New Roman" w:cs="Times New Roman" w:eastAsia="Times New Roman" w:hAnsi="Times New Roman"/>
          <w:i/>
          <w:iCs/>
          <w:color w:val="7A7060"/>
          <w:sz w:val="18"/>
          <w:szCs w:val="18"/>
        </w:rPr>
        <w:t xml:space="preserve">—  Part E — Criminal Justice Rights (§§ 1.13 – 1.18)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1.13 — Right Against Arbitrary Detention</w:t>
      </w:r>
    </w:p>
    <w:p>
      <w:pPr>
        <w:spacing w:after="60" w:before="60" w:line="280" w:lineRule="auto"/>
        <w:jc w:val="both"/>
      </w:pPr>
      <w:r>
        <w:rPr>
          <w:rFonts w:ascii="Times New Roman" w:cs="Times New Roman" w:eastAsia="Times New Roman" w:hAnsi="Times New Roman"/>
          <w:color w:val="000000"/>
          <w:sz w:val="22"/>
          <w:szCs w:val="22"/>
        </w:rPr>
        <w:t xml:space="preserve">Any person detained or arrested by the State has two constitutionally guaranteed judicial rights that no executive, military authority, or emergency declaration may suspend or delay. Both are permanently unamendable under §15.3.</w:t>
      </w:r>
    </w:p>
    <w:p>
      <w:pPr>
        <w:spacing w:after="60" w:before="60" w:line="280" w:lineRule="auto"/>
        <w:jc w:val="both"/>
      </w:pPr>
      <w:r>
        <w:rPr>
          <w:rFonts w:ascii="Times New Roman" w:cs="Times New Roman" w:eastAsia="Times New Roman" w:hAnsi="Times New Roman"/>
          <w:b/>
          <w:bCs/>
          <w:color w:val="1B2A4A"/>
          <w:sz w:val="22"/>
          <w:szCs w:val="22"/>
        </w:rPr>
        <w:t xml:space="preserve">1.13.a First Appearance: </w:t>
      </w:r>
      <w:r>
        <w:rPr>
          <w:rFonts w:ascii="Times New Roman" w:cs="Times New Roman" w:eastAsia="Times New Roman" w:hAnsi="Times New Roman"/>
          <w:color w:val="000000"/>
          <w:sz w:val="22"/>
          <w:szCs w:val="22"/>
        </w:rPr>
        <w:t xml:space="preserve">Any arrested person must be brought before a judge within 24 hours of arrest. At the First Appearance, the judge must: confirm that the person has been informed of their charges and has counsel assigned; determine whether there is lawful basis for continued detention; and rule on bail under §1.15.b. The First Appearance is not a trial and does not determine guilt. It is a mandatory judicial gate on the State's power to hold a person. No investigative convenience, resource constraint, or emergency justifies delay beyond 24 hours.</w:t>
      </w:r>
    </w:p>
    <w:p>
      <w:pPr>
        <w:spacing w:after="60" w:before="60" w:line="280" w:lineRule="auto"/>
        <w:jc w:val="both"/>
      </w:pPr>
      <w:r>
        <w:rPr>
          <w:rFonts w:ascii="Times New Roman" w:cs="Times New Roman" w:eastAsia="Times New Roman" w:hAnsi="Times New Roman"/>
          <w:b/>
          <w:bCs/>
          <w:color w:val="1B2A4A"/>
          <w:sz w:val="22"/>
          <w:szCs w:val="22"/>
        </w:rPr>
        <w:t xml:space="preserve">1.13.b Habeas Corpus Response Deadline: </w:t>
      </w:r>
      <w:r>
        <w:rPr>
          <w:rFonts w:ascii="Times New Roman" w:cs="Times New Roman" w:eastAsia="Times New Roman" w:hAnsi="Times New Roman"/>
          <w:color w:val="000000"/>
          <w:sz w:val="22"/>
          <w:szCs w:val="22"/>
        </w:rPr>
        <w:t xml:space="preserve">A court receiving a petition for habeas corpus must rule within 48 hours of the petition being filed. No procedural rule, court schedule, or government action may extend this deadline. A court that fails to rule within 48 hours is deemed to have found the detention unlawful; the detained person must be released or brought before a judicial officer immediately.</w:t>
      </w:r>
    </w:p>
    <w:p>
      <w:pPr>
        <w:spacing w:after="60" w:before="60" w:line="280" w:lineRule="auto"/>
        <w:jc w:val="both"/>
      </w:pPr>
      <w:r>
        <w:rPr>
          <w:rFonts w:ascii="Times New Roman" w:cs="Times New Roman" w:eastAsia="Times New Roman" w:hAnsi="Times New Roman"/>
          <w:b/>
          <w:bCs/>
          <w:color w:val="1B2A4A"/>
          <w:sz w:val="22"/>
          <w:szCs w:val="22"/>
        </w:rPr>
        <w:t xml:space="preserve">1.13.c Habeas Corpus: </w:t>
      </w:r>
      <w:r>
        <w:rPr>
          <w:rFonts w:ascii="Times New Roman" w:cs="Times New Roman" w:eastAsia="Times New Roman" w:hAnsi="Times New Roman"/>
          <w:color w:val="000000"/>
          <w:sz w:val="22"/>
          <w:szCs w:val="22"/>
        </w:rPr>
        <w:t xml:space="preserve">Any person detained by the State has the absolute right to challenge the lawfulness of their confinement before a judge at any time during their detention. The judge must either confirm lawful grounds or order immediate and unconditional release. Habeas Corpus is available as a continuous remedy, independent of and in addition to the First Appearance right.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1.14 — Right to Counsel and to Be Informed</w:t>
      </w:r>
    </w:p>
    <w:p>
      <w:pPr>
        <w:spacing w:after="60" w:before="60" w:line="280" w:lineRule="auto"/>
        <w:jc w:val="both"/>
      </w:pPr>
      <w:r>
        <w:rPr>
          <w:rFonts w:ascii="Times New Roman" w:cs="Times New Roman" w:eastAsia="Times New Roman" w:hAnsi="Times New Roman"/>
          <w:b/>
          <w:bCs/>
          <w:color w:val="1B2A4A"/>
          <w:sz w:val="22"/>
          <w:szCs w:val="22"/>
        </w:rPr>
        <w:t xml:space="preserve">1.14.a Right to Counsel: </w:t>
      </w:r>
      <w:r>
        <w:rPr>
          <w:rFonts w:ascii="Times New Roman" w:cs="Times New Roman" w:eastAsia="Times New Roman" w:hAnsi="Times New Roman"/>
          <w:color w:val="000000"/>
          <w:sz w:val="22"/>
          <w:szCs w:val="22"/>
        </w:rPr>
        <w:t xml:space="preserve">Any person accused of a crime or subject to detention has the right to retain and instruct legal counsel without delay from the moment of accusation or detention, communicated immediately in plain language before any questioning begins. Where a person cannot afford counsel, the Republic provides qualified counsel at no cost. The obligation to provide counsel means providing counsel with adequate time and resources to prepare a genuine defense — not merely the formal assignment of a lawyer.</w:t>
      </w:r>
    </w:p>
    <w:p>
      <w:pPr>
        <w:spacing w:after="60" w:before="60" w:line="280" w:lineRule="auto"/>
        <w:jc w:val="both"/>
      </w:pPr>
      <w:r>
        <w:rPr>
          <w:rFonts w:ascii="Times New Roman" w:cs="Times New Roman" w:eastAsia="Times New Roman" w:hAnsi="Times New Roman"/>
          <w:b/>
          <w:bCs/>
          <w:color w:val="1B2A4A"/>
          <w:sz w:val="22"/>
          <w:szCs w:val="22"/>
        </w:rPr>
        <w:t xml:space="preserve">1.14.b Caseload Guarantee: </w:t>
      </w:r>
      <w:r>
        <w:rPr>
          <w:rFonts w:ascii="Times New Roman" w:cs="Times New Roman" w:eastAsia="Times New Roman" w:hAnsi="Times New Roman"/>
          <w:color w:val="000000"/>
          <w:sz w:val="22"/>
          <w:szCs w:val="22"/>
        </w:rPr>
        <w:t xml:space="preserve">the Legislature must by statute establish maximum caseload limits for publicly funded defense counsel and minimum resourcing standards equivalent to those of prosecutorial offices. A defendant who demonstrates that their publicly funded counsel lacked adequate time or resources to mount a genuine defense may raise inadequate representation as grounds for case dismissal or retrial. The Executive Inspectorate reports annually on the adequacy of public defense resources. This obligation is self-executing: in the absence of statutory caseload limits, a finding of constitutionally inadequate representation is available as a direct constitutional defence to any defendant who demonstrates that the volume of cases assigned to their counsel prevented genuine preparation of their defence. A court finding inadequate representation under this default must either appoint substitute counsel or grant such relief as is necessary to cure the constitutional deficiency.</w:t>
      </w:r>
    </w:p>
    <w:p>
      <w:pPr>
        <w:spacing w:after="60" w:before="60" w:line="280" w:lineRule="auto"/>
        <w:jc w:val="both"/>
      </w:pPr>
      <w:r>
        <w:rPr>
          <w:rFonts w:ascii="Times New Roman" w:cs="Times New Roman" w:eastAsia="Times New Roman" w:hAnsi="Times New Roman"/>
          <w:b/>
          <w:bCs/>
          <w:color w:val="1B2A4A"/>
          <w:sz w:val="22"/>
          <w:szCs w:val="22"/>
        </w:rPr>
        <w:t xml:space="preserve">1.14.c Right to Be Informed of Charges: </w:t>
      </w:r>
      <w:r>
        <w:rPr>
          <w:rFonts w:ascii="Times New Roman" w:cs="Times New Roman" w:eastAsia="Times New Roman" w:hAnsi="Times New Roman"/>
          <w:color w:val="000000"/>
          <w:sz w:val="22"/>
          <w:szCs w:val="22"/>
        </w:rPr>
        <w:t xml:space="preserve">Any person detained or accused must be informed promptly, in plain language, of the precise nature and legal grounds of their detention or charges before any questioning begins. This must be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1.14.d Right to Full Disclosure: </w:t>
      </w:r>
      <w:r>
        <w:rPr>
          <w:rFonts w:ascii="Times New Roman" w:cs="Times New Roman" w:eastAsia="Times New Roman" w:hAnsi="Times New Roman"/>
          <w:color w:val="000000"/>
          <w:sz w:val="22"/>
          <w:szCs w:val="22"/>
        </w:rPr>
        <w:t xml:space="preserve">Any accused person has the right to full disclosure of all State evidence, including exculpatory evidence, before trial. Willful withholding of exculpatory evidence is grounds for immediate dismissal of the case and is reported to the National Record System by the relevant Inspectorate.7.</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1.15 — Due Process</w:t>
      </w:r>
    </w:p>
    <w:p>
      <w:pPr>
        <w:spacing w:after="60" w:before="60" w:line="280" w:lineRule="auto"/>
        <w:jc w:val="both"/>
      </w:pPr>
      <w:r>
        <w:rPr>
          <w:rFonts w:ascii="Times New Roman" w:cs="Times New Roman" w:eastAsia="Times New Roman" w:hAnsi="Times New Roman"/>
          <w:b/>
          <w:bCs/>
          <w:color w:val="1B2A4A"/>
          <w:sz w:val="22"/>
          <w:szCs w:val="22"/>
        </w:rPr>
        <w:t xml:space="preserve">1.15.a Speedy Trial Principle: </w:t>
      </w:r>
      <w:r>
        <w:rPr>
          <w:rFonts w:ascii="Times New Roman" w:cs="Times New Roman" w:eastAsia="Times New Roman" w:hAnsi="Times New Roman"/>
          <w:color w:val="000000"/>
          <w:sz w:val="22"/>
          <w:szCs w:val="22"/>
        </w:rPr>
        <w:t xml:space="preserve">Every accused person has the right to trial without unreasonable delay. What constitutes unreasonable delay is determined by the court in light of the complexity of the charges, the volume of evidence, and the conduct of both parties. Prosecution-caused delay is presumptively unreasonable. Defendant-requested delay, competency evaluation proceedings, and defendant flight are excluded from the calculation. A court finding of unreasonable prosecution-caused delay is grounds for dismissal with prejudice.</w:t>
      </w:r>
    </w:p>
    <w:p>
      <w:pPr>
        <w:spacing w:after="60" w:before="60" w:line="280" w:lineRule="auto"/>
        <w:jc w:val="both"/>
      </w:pPr>
      <w:r>
        <w:rPr>
          <w:rFonts w:ascii="Times New Roman" w:cs="Times New Roman" w:eastAsia="Times New Roman" w:hAnsi="Times New Roman"/>
          <w:b/>
          <w:bCs/>
          <w:color w:val="1B2A4A"/>
          <w:sz w:val="22"/>
          <w:szCs w:val="22"/>
        </w:rPr>
        <w:t xml:space="preserve">1.15.b Bail Proportionality: </w:t>
      </w:r>
      <w:r>
        <w:rPr>
          <w:rFonts w:ascii="Times New Roman" w:cs="Times New Roman" w:eastAsia="Times New Roman" w:hAnsi="Times New Roman"/>
          <w:color w:val="000000"/>
          <w:sz w:val="22"/>
          <w:szCs w:val="22"/>
        </w:rPr>
        <w:t xml:space="preserve">Pre-trial detention may only be ordered where the court makes a specific, individualized finding of: a genuine and material risk of flight that cannot be mitigated by conditions of release; or a specific and articulable danger to an identifiable person or the public that cannot be mitigated by conditions of release. Detention solely because a defendant cannot afford a financial bail amount is prohibited. The financial resources of the defendant may not determine whether they are detained pre-trial.</w:t>
      </w:r>
    </w:p>
    <w:p>
      <w:pPr>
        <w:spacing w:after="60" w:before="60" w:line="280" w:lineRule="auto"/>
        <w:jc w:val="both"/>
      </w:pPr>
      <w:r>
        <w:rPr>
          <w:rFonts w:ascii="Times New Roman" w:cs="Times New Roman" w:eastAsia="Times New Roman" w:hAnsi="Times New Roman"/>
          <w:b/>
          <w:bCs/>
          <w:color w:val="1B2A4A"/>
          <w:sz w:val="22"/>
          <w:szCs w:val="22"/>
        </w:rPr>
        <w:t xml:space="preserve">1.15.c Protection from Trial Penalties: </w:t>
      </w:r>
      <w:r>
        <w:rPr>
          <w:rFonts w:ascii="Times New Roman" w:cs="Times New Roman" w:eastAsia="Times New Roman" w:hAnsi="Times New Roman"/>
          <w:color w:val="000000"/>
          <w:sz w:val="22"/>
          <w:szCs w:val="22"/>
        </w:rPr>
        <w:t xml:space="preserve">The right to trial may not be penalised through enhanced sentencing or prosecutorial retaliation. the Legislature must by statute define specific protections against charging decisions and sentencing recommendations made solely on the basis of a defendant's exercise of the right to trial. Violation of statutory protections under this provision is grounds for case dismissal or sentence reduction at the court's discretion and is reported to the National Record System by the relevant Inspectorate.7 against responsible officials. This obligation is self-executing: in the absence of a statute, no prosecutorial decision regarding charges, no plea offer, and no sentencing determination may reference, directly or indirectly, a defendant's exercise of their right to trial as a factor. Any evidence that the exercise of the trial right was treated as a negative factor in charging or sentencing constitutes a constitutional violation remediable by the court on application.</w:t>
      </w:r>
    </w:p>
    <w:p>
      <w:pPr>
        <w:spacing w:after="60" w:before="60" w:line="280" w:lineRule="auto"/>
        <w:jc w:val="both"/>
      </w:pPr>
      <w:r>
        <w:rPr>
          <w:rFonts w:ascii="Times New Roman" w:cs="Times New Roman" w:eastAsia="Times New Roman" w:hAnsi="Times New Roman"/>
          <w:b/>
          <w:bCs/>
          <w:color w:val="1B2A4A"/>
          <w:sz w:val="22"/>
          <w:szCs w:val="22"/>
        </w:rPr>
        <w:t xml:space="preserve">1.15.d Source Code Right: </w:t>
      </w:r>
      <w:r>
        <w:rPr>
          <w:rFonts w:ascii="Times New Roman" w:cs="Times New Roman" w:eastAsia="Times New Roman" w:hAnsi="Times New Roman"/>
          <w:color w:val="000000"/>
          <w:sz w:val="22"/>
          <w:szCs w:val="22"/>
        </w:rPr>
        <w:t xml:space="preserve">Any accused person has the right to inspect, challenge, and rebut any algorithm, source code, or raw dataset used as evidence or to generate a score influencing their case.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1.16 — Right to Silence and Protection from Self-Incrimination</w:t>
      </w:r>
    </w:p>
    <w:p>
      <w:pPr>
        <w:spacing w:after="60" w:before="60" w:line="280" w:lineRule="auto"/>
        <w:jc w:val="both"/>
      </w:pPr>
      <w:r>
        <w:rPr>
          <w:rFonts w:ascii="Times New Roman" w:cs="Times New Roman" w:eastAsia="Times New Roman" w:hAnsi="Times New Roman"/>
          <w:color w:val="000000"/>
          <w:sz w:val="22"/>
          <w:szCs w:val="22"/>
        </w:rPr>
        <w:t xml:space="preserve">No person may be compelled to testify or produce evidence against themselves in any criminal proceeding or civil proceeding where they face potential criminal liability. The right to silence applies at all stages of investigation, detention, and trial. Silence may not be used as evidence of guilt or treated as an adverse inference against the accused.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1.17 — Right to a Public Trial</w:t>
      </w:r>
    </w:p>
    <w:p>
      <w:pPr>
        <w:spacing w:after="60" w:before="60" w:line="280" w:lineRule="auto"/>
        <w:jc w:val="both"/>
      </w:pPr>
      <w:r>
        <w:rPr>
          <w:rFonts w:ascii="Times New Roman" w:cs="Times New Roman" w:eastAsia="Times New Roman" w:hAnsi="Times New Roman"/>
          <w:color w:val="000000"/>
          <w:sz w:val="22"/>
          <w:szCs w:val="22"/>
        </w:rPr>
        <w:t xml:space="preserve">Every accused person has the right to a trial open to the public and the press. No criminal proceeding may be conducted in secret. A judge may order limited closure only to protect an identifiable victim, a minor, or an ongoing investigation — for the minimum scope and duration necessary. The existence of the proceeding, the charges, and the ultimate outcome must always be made public and recorded on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1.18 — Retroactivity and Double Jeopardy</w:t>
      </w:r>
    </w:p>
    <w:p>
      <w:pPr>
        <w:spacing w:after="60" w:before="60" w:line="280" w:lineRule="auto"/>
        <w:jc w:val="both"/>
      </w:pPr>
      <w:r>
        <w:rPr>
          <w:rFonts w:ascii="Times New Roman" w:cs="Times New Roman" w:eastAsia="Times New Roman" w:hAnsi="Times New Roman"/>
          <w:b/>
          <w:bCs/>
          <w:color w:val="1B2A4A"/>
          <w:sz w:val="22"/>
          <w:szCs w:val="22"/>
        </w:rPr>
        <w:t xml:space="preserve">1.18.a No Retroactive Criminal Laws: </w:t>
      </w:r>
      <w:r>
        <w:rPr>
          <w:rFonts w:ascii="Times New Roman" w:cs="Times New Roman" w:eastAsia="Times New Roman" w:hAnsi="Times New Roman"/>
          <w:color w:val="000000"/>
          <w:sz w:val="22"/>
          <w:szCs w:val="22"/>
        </w:rPr>
        <w:t xml:space="preserve">No person may be convicted of an act not defined as a criminal offense at the time it was committed. No penalty may exceed that applicable when the offense. Laws that reduce a penalty apply retroactively to the benefit of the accused.</w:t>
      </w:r>
    </w:p>
    <w:p>
      <w:pPr>
        <w:spacing w:after="60" w:before="60" w:line="280" w:lineRule="auto"/>
        <w:jc w:val="both"/>
      </w:pPr>
      <w:r>
        <w:rPr>
          <w:rFonts w:ascii="Times New Roman" w:cs="Times New Roman" w:eastAsia="Times New Roman" w:hAnsi="Times New Roman"/>
          <w:b/>
          <w:bCs/>
          <w:color w:val="1B2A4A"/>
          <w:sz w:val="22"/>
          <w:szCs w:val="22"/>
        </w:rPr>
        <w:t xml:space="preserve">1.18.b Double Jeopardy: </w:t>
      </w:r>
      <w:r>
        <w:rPr>
          <w:rFonts w:ascii="Times New Roman" w:cs="Times New Roman" w:eastAsia="Times New Roman" w:hAnsi="Times New Roman"/>
          <w:color w:val="000000"/>
          <w:sz w:val="22"/>
          <w:szCs w:val="22"/>
        </w:rPr>
        <w:t xml:space="preserve">No person may be tried or punished more than once for the same offense arising from the same facts. An acquittal, conviction, or dismissal with prejudice is final across all States and jurisdictions of the Republic. The recognition of criminal judgments across jurisdictions is governed by the general interstate recognition framework of §4.4.</w:t>
      </w:r>
    </w:p>
    <w:p>
      <w:pPr>
        <w:spacing w:after="100" w:before="280"/>
        <w:jc w:val="center"/>
      </w:pPr>
      <w:r>
        <w:rPr>
          <w:rFonts w:ascii="Times New Roman" w:cs="Times New Roman" w:eastAsia="Times New Roman" w:hAnsi="Times New Roman"/>
          <w:i/>
          <w:iCs/>
          <w:color w:val="7A7060"/>
          <w:sz w:val="18"/>
          <w:szCs w:val="18"/>
        </w:rPr>
        <w:t xml:space="preserve">—  Part F — Social and Community Rights (§§ 1.20 – 1.24)  —</w:t>
      </w:r>
    </w:p>
    <w:p>
      <w:pPr>
        <w:spacing w:after="60" w:before="60" w:line="280" w:lineRule="auto"/>
        <w:jc w:val="both"/>
      </w:pPr>
      <w:r>
        <w:rPr>
          <w:rFonts w:ascii="Times New Roman" w:cs="Times New Roman" w:eastAsia="Times New Roman" w:hAnsi="Times New Roman"/>
          <w:color w:val="000000"/>
          <w:sz w:val="22"/>
          <w:szCs w:val="22"/>
        </w:rPr>
        <w:t xml:space="preserve">—  Part F (preface) — Democratic and Participation Rights (§ 1.19)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1.19 — Right to Democratic Participation</w:t>
      </w:r>
    </w:p>
    <w:p>
      <w:pPr>
        <w:spacing w:after="60" w:before="60" w:line="280" w:lineRule="auto"/>
        <w:jc w:val="both"/>
      </w:pPr>
      <w:r>
        <w:rPr>
          <w:rFonts w:ascii="Times New Roman" w:cs="Times New Roman" w:eastAsia="Times New Roman" w:hAnsi="Times New Roman"/>
          <w:b/>
          <w:bCs/>
          <w:color w:val="1B2A4A"/>
          <w:sz w:val="22"/>
          <w:szCs w:val="22"/>
        </w:rPr>
        <w:t xml:space="preserve">1.19 Suffrage and Candidacy: </w:t>
      </w:r>
      <w:r>
        <w:rPr>
          <w:rFonts w:ascii="Times New Roman" w:cs="Times New Roman" w:eastAsia="Times New Roman" w:hAnsi="Times New Roman"/>
          <w:color w:val="000000"/>
          <w:sz w:val="22"/>
          <w:szCs w:val="22"/>
        </w:rPr>
        <w:t xml:space="preserve">Every citizen has the right to vote in all elections and referenda for which they are eligible under this Constitution. This right may not be suspended, conditioned, or abridged except by the specific eligibility requirements of Articles V and XVI. No government action — legislative, executive, or administrative — may make voting materially more difficult, costly, or time-consuming for any class of eligible citizens. Voting must be free at the point of participation. The right to stand for election is coextensive with the right to vote — any citizen eligible to vote in an election is eligible to stand as a candidate in that election unless this Constitution specifies otherwise.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1.20 — Right to Marry and Found a Family</w:t>
      </w:r>
    </w:p>
    <w:p>
      <w:pPr>
        <w:spacing w:after="60" w:before="60" w:line="280" w:lineRule="auto"/>
        <w:jc w:val="both"/>
      </w:pPr>
      <w:r>
        <w:rPr>
          <w:rFonts w:ascii="Times New Roman" w:cs="Times New Roman" w:eastAsia="Times New Roman" w:hAnsi="Times New Roman"/>
          <w:color w:val="000000"/>
          <w:sz w:val="22"/>
          <w:szCs w:val="22"/>
        </w:rPr>
        <w:t xml:space="preserve">Every adult has the right to marry a consenting adult partner of their choosing and to found a family. No law may prohibit or impose conditions on marriage based on the sex, race, religion, national origin, or sexual orientation of either party. The State may not interfere in the internal life of a family except where necessary to protect the rights of individual members under this Article.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1.21 — Rights of Children</w:t>
      </w:r>
    </w:p>
    <w:p>
      <w:pPr>
        <w:spacing w:after="60" w:before="60" w:line="280" w:lineRule="auto"/>
        <w:jc w:val="both"/>
      </w:pPr>
      <w:r>
        <w:rPr>
          <w:rFonts w:ascii="Times New Roman" w:cs="Times New Roman" w:eastAsia="Times New Roman" w:hAnsi="Times New Roman"/>
          <w:color w:val="000000"/>
          <w:sz w:val="22"/>
          <w:szCs w:val="22"/>
        </w:rPr>
        <w:t xml:space="preserve">Every child has the right to protection from exploitation, abuse, and neglect. In all State actions affecting minors, the welfare and best interests of the child are the primary consideration. The prohibitions on forced labor (§1.3) and torture (§1.2) apply without exception to all persons under the age of 18.</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1.22 — Environmental Accountability and Stewardship</w:t>
      </w:r>
    </w:p>
    <w:p>
      <w:pPr>
        <w:spacing w:after="60" w:before="60" w:line="280" w:lineRule="auto"/>
        <w:jc w:val="both"/>
      </w:pPr>
      <w:r>
        <w:rPr>
          <w:rFonts w:ascii="Times New Roman" w:cs="Times New Roman" w:eastAsia="Times New Roman" w:hAnsi="Times New Roman"/>
          <w:b/>
          <w:bCs/>
          <w:color w:val="1B2A4A"/>
          <w:sz w:val="22"/>
          <w:szCs w:val="22"/>
        </w:rPr>
        <w:t xml:space="preserve">1.22.a Government Non-Harm: </w:t>
      </w:r>
      <w:r>
        <w:rPr>
          <w:rFonts w:ascii="Times New Roman" w:cs="Times New Roman" w:eastAsia="Times New Roman" w:hAnsi="Times New Roman"/>
          <w:color w:val="000000"/>
          <w:sz w:val="22"/>
          <w:szCs w:val="22"/>
        </w:rPr>
        <w:t xml:space="preserve">No government authority may knowingly expose any community of Inhabitants to environmental contamination and conceal that knowledge from them. Where a government authority knows of environmental contamination caused or permitted by its actions, it must immediately publish that knowledge to the National Record System, notify affected communities directly, and produce a binding remediation plan within a period the Legislature defines by statute. The Legislature may not define remediation timelines that indefinitely defer the obligation — timelines must be proportionate to the nature and scale of the contamination and technically achievable within that period. For any remediation extending beyond two years from the finding of contamination, the responsible party must publish annual progress reports to the National Record System; failure to publish constitutes a continuing violation of this Article. No official may authorize, direct, or participate in the concealment of government-caused or government-permitted environmental harm. Willful concealment triggers constitutional violation proceedings.</w:t>
      </w:r>
    </w:p>
    <w:p>
      <w:pPr>
        <w:spacing w:after="60" w:before="60" w:line="280" w:lineRule="auto"/>
        <w:jc w:val="both"/>
      </w:pPr>
      <w:r>
        <w:rPr>
          <w:rFonts w:ascii="Times New Roman" w:cs="Times New Roman" w:eastAsia="Times New Roman" w:hAnsi="Times New Roman"/>
          <w:b/>
          <w:bCs/>
          <w:color w:val="1B2A4A"/>
          <w:sz w:val="22"/>
          <w:szCs w:val="22"/>
        </w:rPr>
        <w:t xml:space="preserve">1.22.b Environmental Stewardship: </w:t>
      </w:r>
      <w:r>
        <w:rPr>
          <w:rFonts w:ascii="Times New Roman" w:cs="Times New Roman" w:eastAsia="Times New Roman" w:hAnsi="Times New Roman"/>
          <w:color w:val="000000"/>
          <w:sz w:val="22"/>
          <w:szCs w:val="22"/>
        </w:rPr>
        <w:t xml:space="preserve">The long-term stewardship of the Republic's natural environment — its lands, waters, air, and living systems — is a constitutional obligation addressed through the National Trust established under §17.4 of this Constitution. This section governs the government's immediate accountability to citizens for environmental harm; it does not create a general regulatory mandate over private conduct.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1.23 — Federal Education Assistance and Constitutional Literacy</w:t>
      </w:r>
    </w:p>
    <w:p>
      <w:pPr>
        <w:spacing w:after="60" w:before="60" w:line="280" w:lineRule="auto"/>
        <w:jc w:val="both"/>
      </w:pPr>
      <w:r>
        <w:rPr>
          <w:rFonts w:ascii="Times New Roman" w:cs="Times New Roman" w:eastAsia="Times New Roman" w:hAnsi="Times New Roman"/>
          <w:b/>
          <w:bCs/>
          <w:color w:val="1B2A4A"/>
          <w:sz w:val="22"/>
          <w:szCs w:val="22"/>
        </w:rPr>
        <w:t xml:space="preserve">1.23.a Federal Education Assistance: </w:t>
      </w:r>
      <w:r>
        <w:rPr>
          <w:rFonts w:ascii="Times New Roman" w:cs="Times New Roman" w:eastAsia="Times New Roman" w:hAnsi="Times New Roman"/>
          <w:color w:val="000000"/>
          <w:sz w:val="22"/>
          <w:szCs w:val="22"/>
        </w:rPr>
        <w:t xml:space="preserve">The Republic must provide adequate education assistance to States and Territories through the Basic Needs Floor (§10.1) to support the provision of free basic education through the secondary level. No child within the jurisdiction of the Republic may be denied access to publicly funded education on grounds of citizenship status, national origin, disability, or any characteristic enumerated in §1.8. Education is recognized as fundamental to democratic self-governance and to the Republic's long-term security — an uneducated citizenry cannot sustain constitutional government.</w:t>
      </w:r>
    </w:p>
    <w:p>
      <w:pPr>
        <w:spacing w:after="60" w:before="60" w:line="280" w:lineRule="auto"/>
        <w:jc w:val="both"/>
      </w:pPr>
      <w:r>
        <w:rPr>
          <w:rFonts w:ascii="Times New Roman" w:cs="Times New Roman" w:eastAsia="Times New Roman" w:hAnsi="Times New Roman"/>
          <w:b/>
          <w:bCs/>
          <w:color w:val="1B2A4A"/>
          <w:sz w:val="22"/>
          <w:szCs w:val="22"/>
        </w:rPr>
        <w:t xml:space="preserve">1.23.b Constitutional Literacy: </w:t>
      </w:r>
      <w:r>
        <w:rPr>
          <w:rFonts w:ascii="Times New Roman" w:cs="Times New Roman" w:eastAsia="Times New Roman" w:hAnsi="Times New Roman"/>
          <w:color w:val="000000"/>
          <w:sz w:val="22"/>
          <w:szCs w:val="22"/>
        </w:rPr>
        <w:t xml:space="preserve">The Republic's constitutional literacy standard for citizenship purposes is the Constitutional Logic Test established and maintained by the Senate under §5.4. States are responsible for determining how their publicly funded educational programs develop civic knowledge within their own curricula. The federal government's role is limited to: maintaining the CLT standard under §5.4, funding State and Territory education through the Basic Needs Floor under §10.1, and prohibiting exclusionary denial of access under §1.23.a.</w:t>
      </w:r>
    </w:p>
    <w:p>
      <w:pPr>
        <w:spacing w:after="60" w:before="60" w:line="280" w:lineRule="auto"/>
        <w:jc w:val="both"/>
      </w:pPr>
      <w:r>
        <w:rPr>
          <w:rFonts w:ascii="Times New Roman" w:cs="Times New Roman" w:eastAsia="Times New Roman" w:hAnsi="Times New Roman"/>
          <w:b/>
          <w:bCs/>
          <w:color w:val="1B2A4A"/>
          <w:sz w:val="22"/>
          <w:szCs w:val="22"/>
        </w:rPr>
        <w:t xml:space="preserve">1.23.c Parental Right: </w:t>
      </w:r>
      <w:r>
        <w:rPr>
          <w:rFonts w:ascii="Times New Roman" w:cs="Times New Roman" w:eastAsia="Times New Roman" w:hAnsi="Times New Roman"/>
          <w:color w:val="000000"/>
          <w:sz w:val="22"/>
          <w:szCs w:val="22"/>
        </w:rPr>
        <w:t xml:space="preserve">Parents retain the right to educate children through alternative means provided the same constitutional literacy and basic literacy standards established under §1.23.b are demonstrably met.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1.24 — Housing Access and Non-Exclusion</w:t>
      </w:r>
    </w:p>
    <w:p>
      <w:pPr>
        <w:spacing w:after="60" w:before="60" w:line="280" w:lineRule="auto"/>
        <w:jc w:val="both"/>
      </w:pPr>
      <w:r>
        <w:rPr>
          <w:rFonts w:ascii="Times New Roman" w:cs="Times New Roman" w:eastAsia="Times New Roman" w:hAnsi="Times New Roman"/>
          <w:b/>
          <w:bCs/>
          <w:color w:val="1B2A4A"/>
          <w:sz w:val="22"/>
          <w:szCs w:val="22"/>
        </w:rPr>
        <w:t xml:space="preserve">1.24.a Non-Exclusion Principle: </w:t>
      </w:r>
      <w:r>
        <w:rPr>
          <w:rFonts w:ascii="Times New Roman" w:cs="Times New Roman" w:eastAsia="Times New Roman" w:hAnsi="Times New Roman"/>
          <w:color w:val="000000"/>
          <w:sz w:val="22"/>
          <w:szCs w:val="22"/>
        </w:rPr>
        <w:t xml:space="preserve">No government authority — federal, State, or local — may use its regulatory or legislative power to systematically exclude any class of persons from access to housing on the basis of race, ethnicity, religion, national origin, sex, disability, family status, or economic circumstance. Zoning regulations, land use restrictions, building requirements, and permitting processes that function as effective exclusion of any protected class are unconstitutional regardless of facially neutral purpose.</w:t>
      </w:r>
    </w:p>
    <w:p>
      <w:pPr>
        <w:spacing w:after="60" w:before="60" w:line="280" w:lineRule="auto"/>
        <w:jc w:val="both"/>
      </w:pPr>
      <w:r>
        <w:rPr>
          <w:rFonts w:ascii="Times New Roman" w:cs="Times New Roman" w:eastAsia="Times New Roman" w:hAnsi="Times New Roman"/>
          <w:b/>
          <w:bCs/>
          <w:color w:val="1B2A4A"/>
          <w:sz w:val="22"/>
          <w:szCs w:val="22"/>
        </w:rPr>
        <w:t xml:space="preserve">1.24.b BNF Housing Obligation: </w:t>
      </w:r>
      <w:r>
        <w:rPr>
          <w:rFonts w:ascii="Times New Roman" w:cs="Times New Roman" w:eastAsia="Times New Roman" w:hAnsi="Times New Roman"/>
          <w:color w:val="000000"/>
          <w:sz w:val="22"/>
          <w:szCs w:val="22"/>
        </w:rPr>
        <w:t xml:space="preserve">The Republic's obligation to ensure housing access for persons who cannot independently afford adequate shelter is fulfilled through the Basic Needs Floor (§10.1), which constitutionally guarantees housing assistance among the funded basic needs. the Legislature defines housing adequacy standards by statute. The Monetary Authority certifies annually whether the BNF housing component is sufficient at current distribution levels. Where the MA certifies insufficiency, the Legislature must address the gap within one budget cycle.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1.25 — Emergency Derogation</w:t>
      </w:r>
    </w:p>
    <w:p>
      <w:pPr>
        <w:spacing w:after="60" w:before="60" w:line="280" w:lineRule="auto"/>
        <w:jc w:val="both"/>
      </w:pPr>
      <w:r>
        <w:rPr>
          <w:rFonts w:ascii="Times New Roman" w:cs="Times New Roman" w:eastAsia="Times New Roman" w:hAnsi="Times New Roman"/>
          <w:b/>
          <w:bCs/>
          <w:color w:val="1B2A4A"/>
          <w:sz w:val="22"/>
          <w:szCs w:val="22"/>
        </w:rPr>
        <w:t xml:space="preserve">1.25.a Declaration Requirements: </w:t>
      </w:r>
      <w:r>
        <w:rPr>
          <w:rFonts w:ascii="Times New Roman" w:cs="Times New Roman" w:eastAsia="Times New Roman" w:hAnsi="Times New Roman"/>
          <w:color w:val="000000"/>
          <w:sz w:val="22"/>
          <w:szCs w:val="22"/>
        </w:rPr>
        <w:t xml:space="preserve">In a state of war, armed invasion, or other national emergency that threatens the life of the Republic, the Republic may take measures temporarily limiting rights in this Article to the extent strictly and proportionately required by the exigency of the situation. Such measures may only be taken following a formal Declaration of National Emergency issued jointly by the President and Prime Minister and ratified by a 2/3 vote of both chambers within 7 days of issuance. The Declaration must specify: the nature of the emergency; the specific rights being limited; the duration, not to exceed 90 days; and the geographic scope, which must be the minimum necessary. A Declaration may be renewed for successive 90-day periods by the same 2/3 threshold.</w:t>
      </w:r>
    </w:p>
    <w:p>
      <w:pPr>
        <w:spacing w:after="60" w:before="60" w:line="280" w:lineRule="auto"/>
        <w:jc w:val="both"/>
      </w:pPr>
      <w:r>
        <w:rPr>
          <w:rFonts w:ascii="Times New Roman" w:cs="Times New Roman" w:eastAsia="Times New Roman" w:hAnsi="Times New Roman"/>
          <w:b/>
          <w:bCs/>
          <w:color w:val="1B2A4A"/>
          <w:sz w:val="22"/>
          <w:szCs w:val="22"/>
        </w:rPr>
        <w:t xml:space="preserve">1.25.b Non-Derogable Rights: </w:t>
      </w:r>
      <w:r>
        <w:rPr>
          <w:rFonts w:ascii="Times New Roman" w:cs="Times New Roman" w:eastAsia="Times New Roman" w:hAnsi="Times New Roman"/>
          <w:color w:val="000000"/>
          <w:sz w:val="22"/>
          <w:szCs w:val="22"/>
        </w:rPr>
        <w:t xml:space="preserve">No Declaration of National Emergency may limit, suspend, or qualify: the right to life (§1.1); the prohibition on torture and cruel treatment (§1.2); the prohibition on slavery and forced labor (§1.3); the right against arbitrary detention and the right to habeas corpus (§1.13); the right to a public trial (§1.17); the prohibition of retroactive laws (§1.18); or the prohibition on refoulement (§1.27). These rights are absolute and apply without exception regardless of any declared emergency. This list is exhaustive — all other Article I rights are subject to the proportionality standard of §1.25.a during a valid Declaration of National Emergency.</w:t>
      </w:r>
    </w:p>
    <w:p>
      <w:pPr>
        <w:spacing w:after="60" w:before="60" w:line="280" w:lineRule="auto"/>
        <w:jc w:val="both"/>
      </w:pPr>
      <w:r>
        <w:rPr>
          <w:rFonts w:ascii="Times New Roman" w:cs="Times New Roman" w:eastAsia="Times New Roman" w:hAnsi="Times New Roman"/>
          <w:b/>
          <w:bCs/>
          <w:color w:val="1B2A4A"/>
          <w:sz w:val="22"/>
          <w:szCs w:val="22"/>
        </w:rPr>
        <w:t xml:space="preserve">1.25.c Inspectorate Continuity: </w:t>
      </w:r>
      <w:r>
        <w:rPr>
          <w:rFonts w:ascii="Times New Roman" w:cs="Times New Roman" w:eastAsia="Times New Roman" w:hAnsi="Times New Roman"/>
          <w:color w:val="000000"/>
          <w:sz w:val="22"/>
          <w:szCs w:val="22"/>
        </w:rPr>
        <w:t xml:space="preserve">The three Inspectorates continue to operate with full constitutional authority throughout any declared emergency. No Declaration may restrict the Inspectorates' publication mandate, their audit authority, or their access to government records.</w:t>
      </w:r>
    </w:p>
    <w:p>
      <w:pPr>
        <w:spacing w:after="60" w:before="60" w:line="280" w:lineRule="auto"/>
        <w:jc w:val="both"/>
      </w:pPr>
      <w:r>
        <w:rPr>
          <w:rFonts w:ascii="Times New Roman" w:cs="Times New Roman" w:eastAsia="Times New Roman" w:hAnsi="Times New Roman"/>
          <w:b/>
          <w:bCs/>
          <w:color w:val="1B2A4A"/>
          <w:sz w:val="22"/>
          <w:szCs w:val="22"/>
        </w:rPr>
        <w:t xml:space="preserve">1.25.d Automatic Expiry and Judicial Review: </w:t>
      </w:r>
      <w:r>
        <w:rPr>
          <w:rFonts w:ascii="Times New Roman" w:cs="Times New Roman" w:eastAsia="Times New Roman" w:hAnsi="Times New Roman"/>
          <w:color w:val="000000"/>
          <w:sz w:val="22"/>
          <w:szCs w:val="22"/>
        </w:rPr>
        <w:t xml:space="preserve">Any emergency measure that is not renewed before its expiration date lapses automatically with no residual effect. The Supreme Court may review the proportionality of any emergency measure at any time on petition from any citizen. A measure found disproportionate to the actual exigency is immediately void.</w:t>
      </w:r>
    </w:p>
    <w:p>
      <w:pPr>
        <w:spacing w:after="60" w:before="60" w:line="280" w:lineRule="auto"/>
        <w:jc w:val="both"/>
      </w:pPr>
      <w:r>
        <w:rPr>
          <w:rFonts w:ascii="Times New Roman" w:cs="Times New Roman" w:eastAsia="Times New Roman" w:hAnsi="Times New Roman"/>
          <w:b/>
          <w:bCs/>
          <w:color w:val="1B2A4A"/>
          <w:sz w:val="22"/>
          <w:szCs w:val="22"/>
        </w:rPr>
        <w:t xml:space="preserve">1.25.e No Permanent Emergency: </w:t>
      </w:r>
      <w:r>
        <w:rPr>
          <w:rFonts w:ascii="Times New Roman" w:cs="Times New Roman" w:eastAsia="Times New Roman" w:hAnsi="Times New Roman"/>
          <w:color w:val="000000"/>
          <w:sz w:val="22"/>
          <w:szCs w:val="22"/>
        </w:rPr>
        <w:t xml:space="preserve">No emergency measure may be made permanent by parliamentary act. A measure that the Legislature wishes to retain beyond the emergency must go through the full legislative process as ordinary statute after the emergency Declaration has expired. An emergency measure enacted into statute without a new emergency Declaration is void. No emergency declaration may postpone, suspend, cancel, or alter the schedule of any election conducted under the National Voting System, including State elections, presidential elections, judicial elections, or referenda. Electoral processes continue during any declared emergency without modification. Any executive order or legislative act purporting to alter electoral schedules during a declared emergency is void and of no constitutional effect.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1.26 — Associated Community Residents</w:t>
      </w:r>
    </w:p>
    <w:p>
      <w:pPr>
        <w:spacing w:after="60" w:before="60" w:line="280" w:lineRule="auto"/>
        <w:jc w:val="both"/>
      </w:pPr>
      <w:r>
        <w:rPr>
          <w:rFonts w:ascii="Times New Roman" w:cs="Times New Roman" w:eastAsia="Times New Roman" w:hAnsi="Times New Roman"/>
          <w:b/>
          <w:bCs/>
          <w:color w:val="1B2A4A"/>
          <w:sz w:val="22"/>
          <w:szCs w:val="22"/>
        </w:rPr>
        <w:t xml:space="preserve">1.26 Associated Community Residents: </w:t>
      </w:r>
      <w:r>
        <w:rPr>
          <w:rFonts w:ascii="Times New Roman" w:cs="Times New Roman" w:eastAsia="Times New Roman" w:hAnsi="Times New Roman"/>
          <w:color w:val="000000"/>
          <w:sz w:val="22"/>
          <w:szCs w:val="22"/>
        </w:rPr>
        <w:t xml:space="preserve">Every person residing within the territory of any Associated Community operating under a compact with the Republic holds the full protections of Article I, enforceable directly by federal courts regardless of the Associated Community's internal governance structure. This protection extends to all Inhabitants within Associated Community territory as defined in the preamble to this Article. No compact provision may limit or qualify any Article I right for any resident of Associated Community territory.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1.27 — Non-Refoulement</w:t>
      </w:r>
    </w:p>
    <w:p>
      <w:pPr>
        <w:spacing w:after="60" w:before="60" w:line="280" w:lineRule="auto"/>
        <w:jc w:val="both"/>
      </w:pPr>
      <w:r>
        <w:rPr>
          <w:rFonts w:ascii="Times New Roman" w:cs="Times New Roman" w:eastAsia="Times New Roman" w:hAnsi="Times New Roman"/>
          <w:b/>
          <w:bCs/>
          <w:color w:val="1B2A4A"/>
          <w:sz w:val="22"/>
          <w:szCs w:val="22"/>
        </w:rPr>
        <w:t xml:space="preserve">1.27 Non-Refoulement: </w:t>
      </w:r>
      <w:r>
        <w:rPr>
          <w:rFonts w:ascii="Times New Roman" w:cs="Times New Roman" w:eastAsia="Times New Roman" w:hAnsi="Times New Roman"/>
          <w:color w:val="000000"/>
          <w:sz w:val="22"/>
          <w:szCs w:val="22"/>
        </w:rPr>
        <w:t xml:space="preserve">No person within the Republic's territory, territorial waters, or within the effective custody or control of Republic authorities in any location may be returned, expelled, or extradited to any territory where they face genuine risk of persecution, torture, or deprivation of life based on race, religion, nationality, political opinion, or membership in a particular social group. This prohibition applies regardless of immigration status or mode of entry and may not be suspended by any emergency declaration.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II — THE DUAL EXECUTIVE</w:t>
      </w:r>
    </w:p>
    <w:p>
      <w:pPr>
        <w:spacing w:after="60" w:before="60" w:line="280" w:lineRule="auto"/>
        <w:jc w:val="both"/>
      </w:pPr>
      <w:r>
        <w:rPr>
          <w:rFonts w:ascii="Times New Roman" w:cs="Times New Roman" w:eastAsia="Times New Roman" w:hAnsi="Times New Roman"/>
          <w:color w:val="000000"/>
          <w:sz w:val="22"/>
          <w:szCs w:val="22"/>
        </w:rPr>
        <w:t xml:space="preserve">The President holds authority over national defense and diplomacy, coordinated through a National Security Council the Legislature defines by statute. The Prime Minister holds authority over domestic affairs, coordinated through a Domestic Affairs Council the Legislature defines by statute. The most senior Domestic Affairs Council Officer (SDACO) serves as Caretaker Prime Minister when the PM office is vacant. When a single event implicates both domains simultaneously, both executives act within their respective domains concurrently — neither may claim the whole event to displace the other. To be eligible for the Presidency, a candidate must have held active Citizen status for at least 20 years, be at least 40 years old at inauguration, and must not have been convicted of a criminal offense committed while holding federal office during any prior period of federal service. No person may serve more than one presidential term.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2.1 — The President</w:t>
      </w:r>
    </w:p>
    <w:p>
      <w:pPr>
        <w:spacing w:after="60" w:before="60" w:line="280" w:lineRule="auto"/>
        <w:jc w:val="both"/>
      </w:pPr>
      <w:r>
        <w:rPr>
          <w:rFonts w:ascii="Times New Roman" w:cs="Times New Roman" w:eastAsia="Times New Roman" w:hAnsi="Times New Roman"/>
          <w:b/>
          <w:bCs/>
          <w:color w:val="1B2A4A"/>
          <w:sz w:val="22"/>
          <w:szCs w:val="22"/>
        </w:rPr>
        <w:t xml:space="preserve">2.1 Presidential Term: </w:t>
      </w:r>
      <w:r>
        <w:rPr>
          <w:rFonts w:ascii="Times New Roman" w:cs="Times New Roman" w:eastAsia="Times New Roman" w:hAnsi="Times New Roman"/>
          <w:color w:val="000000"/>
          <w:sz w:val="22"/>
          <w:szCs w:val="22"/>
        </w:rPr>
        <w:t xml:space="preserve">The President serves a single non-renewable six-year term elected by the People. Upon the expiration of the presidential term, all constitutional authority of the office transfers immediately and automatically to the incoming President. No acting authority, holdover power, or transitional executive capacity remains with the outgoing President after the moment of transfer. The outgoing President retains no official access to classified information, government systems, or official residence beyond the day of transfer.</w:t>
      </w:r>
    </w:p>
    <w:p>
      <w:pPr>
        <w:spacing w:after="60" w:before="60" w:line="280" w:lineRule="auto"/>
        <w:jc w:val="both"/>
      </w:pPr>
      <w:r>
        <w:rPr>
          <w:rFonts w:ascii="Times New Roman" w:cs="Times New Roman" w:eastAsia="Times New Roman" w:hAnsi="Times New Roman"/>
          <w:b/>
          <w:bCs/>
          <w:color w:val="1B2A4A"/>
          <w:sz w:val="22"/>
          <w:szCs w:val="22"/>
        </w:rPr>
        <w:t xml:space="preserve">2.1.a Tier 1 — Immediate Defensive Response: </w:t>
      </w:r>
      <w:r>
        <w:rPr>
          <w:rFonts w:ascii="Times New Roman" w:cs="Times New Roman" w:eastAsia="Times New Roman" w:hAnsi="Times New Roman"/>
          <w:color w:val="000000"/>
          <w:sz w:val="22"/>
          <w:szCs w:val="22"/>
        </w:rPr>
        <w:t xml:space="preserve">The President may respond immediately to an active, imminent, or ongoing attack on Republic territory, Republic citizens abroad, or treaty allies without prior legislative authorisation. Tier 1 authority is limited to defensive operations only — it does not authorise offensive operations into foreign territory beyond the immediate threat or the initiation of a new conflict. Tier 1 authority expires automatically when the immediate threat is neutralised. The President must notify both chambers and the Prime Minister within 12 hours of invoking Tier 1 authority. the Legislature defines by statute the conditions under which sustained Tier 1 operations require transition to Tier 2 authorisation.</w:t>
      </w:r>
    </w:p>
    <w:p>
      <w:pPr>
        <w:spacing w:after="60" w:before="60" w:line="280" w:lineRule="auto"/>
        <w:jc w:val="both"/>
      </w:pPr>
      <w:r>
        <w:rPr>
          <w:rFonts w:ascii="Times New Roman" w:cs="Times New Roman" w:eastAsia="Times New Roman" w:hAnsi="Times New Roman"/>
          <w:b/>
          <w:bCs/>
          <w:color w:val="1B2A4A"/>
          <w:sz w:val="22"/>
          <w:szCs w:val="22"/>
        </w:rPr>
        <w:t xml:space="preserve">2.1.b Tier 2 — Senate Armed Services Authorization: </w:t>
      </w:r>
      <w:r>
        <w:rPr>
          <w:rFonts w:ascii="Times New Roman" w:cs="Times New Roman" w:eastAsia="Times New Roman" w:hAnsi="Times New Roman"/>
          <w:color w:val="000000"/>
          <w:sz w:val="22"/>
          <w:szCs w:val="22"/>
        </w:rPr>
        <w:t xml:space="preserve">Any offensive military operation, or any defensive deployment that has transitioned beyond neutralizing an immediate threat, requires authorization from the Senate Armed Services Committee within 96 hours of the operation commencing. The Committee is a constitutionally designated standing committee of the Senate with appropriate security clearance, constituted by Senate statute. The Committee authorizes continued operations by simple majority vote following a classified briefing from the President. Senate Armed Services authorization covers a period not exceeding 30 days, during which the Legislature assembles for a Declaration of Defense. The Prime Minister must certify funds for Tier 2 operations within 96 hours of Committee authorization or issue a Fiscal Objection on specific solvency grounds.</w:t>
      </w:r>
    </w:p>
    <w:p>
      <w:pPr>
        <w:spacing w:after="60" w:before="60" w:line="280" w:lineRule="auto"/>
        <w:jc w:val="both"/>
      </w:pPr>
      <w:r>
        <w:rPr>
          <w:rFonts w:ascii="Times New Roman" w:cs="Times New Roman" w:eastAsia="Times New Roman" w:hAnsi="Times New Roman"/>
          <w:b/>
          <w:bCs/>
          <w:color w:val="1B2A4A"/>
          <w:sz w:val="22"/>
          <w:szCs w:val="22"/>
        </w:rPr>
        <w:t xml:space="preserve">2.1.c Tier 3 — Legislative Declaration of Defense: </w:t>
      </w:r>
      <w:r>
        <w:rPr>
          <w:rFonts w:ascii="Times New Roman" w:cs="Times New Roman" w:eastAsia="Times New Roman" w:hAnsi="Times New Roman"/>
          <w:color w:val="000000"/>
          <w:sz w:val="22"/>
          <w:szCs w:val="22"/>
        </w:rPr>
        <w:t xml:space="preserve">All military operations beyond 30 days from initial deployment require a Legislative Declaration of Defense — passed by a 2/3 concurrent majority of both chambers — which simultaneously authorizes extended operations and triggers the Emergency Defense Allocation (§12.2). If the Legislature fails to pass a Declaration within 30 days of Senate Armed Services authorization, all operations except immediate defensive protection of Republic territory must cease. The five-year maximum and successive Declaration standard of §12.2 apply from the date of the first Legislative Declaration.</w:t>
      </w:r>
    </w:p>
    <w:p>
      <w:pPr>
        <w:spacing w:after="60" w:before="60" w:line="280" w:lineRule="auto"/>
        <w:jc w:val="both"/>
      </w:pPr>
      <w:r>
        <w:rPr>
          <w:rFonts w:ascii="Times New Roman" w:cs="Times New Roman" w:eastAsia="Times New Roman" w:hAnsi="Times New Roman"/>
          <w:b/>
          <w:bCs/>
          <w:color w:val="1B2A4A"/>
          <w:sz w:val="22"/>
          <w:szCs w:val="22"/>
        </w:rPr>
        <w:t xml:space="preserve">2.1.d Funding Lock: </w:t>
      </w:r>
      <w:r>
        <w:rPr>
          <w:rFonts w:ascii="Times New Roman" w:cs="Times New Roman" w:eastAsia="Times New Roman" w:hAnsi="Times New Roman"/>
          <w:color w:val="000000"/>
          <w:sz w:val="22"/>
          <w:szCs w:val="22"/>
        </w:rPr>
        <w:t xml:space="preserve">The President has no authority to spend domestic funds. All military expenditures require PM Certification of Funds. Tier 1 defensive operations trigger an automatic 96-hour Emergency Defense Allocation. Tier 2 operations require PM certification within 96 hours of Committee authorization. Tier 3 operations require PM certification concurrent with the Legislative Declaration. Uncertified spending beyond the automatic 96-hour allocation is void and triggers an immediate pay freeze.</w:t>
      </w:r>
    </w:p>
    <w:p>
      <w:pPr>
        <w:spacing w:after="60" w:before="60" w:line="280" w:lineRule="auto"/>
        <w:jc w:val="both"/>
      </w:pPr>
      <w:r>
        <w:rPr>
          <w:rFonts w:ascii="Times New Roman" w:cs="Times New Roman" w:eastAsia="Times New Roman" w:hAnsi="Times New Roman"/>
          <w:b/>
          <w:bCs/>
          <w:color w:val="1B2A4A"/>
          <w:sz w:val="22"/>
          <w:szCs w:val="22"/>
        </w:rPr>
        <w:t xml:space="preserve">2.1.e Privacy Firewall: </w:t>
      </w:r>
      <w:r>
        <w:rPr>
          <w:rFonts w:ascii="Times New Roman" w:cs="Times New Roman" w:eastAsia="Times New Roman" w:hAnsi="Times New Roman"/>
          <w:color w:val="000000"/>
          <w:sz w:val="22"/>
          <w:szCs w:val="22"/>
        </w:rPr>
        <w:t xml:space="preserve">Any order for domestic surveillance or intelligence activity directed at Republic citizens is constitutionally prohibited against the President and the Director of Intelligence, which the Inspectorates report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2.1.f Presidential Veto — Scope: </w:t>
      </w:r>
      <w:r>
        <w:rPr>
          <w:rFonts w:ascii="Times New Roman" w:cs="Times New Roman" w:eastAsia="Times New Roman" w:hAnsi="Times New Roman"/>
          <w:color w:val="000000"/>
          <w:sz w:val="22"/>
          <w:szCs w:val="22"/>
        </w:rPr>
        <w:t xml:space="preserve">The President may veto any bill that raises a genuine constitutional concern within the President's constitutional domain — covering military operations, intelligence activities, treaty obligations, or border security — or that, by clear and specific evidence, engages both executive domains simultaneously through a direct, specific, and material nexus to a defined area of the President's domain. A general, inferential, or speculative connection to security is not sufficient. The veto must specify the constitutional concern, the President's domain implicated, and the precise provisions creating the nexus. The Presidential Veto may not be used on any legislation whose primary purpose is reducing, limiting, or terminating a military funding allocation — the Legislature's authority over appropriations is absolute.</w:t>
      </w:r>
    </w:p>
    <w:p>
      <w:pPr>
        <w:spacing w:after="60" w:before="60" w:line="280" w:lineRule="auto"/>
        <w:jc w:val="both"/>
      </w:pPr>
      <w:r>
        <w:rPr>
          <w:rFonts w:ascii="Times New Roman" w:cs="Times New Roman" w:eastAsia="Times New Roman" w:hAnsi="Times New Roman"/>
          <w:color w:val="000000"/>
          <w:sz w:val="22"/>
          <w:szCs w:val="22"/>
        </w:rPr>
        <w:t xml:space="preserve">2.1.f.i Judicial Review and Override: The Supreme Court reviews any veto within 48 hours on petition from either chamber's Speaker on two independent grounds: scope and justification. A veto found out of scope or unjustified is void. Where the Court finds the concern applies to specific severable provisions rather than the bill's core subject, the President must identify those provisions; the Prime Minister and House Speaker may jointly accept the severance and re-present the remainder for enactment without restarting the Legislative Review Period. Override requires a 2/3 vote in both chambers simultaneously.</w:t>
      </w:r>
    </w:p>
    <w:p>
      <w:pPr>
        <w:spacing w:after="60" w:before="60" w:line="280" w:lineRule="auto"/>
        <w:jc w:val="both"/>
      </w:pPr>
      <w:r>
        <w:rPr>
          <w:rFonts w:ascii="Times New Roman" w:cs="Times New Roman" w:eastAsia="Times New Roman" w:hAnsi="Times New Roman"/>
          <w:color w:val="000000"/>
          <w:sz w:val="22"/>
          <w:szCs w:val="22"/>
        </w:rPr>
        <w:t xml:space="preserve">2.1.f.ii Suspension for Repeated Void Vetoes: If the Supreme Court voids three Presidential Vetoes on scope or justification grounds within any 180-day period, the President's veto authority is suspended for the remainder of that period and the Legislative Inspectorate publishes a finding to the National Record System. This suspension affects only the veto power — all other presidential authority, including Tier 1 through Tier 3 military authorization, remains fully operative.</w:t>
      </w:r>
    </w:p>
    <w:p>
      <w:pPr>
        <w:spacing w:after="60" w:before="60" w:line="280" w:lineRule="auto"/>
        <w:jc w:val="both"/>
      </w:pPr>
      <w:r>
        <w:rPr>
          <w:rFonts w:ascii="Times New Roman" w:cs="Times New Roman" w:eastAsia="Times New Roman" w:hAnsi="Times New Roman"/>
          <w:b/>
          <w:bCs/>
          <w:color w:val="1B2A4A"/>
          <w:sz w:val="22"/>
          <w:szCs w:val="22"/>
        </w:rPr>
        <w:t xml:space="preserve">2.1.g Presidential Clemency: </w:t>
      </w:r>
      <w:r>
        <w:rPr>
          <w:rFonts w:ascii="Times New Roman" w:cs="Times New Roman" w:eastAsia="Times New Roman" w:hAnsi="Times New Roman"/>
          <w:color w:val="000000"/>
          <w:sz w:val="22"/>
          <w:szCs w:val="22"/>
        </w:rPr>
        <w:t xml:space="preserve">The President may grant clemency — pardon, commutation, or reprieve — for individual offenses arising under military law, national security statutes, or laws governing the conduct of foreign affairs. Before granting clemency, the President must request a factual background report from the Executive Inspectorate; the EI publishes its report to the National Record System. Clemency may not be granted for: any offense in which the granting official was a participant, co-conspirator, or direct beneficiary; any offense in which the President was a participant, co-conspirator, or direct beneficiary; any offense committed by a current or former official abusing their official position; or any offense for which the convicted person is simultaneously subject to constitutional violation proceedings. The President may not grant clemency to themselves. Every petition, every EI report, and every grant or decline is published to the National Record System permanently.</w:t>
      </w:r>
    </w:p>
    <w:p>
      <w:pPr>
        <w:spacing w:after="60" w:before="60" w:line="280" w:lineRule="auto"/>
        <w:jc w:val="both"/>
      </w:pPr>
      <w:r>
        <w:rPr>
          <w:rFonts w:ascii="Times New Roman" w:cs="Times New Roman" w:eastAsia="Times New Roman" w:hAnsi="Times New Roman"/>
          <w:b/>
          <w:bCs/>
          <w:color w:val="1B2A4A"/>
          <w:sz w:val="22"/>
          <w:szCs w:val="22"/>
        </w:rPr>
        <w:t xml:space="preserve">2.1.h Dual Executive Conflict Resolution During Active Operations: </w:t>
      </w:r>
      <w:r>
        <w:rPr>
          <w:rFonts w:ascii="Times New Roman" w:cs="Times New Roman" w:eastAsia="Times New Roman" w:hAnsi="Times New Roman"/>
          <w:color w:val="000000"/>
          <w:sz w:val="22"/>
          <w:szCs w:val="22"/>
        </w:rPr>
        <w:t xml:space="preserve">Where both executives issue conflicting orders affecting the same civil servants, institutions, or infrastructure during an active Tier 1, Tier 2, or Tier 3 military operation, the following resolution mechanism applies: (a) The President must provide a specific written objection within 6 hours of the PM's order, published to the National Record System, identifying the precise national security nexus and the specific operational harm the PM's order creates. (b) The dispute is immediately referred to the Emergency Panel under §4.2.e, which must rule within 24 hours on whether the President's objection constitutes a credible and specific national security concern. (c) Pending the Emergency Panel's ruling, PM domestic orders remain operative unless the Panel certifies the President's concern as credible and specific, in which case the conflicting portion of the PM's order is suspended pending full resolution. (d) A President who fails to file the written objection within 6 hours waives the conflict claim for that order; the PM's order stands. (e) This mechanism does not limit the PM's authority to issue domestic orders — it provides a structured process for resolving the narrow category of genuine operational conflicts.</w:t>
      </w:r>
    </w:p>
    <w:p>
      <w:pPr>
        <w:spacing w:before="60" w:after="60" w:line="280" w:lineRule="auto"/>
        <w:jc w:val="both"/>
      </w:pPr>
      <w:r>
        <w:rPr>
          <w:b/>
          <w:sz w:val="22"/>
          <w:color w:val="1B2A4A"/>
        </w:rPr>
        <w:t xml:space="preserve">2.1.i Presidential Officer Appointments and Removal: </w:t>
      </w:r>
      <w:r>
        <w:rPr>
          <w:sz w:val="22"/>
        </w:rPr>
        <w:t xml:space="preserve">The President nominates persons to lead the executive functions within the President's domain — including the Director of Intelligence, the Secretary for Foreign Affairs, the Secretary for Defense, and equivalent senior positions established by statute within the defense and foreign affairs domain. The Senate confirms each nomination by simple majority of its full seated membership within a period the Legislature defines by statute; failure to vote within that period results in Deemed Confirmation. All nominations, confirmations, and Deemed Confirmations are published to the National Record System within 24 hours. Presidential Officer Removal: The President may remove any officer confirmed under this provision by submitting a written Notice of Intended Removal to the Senate, published simultaneously to the National Record System. The Senate has 30 days from the date of publication to approve the removal by simple majority of its full seated membership. If the Senate approves within 30 days, the removal takes effect immediately upon the Senate vote. If the Senate does not vote within 30 days, the removal is deemed approved and takes effect on day 31. If the Senate votes to deny the removal within 30 days by simple majority, the officer remains in post and the President may not resubmit a removal notice for the same officer for one year from the date of the Senate's denial. The Senate denial does not prevent the Legislature from initiating removal under §3.5, which operates independently. An officer subject to an active §3.5 proceeding may not be removed by the President under this provision until those proceedings conclude — this prevents the President from using the removal power to obstruct a legislative accountability process.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2.2 — The Prime Minister</w:t>
      </w:r>
    </w:p>
    <w:p>
      <w:pPr>
        <w:spacing w:after="60" w:before="60" w:line="280" w:lineRule="auto"/>
        <w:jc w:val="both"/>
      </w:pPr>
      <w:r>
        <w:rPr>
          <w:rFonts w:ascii="Times New Roman" w:cs="Times New Roman" w:eastAsia="Times New Roman" w:hAnsi="Times New Roman"/>
          <w:color w:val="000000"/>
          <w:sz w:val="22"/>
          <w:szCs w:val="22"/>
        </w:rPr>
        <w:t xml:space="preserve">The Prime Minister is the head of domestic administration, chosen by and accountable to the House. To be eligible, a person must have held citizenship for at least 10 years — from birth for natural-born citizens, from the date of conferral for naturalized citizens. The PM runs the daily business of government, administers the budget, and is responsible for the National Record System's operational continuity. The Prime Minister has no authority to direct military operations, issue orders to military personnel, or conduct foreign diplomatic negotiations outside channels authorized by the President. The PM's exclusive domain is domestic — all actions within that domain are the PM's alone; no action outside that domain is authorized regardless of how it is framed.</w:t>
      </w:r>
    </w:p>
    <w:p>
      <w:pPr>
        <w:spacing w:after="60" w:before="60" w:line="280" w:lineRule="auto"/>
        <w:jc w:val="both"/>
      </w:pPr>
      <w:r>
        <w:rPr>
          <w:rFonts w:ascii="Times New Roman" w:cs="Times New Roman" w:eastAsia="Times New Roman" w:hAnsi="Times New Roman"/>
          <w:b/>
          <w:bCs/>
          <w:color w:val="1B2A4A"/>
          <w:sz w:val="22"/>
          <w:szCs w:val="22"/>
        </w:rPr>
        <w:t xml:space="preserve">2.2.a The Record System Mandate: </w:t>
      </w:r>
      <w:r>
        <w:rPr>
          <w:rFonts w:ascii="Times New Roman" w:cs="Times New Roman" w:eastAsia="Times New Roman" w:hAnsi="Times New Roman"/>
          <w:color w:val="000000"/>
          <w:sz w:val="22"/>
          <w:szCs w:val="22"/>
        </w:rPr>
        <w:t xml:space="preserve">The Prime Minister must record all executive orders, contracts, and expenditures on the National Record System within 24 hours of issuance. Unrecorded orders are void.</w:t>
      </w:r>
    </w:p>
    <w:p>
      <w:pPr>
        <w:spacing w:after="60" w:before="60" w:line="280" w:lineRule="auto"/>
        <w:jc w:val="both"/>
      </w:pPr>
      <w:r>
        <w:rPr>
          <w:rFonts w:ascii="Times New Roman" w:cs="Times New Roman" w:eastAsia="Times New Roman" w:hAnsi="Times New Roman"/>
          <w:b/>
          <w:bCs/>
          <w:color w:val="1B2A4A"/>
          <w:sz w:val="22"/>
          <w:szCs w:val="22"/>
        </w:rPr>
        <w:t xml:space="preserve">2.2.b Duty of Refusal: </w:t>
      </w:r>
      <w:r>
        <w:rPr>
          <w:rFonts w:ascii="Times New Roman" w:cs="Times New Roman" w:eastAsia="Times New Roman" w:hAnsi="Times New Roman"/>
          <w:color w:val="000000"/>
          <w:sz w:val="22"/>
          <w:szCs w:val="22"/>
        </w:rPr>
        <w:t xml:space="preserve">Civil servants must refuse and report any order that lacks PM fund certification, violates Article I rights, or has not been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2.2.c Maximum Consecutive Service: </w:t>
      </w:r>
      <w:r>
        <w:rPr>
          <w:rFonts w:ascii="Times New Roman" w:cs="Times New Roman" w:eastAsia="Times New Roman" w:hAnsi="Times New Roman"/>
          <w:color w:val="000000"/>
          <w:sz w:val="22"/>
          <w:szCs w:val="22"/>
        </w:rPr>
        <w:t xml:space="preserve">No person may serve as Prime Minister for more than 8 consecutive years. On the date a PM takes office, the Executive Inspectorate records the expiry date on the National Record System. A PM vacancy at term expiry is treated identically to a resignation — the statutory PM selection period begins on the date of expiry. After a mandatory cooling-off period of one full House term, a former PM is again eligible for appointment. The House may remove a PM at any time before 8 years through a Constructive Vote of No Confidence under §2.3.b; the 8-year maximum and the constructive vote operate independently. the Legislature defines by statute the administrative procedures for managing the PM transition at term expiry.</w:t>
      </w:r>
    </w:p>
    <w:p>
      <w:pPr>
        <w:spacing w:after="60" w:before="60" w:line="280" w:lineRule="auto"/>
        <w:jc w:val="both"/>
      </w:pPr>
      <w:r>
        <w:rPr>
          <w:rFonts w:ascii="Times New Roman" w:cs="Times New Roman" w:eastAsia="Times New Roman" w:hAnsi="Times New Roman"/>
          <w:b/>
          <w:bCs/>
          <w:color w:val="1B2A4A"/>
          <w:sz w:val="22"/>
          <w:szCs w:val="22"/>
        </w:rPr>
        <w:t xml:space="preserve">2.2.d Civil Service Integrity: </w:t>
      </w:r>
      <w:r>
        <w:rPr>
          <w:rFonts w:ascii="Times New Roman" w:cs="Times New Roman" w:eastAsia="Times New Roman" w:hAnsi="Times New Roman"/>
          <w:color w:val="000000"/>
          <w:sz w:val="22"/>
          <w:szCs w:val="22"/>
        </w:rPr>
        <w:t xml:space="preserve">The Prime Minister has constitutional responsibility for the integrity of the civil service — the career government workforce that continues across administrations. The PM must ensure that civil service appointments, promotions, and assignments are made on the basis of merit and qualification, not political affiliation; civil servants are protected from retaliation for exercising their constitutional duty of refusal under §2.2.b; and the civil service is not weaponized as an instrument of political advantage for any party or faction.</w:t>
      </w:r>
    </w:p>
    <w:p>
      <w:pPr>
        <w:spacing w:after="60" w:before="60" w:line="280" w:lineRule="auto"/>
        <w:jc w:val="both"/>
      </w:pPr>
      <w:r>
        <w:rPr>
          <w:rFonts w:ascii="Times New Roman" w:cs="Times New Roman" w:eastAsia="Times New Roman" w:hAnsi="Times New Roman"/>
          <w:color w:val="000000"/>
          <w:sz w:val="22"/>
          <w:szCs w:val="22"/>
        </w:rPr>
        <w:t xml:space="preserve">2.2.d.i Civil Service Statutory Mandate and constitutional violation: the Legislature must by statute establish a Civil Service Commission with independent oversight of hiring, promotion, and disciplinary processes within the civil service. Directing civil service hiring, firing, or assignment based on political affiliation rather than merit — by the PM or any other official — is prohibited.</w:t>
      </w:r>
    </w:p>
    <w:p>
      <w:pPr>
        <w:spacing w:after="60" w:before="60" w:line="280" w:lineRule="auto"/>
        <w:jc w:val="both"/>
      </w:pPr>
      <w:r>
        <w:rPr>
          <w:rFonts w:ascii="Times New Roman" w:cs="Times New Roman" w:eastAsia="Times New Roman" w:hAnsi="Times New Roman"/>
          <w:b/>
          <w:bCs/>
          <w:color w:val="1B2A4A"/>
          <w:sz w:val="22"/>
          <w:szCs w:val="22"/>
        </w:rPr>
        <w:t xml:space="preserve">2.2.e Domestic Emergency Authority: </w:t>
      </w:r>
      <w:r>
        <w:rPr>
          <w:rFonts w:ascii="Times New Roman" w:cs="Times New Roman" w:eastAsia="Times New Roman" w:hAnsi="Times New Roman"/>
          <w:color w:val="000000"/>
          <w:sz w:val="22"/>
          <w:szCs w:val="22"/>
        </w:rPr>
        <w:t xml:space="preserve">The Prime Minister may declare a domestic state of emergency in response to a natural disaster, public health crisis, or critical infrastructure failure that poses an imminent threat to the lives or welfare of Inhabitants. A domestic emergency declaration must be published to the National Record System immediately, transmitted to both chambers within 6 hours, and ratified by a simple majority of both chambers within a period the Legislature defines by statute or it lapses automatically. A declared domestic emergency may not suspend any Article I right. Emergency powers under this provision are limited to directing resource allocation, coordinating State and federal response, and issuing temporary binding orders to government agencies. Emergency orders are subject to judicial review and expire automatically when the Legislature ratifies or declines to ratify. the Legislature defines by statute the ratification timeline, convening requirements, and extension procedures for domestic emergencies. the Legislature's domestic emergency statute must define the maximum ratification period as a specific number of days, not as an operational condition or executive certification. The maximum may exceed the prior constitutional default but must be a defined number for which the Legislature is democratically accountable. The maximum ratification period the Legislature defines may not exceed 30 days from the date of declaration. A domestic emergency declaration that lapses for failure to achieve parliamentary ratification within the statutory period may not be re-declared on substantially the same grounds within 60 days of the lapse. Where an emergency re-declaration is required before 60 days have elapsed, it requires a 2/3 majority of both chambers rather than simple majority.</w:t>
      </w:r>
    </w:p>
    <w:p>
      <w:pPr>
        <w:spacing w:after="60" w:before="60" w:line="280" w:lineRule="auto"/>
        <w:jc w:val="both"/>
      </w:pPr>
      <w:r>
        <w:rPr>
          <w:rFonts w:ascii="Times New Roman" w:cs="Times New Roman" w:eastAsia="Times New Roman" w:hAnsi="Times New Roman"/>
          <w:b/>
          <w:bCs/>
          <w:color w:val="1B2A4A"/>
          <w:sz w:val="22"/>
          <w:szCs w:val="22"/>
        </w:rPr>
        <w:t xml:space="preserve">2.2.f PM Clemency: </w:t>
      </w:r>
      <w:r>
        <w:rPr>
          <w:rFonts w:ascii="Times New Roman" w:cs="Times New Roman" w:eastAsia="Times New Roman" w:hAnsi="Times New Roman"/>
          <w:color w:val="000000"/>
          <w:sz w:val="22"/>
          <w:szCs w:val="22"/>
        </w:rPr>
        <w:t xml:space="preserve">The Prime Minister may grant clemency — pardon, commutation, or reprieve — for individual offenses arising under domestic criminal law. Before granting clemency, the PM must request a factual background report from the Executive Inspectorate; the EI publishes its report to the National Record System. The same exclusions apply as under §2.1.g: no clemency for offenses in which the PM was a participant or beneficiary, for offenses committed by officials abusing their position, or for persons simultaneously subject to constitutional violation proceedings. The PM may not grant clemency to themselves. Every petition, EI report, and executive decision is published to the National Record System permanently.</w:t>
      </w:r>
    </w:p>
    <w:p>
      <w:pPr>
        <w:spacing w:after="60" w:before="60" w:line="280" w:lineRule="auto"/>
        <w:jc w:val="both"/>
      </w:pPr>
      <w:r>
        <w:rPr>
          <w:rFonts w:ascii="Times New Roman" w:cs="Times New Roman" w:eastAsia="Times New Roman" w:hAnsi="Times New Roman"/>
          <w:b/>
          <w:bCs/>
          <w:color w:val="1B2A4A"/>
          <w:sz w:val="22"/>
          <w:szCs w:val="22"/>
        </w:rPr>
        <w:t xml:space="preserve">2.2.g Ministerial Appointments: </w:t>
      </w:r>
      <w:r>
        <w:rPr>
          <w:rFonts w:ascii="Times New Roman" w:cs="Times New Roman" w:eastAsia="Times New Roman" w:hAnsi="Times New Roman"/>
          <w:color w:val="000000"/>
          <w:sz w:val="22"/>
          <w:szCs w:val="22"/>
        </w:rPr>
        <w:t xml:space="preserve">The Prime Minister appoints and removes ministers to serve within the Domestic Affairs Council. All ministerial appointments and removals are published to the National Record System within 24 hours of taking effect. Ministers exercise only authority delegated by the PM within the PM's constitutional domain — no minister may act outside that domain regardless of how the delegation is framed. All ministerial orders, contracts, and expenditures are subject to the same NRS recording requirement as PM orders under §2.2.a; unrecorded ministerial orders are void. Civil servants are bound by the same duty of refusal under §2.2.b with respect to ministerial orders as they are with respect to PM orders. Ministers serve at the PM's pleasure and may be removed without cause; removal does not affect any ministerial accountability for prior conduct during their term of service.</w:t>
      </w:r>
    </w:p>
    <w:p>
      <w:pPr>
        <w:spacing w:after="60" w:before="60" w:line="280" w:lineRule="auto"/>
        <w:jc w:val="both"/>
      </w:pPr>
      <w:r>
        <w:rPr>
          <w:rFonts w:ascii="Times New Roman" w:cs="Times New Roman" w:eastAsia="Times New Roman" w:hAnsi="Times New Roman"/>
          <w:b/>
          <w:bCs/>
          <w:color w:val="1B2A4A"/>
          <w:sz w:val="22"/>
          <w:szCs w:val="22"/>
        </w:rPr>
        <w:t xml:space="preserve">2.2.h Administrative Acting Officer Framework: </w:t>
      </w:r>
      <w:r>
        <w:rPr>
          <w:rFonts w:ascii="Times New Roman" w:cs="Times New Roman" w:eastAsia="Times New Roman" w:hAnsi="Times New Roman"/>
          <w:color w:val="000000"/>
          <w:sz w:val="22"/>
          <w:szCs w:val="22"/>
        </w:rPr>
        <w:t xml:space="preserve">Where a Senate confirmation is required for any constitutionally established administrative position and the Senate has not confirmed within the statutory period, or where a confirmed officer vacates mid-term, the following framework governs acting status unless this Constitution expressly provides otherwise for a specific position. (1) Acting assumption: the designated successor staff member assumes acting status immediately; the PM must nominate a replacement within 60 days of vacancy. (2) PM removal — first 90 days: the PM may remove an acting officer without further process within 90 days of assumption. (3) Senate involvement — 90 to 180 days: after 90 days of acting status, removal requires a simple Senate majority. (4) Full threshold — beyond 180 days: after 180 days of acting status, removal requires the same threshold as removal of a permanently confirmed officer in that position. (5) Confirmation converts status: Senate confirmation at any time converts acting status to permanent appointment; the full term begins from the date of confirmation. This framework applies to the CLT Administrator (§5.4.b), the RSA Director (§9.3), the National Trust Administrator (§17.4.g), and Monetary Authority board members (§10.4.a). The PM may not use the acting officer framework to indefinitely circumvent the Senate's confirmation authority — the duty to nominate and the obligation to pursue confirmation in good faith are continuous constitutional obligations.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2.3 — PM Selection and Removal by the House</w:t>
      </w:r>
    </w:p>
    <w:p>
      <w:pPr>
        <w:spacing w:after="60" w:before="60" w:line="280" w:lineRule="auto"/>
        <w:jc w:val="both"/>
      </w:pPr>
      <w:r>
        <w:rPr>
          <w:rFonts w:ascii="Times New Roman" w:cs="Times New Roman" w:eastAsia="Times New Roman" w:hAnsi="Times New Roman"/>
          <w:color w:val="000000"/>
          <w:sz w:val="22"/>
          <w:szCs w:val="22"/>
        </w:rPr>
        <w:t xml:space="preserve">The Prime Minister serves at the confidence of the House.</w:t>
      </w:r>
    </w:p>
    <w:p>
      <w:pPr>
        <w:spacing w:after="60" w:before="60" w:line="280" w:lineRule="auto"/>
        <w:jc w:val="both"/>
      </w:pPr>
      <w:r>
        <w:rPr>
          <w:rFonts w:ascii="Times New Roman" w:cs="Times New Roman" w:eastAsia="Times New Roman" w:hAnsi="Times New Roman"/>
          <w:b/>
          <w:bCs/>
          <w:color w:val="1B2A4A"/>
          <w:sz w:val="22"/>
          <w:szCs w:val="22"/>
        </w:rPr>
        <w:t xml:space="preserve">2.3.a Selection: </w:t>
      </w:r>
      <w:r>
        <w:rPr>
          <w:rFonts w:ascii="Times New Roman" w:cs="Times New Roman" w:eastAsia="Times New Roman" w:hAnsi="Times New Roman"/>
          <w:color w:val="000000"/>
          <w:sz w:val="22"/>
          <w:szCs w:val="22"/>
        </w:rPr>
        <w:t xml:space="preserve">The House selects the Prime Minister by absolute majority — a majority of the full seated membership, not merely those present or voting; this definition of absolute majority applies throughout this Constitution wherever the term appears. The House must seat a PM within 60 days of its first convening following a general election. If no PM is seated within 60 days, the Caretaker Protocol of §2.3.c activates automatically. The House continues in full session and retains the ability to seat a PM at any time — any successful absolute majority confidence vote immediately displaces the caretaker. During any caretaker period arising from failure to seat a PM, the Legislative Inspectorate publishes a weekly report to the National Record System documenting: the PM formation votes taken, the candidates proposed, and each member's individual participation record. This record is publicly accessible and forms the permanent constitutional accountability record for each member's term.</w:t>
      </w:r>
    </w:p>
    <w:p>
      <w:pPr>
        <w:spacing w:after="60" w:before="60" w:line="280" w:lineRule="auto"/>
        <w:jc w:val="both"/>
      </w:pPr>
      <w:r>
        <w:rPr>
          <w:rFonts w:ascii="Times New Roman" w:cs="Times New Roman" w:eastAsia="Times New Roman" w:hAnsi="Times New Roman"/>
          <w:b/>
          <w:bCs/>
          <w:color w:val="1B2A4A"/>
          <w:sz w:val="22"/>
          <w:szCs w:val="22"/>
        </w:rPr>
        <w:t xml:space="preserve">2.3.b Constructive Vote of No Confidence: </w:t>
      </w:r>
      <w:r>
        <w:rPr>
          <w:rFonts w:ascii="Times New Roman" w:cs="Times New Roman" w:eastAsia="Times New Roman" w:hAnsi="Times New Roman"/>
          <w:color w:val="000000"/>
          <w:sz w:val="22"/>
          <w:szCs w:val="22"/>
        </w:rPr>
        <w:t xml:space="preserve">The House may remove the Prime Minister only by simultaneously electing a successor by absolute majority — a majority of the full seated membership of the House, not merely those present. A vote of no confidence that does not name and elect a replacement in the same motion is not constitutionally valid and has no effect. A failed constructive no-confidence vote does not trigger dissolution and may not be brought again for 90 days. A successful constructive no-confidence vote transfers the PM role immediately to the named successor, who takes the Official Oath before assuming authority; no Caretaker period intervenes.</w:t>
      </w:r>
    </w:p>
    <w:p>
      <w:pPr>
        <w:spacing w:after="60" w:before="60" w:line="280" w:lineRule="auto"/>
        <w:jc w:val="both"/>
      </w:pPr>
      <w:r>
        <w:rPr>
          <w:rFonts w:ascii="Times New Roman" w:cs="Times New Roman" w:eastAsia="Times New Roman" w:hAnsi="Times New Roman"/>
          <w:b/>
          <w:bCs/>
          <w:color w:val="1B2A4A"/>
          <w:sz w:val="22"/>
          <w:szCs w:val="22"/>
        </w:rPr>
        <w:t xml:space="preserve">2.3.c Caretaker Protocol: </w:t>
      </w:r>
      <w:r>
        <w:rPr>
          <w:rFonts w:ascii="Times New Roman" w:cs="Times New Roman" w:eastAsia="Times New Roman" w:hAnsi="Times New Roman"/>
          <w:color w:val="000000"/>
          <w:sz w:val="22"/>
          <w:szCs w:val="22"/>
        </w:rPr>
        <w:t xml:space="preserve">Two distinct scenarios govern the Caretaker Protocol. Vacancy during an active term: Where the PM office becomes vacant mid-term through death, resignation, incapacitation, or a successful constructive vote of no confidence under §2.3.b, the most senior Domestic Affairs Council Officer serves as Caretaker PM, restricted to maintenance of existing obligations only. No new policy or spending may be initiated during the interim. After 90 days of Caretaker service without the House seating a PM, the Senate may by simple majority designate an Interim PM — a person who has never held partisan elected office — with full PM powers. The House retains the ability to seat a PM at any time, immediately displacing the Interim PM. Failure to seat at term start: Where no Domestic Affairs Council exists because no PM has been appointed in the current term, the Senate designates an Interim PM immediately upon the 60-day period expiring. The Senate's designation in this scenario is mandatory — if the House has not seated a PM at day 61, the Senate must act within 14 days to designate an Interim PM from persons who have not held partisan elected office. The Interim PM governs in maintenance-only mode and is immediately displaced by any PM seated through the ordinary House confidence process. If the Senate fails to designate within the 14-day window, the Senate Speaker assumes Interim PM functions in maintenance-only mode until designation occurs. Exceptions applicable in both scenarios: The Caretaker or Interim PM retains the full domestic emergency authority of §2.2.e during any vacancy period. The Caretaker or Interim PM retains fund certification authority under §2.1.d for military operations active and duly authorized at the date of vacancy. The Caretaker or Interim PM may not issue fund certification for a new Tier 2 authorization arising during the vacancy period unless the Senate Armed Services Committee certifies in writing that operational necessity requires immediate authorization before a permanent PM can be seated; that certification is published to the National Record System within 6 hours of issuance.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2.4 — PM Legislative Objection</w:t>
      </w:r>
    </w:p>
    <w:p>
      <w:pPr>
        <w:spacing w:after="60" w:before="60" w:line="280" w:lineRule="auto"/>
        <w:jc w:val="both"/>
      </w:pPr>
      <w:r>
        <w:rPr>
          <w:rFonts w:ascii="Times New Roman" w:cs="Times New Roman" w:eastAsia="Times New Roman" w:hAnsi="Times New Roman"/>
          <w:color w:val="000000"/>
          <w:sz w:val="22"/>
          <w:szCs w:val="22"/>
        </w:rPr>
        <w:t xml:space="preserve">The Prime Minister holds two objection powers over enacted legislation. Both are suspensive — the Legislature retains the final word in all cases.</w:t>
      </w:r>
    </w:p>
    <w:p>
      <w:pPr>
        <w:spacing w:after="60" w:before="60" w:line="280" w:lineRule="auto"/>
        <w:jc w:val="both"/>
      </w:pPr>
      <w:r>
        <w:rPr>
          <w:rFonts w:ascii="Times New Roman" w:cs="Times New Roman" w:eastAsia="Times New Roman" w:hAnsi="Times New Roman"/>
          <w:b/>
          <w:bCs/>
          <w:color w:val="1B2A4A"/>
          <w:sz w:val="22"/>
          <w:szCs w:val="22"/>
        </w:rPr>
        <w:t xml:space="preserve">2.4.a Suspensive Veto: </w:t>
      </w:r>
      <w:r>
        <w:rPr>
          <w:rFonts w:ascii="Times New Roman" w:cs="Times New Roman" w:eastAsia="Times New Roman" w:hAnsi="Times New Roman"/>
          <w:color w:val="000000"/>
          <w:sz w:val="22"/>
          <w:szCs w:val="22"/>
        </w:rPr>
        <w:t xml:space="preserve">The Prime Minister may return any bill to the House with a written Statement of Objection specifying the grounds — constitutional, fiscal, operational, or policy. The Statement is recorded permanently on the National Record System. Upon return the bill is suspended for one full legislative session. At the next session the House may override by absolute majority (majority of full seated membership). If the House overrides, the bill is enacted. If the House does not hold an override vote within that session, the bill lapses. The suspensive veto may not be used on: the annual budget; any bill the Legislature has certified as directly implementing a constitutional obligation; or any bill passed under the §2.8 Emergency Governance Protocol. The PM may apply the suspensive veto to any single bill only once.</w:t>
      </w:r>
    </w:p>
    <w:p>
      <w:pPr>
        <w:spacing w:after="60" w:before="60" w:line="280" w:lineRule="auto"/>
        <w:jc w:val="both"/>
      </w:pPr>
      <w:r>
        <w:rPr>
          <w:rFonts w:ascii="Times New Roman" w:cs="Times New Roman" w:eastAsia="Times New Roman" w:hAnsi="Times New Roman"/>
          <w:b/>
          <w:bCs/>
          <w:color w:val="1B2A4A"/>
          <w:sz w:val="22"/>
          <w:szCs w:val="22"/>
        </w:rPr>
        <w:t xml:space="preserve">2.4.b Fiscal Objection: </w:t>
      </w:r>
      <w:r>
        <w:rPr>
          <w:rFonts w:ascii="Times New Roman" w:cs="Times New Roman" w:eastAsia="Times New Roman" w:hAnsi="Times New Roman"/>
          <w:color w:val="000000"/>
          <w:sz w:val="22"/>
          <w:szCs w:val="22"/>
        </w:rPr>
        <w:t xml:space="preserve">In addition to the suspensive veto, the PM may issue a Fiscal Objection on grounds of fiscal solvency or constitutional fiscal compliance. A Fiscal Objection requires a written Fiscal Impact Statement citing the specific concern and an independent Monetary Authority assessment, both recorded on the National Record System. The House overrides a Fiscal Objection by simple majority, formally accepting the stated fiscal risk. A Fiscal Objection and a Suspensive Veto may not both be applied to the same bill — the PM chooses one instrument per bill.</w:t>
      </w:r>
    </w:p>
    <w:p>
      <w:pPr>
        <w:spacing w:after="60" w:before="60" w:line="280" w:lineRule="auto"/>
        <w:jc w:val="both"/>
      </w:pPr>
      <w:r>
        <w:rPr>
          <w:rFonts w:ascii="Times New Roman" w:cs="Times New Roman" w:eastAsia="Times New Roman" w:hAnsi="Times New Roman"/>
          <w:b/>
          <w:bCs/>
          <w:color w:val="1B2A4A"/>
          <w:sz w:val="22"/>
          <w:szCs w:val="22"/>
        </w:rPr>
        <w:t xml:space="preserve">2.4.c Limits: </w:t>
      </w:r>
      <w:r>
        <w:rPr>
          <w:rFonts w:ascii="Times New Roman" w:cs="Times New Roman" w:eastAsia="Times New Roman" w:hAnsi="Times New Roman"/>
          <w:color w:val="000000"/>
          <w:sz w:val="22"/>
          <w:szCs w:val="22"/>
        </w:rPr>
        <w:t xml:space="preserve">The suspensive veto provides a deliberation interval and forces the Legislature to recommit to the legislation; it does not convert PM policy preferences into law. Any objection lacking the required written statement is void.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2.5 — The Legislative Review Period</w:t>
      </w:r>
    </w:p>
    <w:p>
      <w:pPr>
        <w:spacing w:after="60" w:before="60" w:line="280" w:lineRule="auto"/>
        <w:jc w:val="both"/>
      </w:pPr>
      <w:r>
        <w:rPr>
          <w:rFonts w:ascii="Times New Roman" w:cs="Times New Roman" w:eastAsia="Times New Roman" w:hAnsi="Times New Roman"/>
          <w:color w:val="000000"/>
          <w:sz w:val="22"/>
          <w:szCs w:val="22"/>
        </w:rPr>
        <w:t xml:space="preserve">Every bill passed by the Legislature enters a Legislative Review Period during which both executives may respond within their constitutional domains: the President may issue a Presidential Veto under §2.1.f and the PM may issue a Suspensive Veto or Fiscal Objection under §2.4. the Legislature defines the specific duration of each review period by statute — the presidential veto period may not exceed 20 days and the PM objection period may not exceed 45 days. The periods run concurrently. If neither official acts within their respective statutory period, the bill is deemed enacted. The President and PM may jointly agree to shorten a review period but may not extend it beyond the statutory maximum unilaterally.</w:t>
      </w:r>
    </w:p>
    <w:p>
      <w:pPr>
        <w:spacing w:after="60" w:before="60" w:line="280" w:lineRule="auto"/>
        <w:jc w:val="both"/>
      </w:pPr>
      <w:r>
        <w:rPr>
          <w:rFonts w:ascii="Times New Roman" w:cs="Times New Roman" w:eastAsia="Times New Roman" w:hAnsi="Times New Roman"/>
          <w:b/>
          <w:bCs/>
          <w:color w:val="1B2A4A"/>
          <w:sz w:val="22"/>
          <w:szCs w:val="22"/>
        </w:rPr>
        <w:t xml:space="preserve">2.5.a Emergency Legislative Continuity: </w:t>
      </w:r>
      <w:r>
        <w:rPr>
          <w:rFonts w:ascii="Times New Roman" w:cs="Times New Roman" w:eastAsia="Times New Roman" w:hAnsi="Times New Roman"/>
          <w:color w:val="000000"/>
          <w:sz w:val="22"/>
          <w:szCs w:val="22"/>
        </w:rPr>
        <w:t xml:space="preserve">If the House is physically unable to convene — in person or by any remote means — during the presidential legislative review period defined by statute under §2.5 due to a declared catastrophic emergency, the Senate may authorize extended deployment by a 2/3 vote of available members for a provisional period not exceeding 30 days. The Senate Speaker must certify the House's physical incapacity on the National Record System before the vote proceeds. The House must ratify by a 2/3 vote within 30 days of reconvening or the deployment terminates automatically.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2.6 — Succession</w:t>
      </w:r>
    </w:p>
    <w:p>
      <w:pPr>
        <w:spacing w:after="60" w:before="60" w:line="280" w:lineRule="auto"/>
        <w:jc w:val="both"/>
      </w:pPr>
      <w:r>
        <w:rPr>
          <w:rFonts w:ascii="Times New Roman" w:cs="Times New Roman" w:eastAsia="Times New Roman" w:hAnsi="Times New Roman"/>
          <w:b/>
          <w:bCs/>
          <w:color w:val="1B2A4A"/>
          <w:sz w:val="22"/>
          <w:szCs w:val="22"/>
        </w:rPr>
        <w:t xml:space="preserve">2.6.a Presidential Succession Line: </w:t>
      </w:r>
      <w:r>
        <w:rPr>
          <w:rFonts w:ascii="Times New Roman" w:cs="Times New Roman" w:eastAsia="Times New Roman" w:hAnsi="Times New Roman"/>
          <w:color w:val="000000"/>
          <w:sz w:val="22"/>
          <w:szCs w:val="22"/>
        </w:rPr>
        <w:t xml:space="preserve">If the President dies, becomes permanently incapacitated, resigns, or is removed from office, authority transfers in this order: (1) Senate Speaker; (2) Senate Deputy Speaker; (3) the most senior member of the Senate Armed Services Committee by years of Senate service. The Senate elects a Deputy Speaker at the start of each legislative session. Where the Senate Speaker assumes the presidency under this section — a permanent succession event — their Senate seat is immediately vacated and the Deputy Speaker automatically assumes the Speaker role and the Speaker's position in the succession line from that moment. This seat vacation applies only to §2.6.a permanent succession; it does not apply to Acting Presidential Authority under §2.6.b. A successor who assumes the presidency by succession serves only until a special presidential election can be held — the Legislature defines the special election timeline by statute, not to exceed 180 days from the succession event. The Senate Speaker assumes Tier 1 defensive authority immediately upon a presidential succession event pending the successor's swearing-in.</w:t>
      </w:r>
    </w:p>
    <w:p>
      <w:pPr>
        <w:spacing w:after="60" w:before="60" w:line="280" w:lineRule="auto"/>
        <w:jc w:val="both"/>
      </w:pPr>
      <w:r>
        <w:rPr>
          <w:rFonts w:ascii="Times New Roman" w:cs="Times New Roman" w:eastAsia="Times New Roman" w:hAnsi="Times New Roman"/>
          <w:color w:val="000000"/>
          <w:sz w:val="22"/>
          <w:szCs w:val="22"/>
        </w:rPr>
        <w:t xml:space="preserve"> 2.6.b Temporary Acting Presidential Authority: Where the President is temporarily unable to perform presidential functions — due to a planned medical procedure, scheduled absence, or sudden but recoverable incapacity — Acting Presidential Authority may be established through one of two processes: (a) Voluntary Transfer: The President publishes a declaration of temporary transfer to the National Record System, specifying the reason and expected duration. Acting Presidential Authority activates at the moment of NRS publication. (b) Involuntary Certification: Where the President is suddenly incapacitated and cannot make the voluntary declaration, the Prime Minister and the most senior sitting Supreme Court justice jointly certify the incapacity and publish the certification to the National Record System within 6 hours of the incapacity arising. Where the Prime Minister is the next in the succession line and therefore has a conflict of interest in certifying incapacity, the Deputy Speaker substitutes for the Prime Minister in the certification. Acting Presidential Authority activates upon publication of the joint certification. During any period of Acting Presidential Authority: (1) The Senate Speaker exercises all constitutional powers of the presidential office — including Tier 1 through Tier 3 military authority, treaty functions, intelligence oversight, and all other presidential responsibilities — as Acting President; (2) The Senate Speaker retains their Senate seat, which is not vacated during Acting Presidential Authority; (3) The Deputy Speaker assumes the Senate's presiding functions and the Speaker's position in the presidential succession line for the duration of the acting period; (4) No special presidential election is triggered; (5) The acting period does not constitute a succession event within the meaning of §2.6.a or §2.6.c and does not expend or initiate any presidential term. Acting Presidential Authority ends automatically upon: the President publishing a declaration of restoration to the National Record System; or the PM and most senior SC justice jointly certifying and publishing to the NRS that the incapacity has ended. Upon ending, the President immediately resumes full presidential authority, the Senate Speaker resumes their Senate presiding functions, and the Deputy Speaker reverts to the Deputy Speaker role. (c) 90-Day Permanence Assessment: If Acting Presidential Authority extends beyond 90 consecutive days without restoration, the PM and most senior SC justice must jointly assess whether the incapacity has become permanent and publish their assessment to the NRS within 7 days of the 90-day mark. If they certify permanent incapacity, §2.6.a succession activates immediately — Acting Presidential Authority converts to full succession, the Speaker's Senate seat is vacated, and the Deputy Speaker assumes the Speaker role permanently. If they certify continued temporary incapacity, Acting Presidential Authority continues and the assessment repeats every 30 days thereafter until restoration or permanent certification. Failure to conduct and publish the mandatory 90-day assessment within the required period is a constitutional failure for both the PM and the most senior SC justice.</w:t>
      </w:r>
    </w:p>
    <w:p>
      <w:pPr>
        <w:spacing w:after="60" w:before="60" w:line="280" w:lineRule="auto"/>
        <w:jc w:val="both"/>
      </w:pPr>
      <w:r>
        <w:rPr>
          <w:rFonts w:ascii="Times New Roman" w:cs="Times New Roman" w:eastAsia="Times New Roman" w:hAnsi="Times New Roman"/>
          <w:b/>
          <w:bCs/>
          <w:color w:val="1B2A4A"/>
          <w:sz w:val="22"/>
          <w:szCs w:val="22"/>
        </w:rPr>
        <w:t xml:space="preserve">2.6.c Succession-Based Presidential Term: </w:t>
      </w:r>
      <w:r>
        <w:rPr>
          <w:rFonts w:ascii="Times New Roman" w:cs="Times New Roman" w:eastAsia="Times New Roman" w:hAnsi="Times New Roman"/>
          <w:color w:val="000000"/>
          <w:sz w:val="22"/>
          <w:szCs w:val="22"/>
        </w:rPr>
        <w:t xml:space="preserve">A person who assumes the presidency by succession under §2.6.a, rather than by direct election, does not thereby expend their single non-renewable presidential term within the meaning of §2.1. A succession-based president must stand for election at the next regular National Election Day presidential cycle, or at a special presidential election called by the Legislature within 90 days of succession, to continue serving beyond the succession period. If elected, that elected term constitutes their single non-renewable term. If not elected, the next person in the succession line assumes the office or a new election is called.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2.8 — Emergency Governance Protocol</w:t>
      </w:r>
    </w:p>
    <w:p>
      <w:pPr>
        <w:spacing w:after="60" w:before="60" w:line="280" w:lineRule="auto"/>
        <w:jc w:val="both"/>
      </w:pPr>
      <w:r>
        <w:rPr>
          <w:rFonts w:ascii="Times New Roman" w:cs="Times New Roman" w:eastAsia="Times New Roman" w:hAnsi="Times New Roman"/>
          <w:color w:val="000000"/>
          <w:sz w:val="22"/>
          <w:szCs w:val="22"/>
        </w:rPr>
        <w:t xml:space="preserve">If the Caretaker PM period extends beyond 90 days without a seated House — accounting for the 60-day election period and a 30-day seating grace period — the Senate automatically assumes joint emergency legislative authority by simple majority for three functions only: election administration, Basic Needs funding continuity, and active national security obligations. All Senate emergency actions require co-signature of the Caretaker PM and are recorded on the National Record System. The Optional Referendum (Article XI) applies to any Senate emergency law. This authority expires automatically the moment a new House is seated.</w:t>
      </w:r>
    </w:p>
    <w:p>
      <w:pPr>
        <w:spacing w:after="60" w:before="60" w:line="280" w:lineRule="auto"/>
        <w:jc w:val="both"/>
      </w:pPr>
      <w:r>
        <w:rPr>
          <w:rFonts w:ascii="Times New Roman" w:cs="Times New Roman" w:eastAsia="Times New Roman" w:hAnsi="Times New Roman"/>
          <w:b/>
          <w:bCs/>
          <w:color w:val="1B2A4A"/>
          <w:sz w:val="22"/>
          <w:szCs w:val="22"/>
        </w:rPr>
        <w:t xml:space="preserve">Expedited Activation — Catastrophic Attack: </w:t>
      </w:r>
      <w:r>
        <w:rPr>
          <w:rFonts w:ascii="Times New Roman" w:cs="Times New Roman" w:eastAsia="Times New Roman" w:hAnsi="Times New Roman"/>
          <w:color w:val="000000"/>
          <w:sz w:val="22"/>
          <w:szCs w:val="22"/>
        </w:rPr>
        <w:t xml:space="preserve">Where the Legislature has been physically unable to convene due to an attack on the seat of government or other catastrophic external event, the 90-day waiting period of this section is waived. Expedited activation requires joint certification by the Caretaker PM and the most senior surviving Supreme Court justice, published to the National Record System, stating that the Legislature cannot convene due to catastrophic external circumstances. Upon such certification, the Senate may immediately assume the three emergency functions of this section by majority of surviving members. Expedited activation expires automatically upon the House maintaining quorum under §2.8 Emergency Governance Protocol and electing a Speaker.</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2.9 — Clemency Limits and Legislative Amnesty</w:t>
      </w:r>
    </w:p>
    <w:p>
      <w:pPr>
        <w:spacing w:after="60" w:before="60" w:line="280" w:lineRule="auto"/>
        <w:jc w:val="both"/>
      </w:pPr>
      <w:r>
        <w:rPr>
          <w:rFonts w:ascii="Times New Roman" w:cs="Times New Roman" w:eastAsia="Times New Roman" w:hAnsi="Times New Roman"/>
          <w:b/>
          <w:bCs/>
          <w:color w:val="1B2A4A"/>
          <w:sz w:val="22"/>
          <w:szCs w:val="22"/>
        </w:rPr>
        <w:t xml:space="preserve">2.9.b Legislative Amnesty: </w:t>
      </w:r>
      <w:r>
        <w:rPr>
          <w:rFonts w:ascii="Times New Roman" w:cs="Times New Roman" w:eastAsia="Times New Roman" w:hAnsi="Times New Roman"/>
          <w:color w:val="000000"/>
          <w:sz w:val="22"/>
          <w:szCs w:val="22"/>
        </w:rPr>
        <w:t xml:space="preserve">Broad amnesty — the remission of criminal liability for a defined group of persons — is a political act requiring democratic authorization. Only the Legislature may grant amnesty, by statute passed by simple majority of both chambers. No executive may grant group amnesty. Legislative amnesty may not extend to constitutional constitutional violations, to offenses committed by officials using or abusing their official position, or to persons convicted of crimes against the fundamental rights of §1.2 and §1.3. Legislative amnesty statutes are subject to judicial review for constitutional compliance within 60 days of enactment.</w:t>
      </w:r>
    </w:p>
    <w:p>
      <w:pPr>
        <w:spacing w:after="60" w:before="60" w:line="280" w:lineRule="auto"/>
        <w:jc w:val="both"/>
      </w:pPr>
      <w:r>
        <w:rPr>
          <w:rFonts w:ascii="Times New Roman" w:cs="Times New Roman" w:eastAsia="Times New Roman" w:hAnsi="Times New Roman"/>
          <w:b/>
          <w:bCs/>
          <w:color w:val="1B2A4A"/>
          <w:sz w:val="22"/>
          <w:szCs w:val="22"/>
        </w:rPr>
        <w:t xml:space="preserve">2.9.c Self-Clemency Absolute Prohibition: </w:t>
      </w:r>
      <w:r>
        <w:rPr>
          <w:rFonts w:ascii="Times New Roman" w:cs="Times New Roman" w:eastAsia="Times New Roman" w:hAnsi="Times New Roman"/>
          <w:color w:val="000000"/>
          <w:sz w:val="22"/>
          <w:szCs w:val="22"/>
        </w:rPr>
        <w:t xml:space="preserve">No elected or appointed official of the Republic may grant clemency to themselves. This prohibition extends to any person convicted of an offense in which the official was a participant, co-conspirator, or direct beneficiary, and to any person whose conviction, if enforced, would directly benefit the official financially, politically, or personally. An attempted self-clemency grant or a grant that violates these extensions is void and may not be ratified by any subsequent official action.</w:t>
      </w:r>
    </w:p>
    <w:p>
      <w:pPr>
        <w:spacing w:after="60" w:before="60" w:line="280" w:lineRule="auto"/>
        <w:jc w:val="both"/>
      </w:pPr>
      <w:r>
        <w:rPr>
          <w:rFonts w:ascii="Times New Roman" w:cs="Times New Roman" w:eastAsia="Times New Roman" w:hAnsi="Times New Roman"/>
          <w:b/>
          <w:bCs/>
          <w:color w:val="1B2A4A"/>
          <w:sz w:val="22"/>
          <w:szCs w:val="22"/>
        </w:rPr>
        <w:t xml:space="preserve">2.9.d Cross-Chamber Clemency Review: </w:t>
      </w:r>
      <w:r>
        <w:rPr>
          <w:rFonts w:ascii="Times New Roman" w:cs="Times New Roman" w:eastAsia="Times New Roman" w:hAnsi="Times New Roman"/>
          <w:color w:val="000000"/>
          <w:sz w:val="22"/>
          <w:szCs w:val="22"/>
        </w:rPr>
        <w:t xml:space="preserve">Every clemency grant — whether by the President under §2.1.g or by the Prime Minister under §2.2.f — is subject to cross-chamber legislative review. Senate reviews PM clemency grants. The House reviews Presidential clemency grants. Within 7 days of any grant, the granting executive files a written explanatory report with the Executive Inspectorate stating: the identity of the recipient, the nature of the offense pardoned, the grounds for the grant, and any relevant circumstances the executive considered. The EI reviews the report for factual accuracy and completeness within 14 days and publishes its findings to the National Record System. The reviewing chamber then has 45 days from the date of EI publication to vote to disapprove the grant by simple majority of those present and voting. If no disapproval vote is held within the 45-day period, the grant is deemed approved and takes full effect. If the reviewing chamber votes to disapprove by simple majority within the 45-day period, the grant is void and the original sentence or legal status is reinstated. Where a grant is voided by disapproval, the executive may not resubmit clemency for the same recipient for one year from the date of the disapproval vote. The EI pre-grant factual background report required under §2.1.g and §2.2.f is distinct from the executive's post-grant explanatory report required by this provision — both are published to the National Record System and together form the complete clemency record for any grant. The reviewing chamber's 45-day period begins from the date of EI publication.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2.10 — Presidential Removal by the Legislature and Popular Vote</w:t>
      </w:r>
    </w:p>
    <w:p>
      <w:pPr>
        <w:spacing w:after="60" w:before="60" w:line="280" w:lineRule="auto"/>
        <w:jc w:val="both"/>
      </w:pPr>
      <w:r>
        <w:rPr>
          <w:rFonts w:ascii="Times New Roman" w:cs="Times New Roman" w:eastAsia="Times New Roman" w:hAnsi="Times New Roman"/>
          <w:color w:val="000000"/>
          <w:sz w:val="22"/>
          <w:szCs w:val="22"/>
        </w:rPr>
        <w:t>The President is removed exclusively through the two tracks of this section. §3.5 impeachment does not apply to the President. These tracks address situations where the President has not committed a technical constitutional violation but has lost the democratic confidence of the Legislature or the citizenry. Both tracks require either cross-institutional consensus or direct citizen participation — they cannot be used as routine political weapons by a simple majority.</w:t>
      </w:r>
    </w:p>
    <w:p>
      <w:pPr>
        <w:spacing w:after="60" w:before="60" w:line="280" w:lineRule="auto"/>
        <w:jc w:val="both"/>
      </w:pPr>
      <w:r>
        <w:rPr>
          <w:rFonts w:ascii="Times New Roman" w:cs="Times New Roman" w:eastAsia="Times New Roman" w:hAnsi="Times New Roman"/>
          <w:b/>
          <w:bCs/>
          <w:color w:val="1B2A4A"/>
          <w:sz w:val="22"/>
          <w:szCs w:val="22"/>
        </w:rPr>
        <w:t xml:space="preserve">2.10.a Path 1 — Legislative Removal: </w:t>
      </w:r>
      <w:r>
        <w:rPr>
          <w:rFonts w:ascii="Times New Roman" w:cs="Times New Roman" w:eastAsia="Times New Roman" w:hAnsi="Times New Roman"/>
          <w:color w:val="000000"/>
          <w:sz w:val="22"/>
          <w:szCs w:val="22"/>
        </w:rPr>
        <w:t xml:space="preserve">The House may initiate presidential removal by a vote of 2/3 of its full membership. If the House initiates, the Senate conducts a trial under the mechanics of §3.5.c and may remove the President by a vote of 2/3 of its full membership. Both thresholds are of full seated membership, not merely those present on the day of the vote. This track is independent of and parallel to the Inspectorate reporting and political accountability mechanisms and the §3.5 impeachment track. Unlike §3.5 impeachment, which requires only a simple House majority to initiate, this track requires a 2/3 House majority at initiation — a higher threshold reflecting the President's direct electoral mandate. The House vote under this section must be accompanied by a Statement of Grounds — a written document specifying the basis for removal in plain language, published to the National Record System simultaneously with the vote. The Statement of Grounds serves the function of Articles of Impeachment for purposes of the §3.5.c Senate trial mechanics. The Statement must identify specific conduct, decisions, or failures constituting the basis for removal; a general vote of no confidence without specific stated grounds is not sufficient. The Senate trial is limited to the grounds stated — the Senate may not convict on grounds not included in the Statement.</w:t>
      </w:r>
    </w:p>
    <w:p>
      <w:pPr>
        <w:spacing w:after="60" w:before="60" w:line="280" w:lineRule="auto"/>
        <w:jc w:val="both"/>
      </w:pPr>
      <w:r>
        <w:rPr>
          <w:rFonts w:ascii="Times New Roman" w:cs="Times New Roman" w:eastAsia="Times New Roman" w:hAnsi="Times New Roman"/>
          <w:b/>
          <w:bCs/>
          <w:color w:val="1B2A4A"/>
          <w:sz w:val="22"/>
          <w:szCs w:val="22"/>
        </w:rPr>
        <w:t xml:space="preserve">2.10.b Path 2 — Senate Referral to Popular Recall: </w:t>
      </w:r>
      <w:r>
        <w:rPr>
          <w:rFonts w:ascii="Times New Roman" w:cs="Times New Roman" w:eastAsia="Times New Roman" w:hAnsi="Times New Roman"/>
          <w:color w:val="000000"/>
          <w:sz w:val="22"/>
          <w:szCs w:val="22"/>
        </w:rPr>
        <w:t xml:space="preserve">A simple majority of the full Senate membership may refer the question of presidential removal to a national recall referendum. The referendum is conducted through the National Voting System within a period the Legislature defines by statute. The President is removed if a majority of all eligible voters vote in favour of removal — not merely a majority of those who participate in the referendum. The Senate Speaker assumes Acting Presidential Authority under §2.6.b from the date the Senate votes to refer until the referendum result is certified — the Speaker's Senate seat is not vacated during this period, since the referendum may fail and the President may return to full authority. If the referendum fails, the President resumes full authority immediately upon certification and the Speaker's acting period ends. If the referendum succeeds, §2.6.a permanent succession activates at the moment of result certification — the Speaker's Senate seat is vacated at that point and the full succession framework applies.</w:t>
      </w:r>
    </w:p>
    <w:p>
      <w:pPr>
        <w:spacing w:after="60" w:before="60" w:line="280" w:lineRule="auto"/>
        <w:jc w:val="both"/>
      </w:pPr>
      <w:r>
        <w:rPr>
          <w:rFonts w:ascii="Times New Roman" w:cs="Times New Roman" w:eastAsia="Times New Roman" w:hAnsi="Times New Roman"/>
          <w:b/>
          <w:bCs/>
          <w:color w:val="1B2A4A"/>
          <w:sz w:val="22"/>
          <w:szCs w:val="22"/>
        </w:rPr>
        <w:t xml:space="preserve">2.10.c One Referral Per Term: </w:t>
      </w:r>
      <w:r>
        <w:rPr>
          <w:rFonts w:ascii="Times New Roman" w:cs="Times New Roman" w:eastAsia="Times New Roman" w:hAnsi="Times New Roman"/>
          <w:color w:val="000000"/>
          <w:sz w:val="22"/>
          <w:szCs w:val="22"/>
        </w:rPr>
        <w:t xml:space="preserve">No second Senate referral to popular recall vote may be initiated against a President within the remainder of their current term following a referral under §2.10.b, regardless of the outcome of the first referendum. This restriction does not apply to the legislative removal track under §2.10.a, which operates independently and without term-based limitations on initiation.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III — THE LEGISLATURE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3.1 — The House</w:t>
      </w:r>
    </w:p>
    <w:p>
      <w:pPr>
        <w:spacing w:after="60" w:before="60" w:line="280" w:lineRule="auto"/>
        <w:jc w:val="both"/>
      </w:pPr>
      <w:r>
        <w:rPr>
          <w:rFonts w:ascii="Times New Roman" w:cs="Times New Roman" w:eastAsia="Times New Roman" w:hAnsi="Times New Roman"/>
          <w:b/>
          <w:bCs/>
          <w:color w:val="1B2A4A"/>
          <w:sz w:val="22"/>
          <w:szCs w:val="22"/>
        </w:rPr>
        <w:t xml:space="preserve">3.1.a House Membership Floor: </w:t>
      </w:r>
      <w:r>
        <w:rPr>
          <w:rFonts w:ascii="Times New Roman" w:cs="Times New Roman" w:eastAsia="Times New Roman" w:hAnsi="Times New Roman"/>
          <w:color w:val="000000"/>
          <w:sz w:val="22"/>
          <w:szCs w:val="22"/>
        </w:rPr>
        <w:t xml:space="preserve">the Legislature is the Republic's legislature — the House representing the People proportionally, the Senate representing the States equally. Seats in the House are allocated by proportional representation through a formula the Legislature defines by statute, subject to: a minimum of one member per State; a constitutional floor of one member per 750,000 citizens or one member per State, whichever produces the larger House; and automatic scaling with citizen population without requiring periodic legislative reauthorization. the Legislature may set a higher membership than the constitutional floor and must justify any formula producing fewer than one member per 500,000 citizens.</w:t>
      </w:r>
    </w:p>
    <w:p>
      <w:pPr>
        <w:spacing w:after="60" w:before="60" w:line="280" w:lineRule="auto"/>
        <w:jc w:val="both"/>
      </w:pPr>
      <w:r>
        <w:rPr>
          <w:rFonts w:ascii="Times New Roman" w:cs="Times New Roman" w:eastAsia="Times New Roman" w:hAnsi="Times New Roman"/>
          <w:b/>
          <w:bCs/>
          <w:color w:val="1B2A4A"/>
          <w:sz w:val="22"/>
          <w:szCs w:val="22"/>
        </w:rPr>
        <w:t xml:space="preserve">3.1.b Census Authority: </w:t>
      </w:r>
      <w:r>
        <w:rPr>
          <w:rFonts w:ascii="Times New Roman" w:cs="Times New Roman" w:eastAsia="Times New Roman" w:hAnsi="Times New Roman"/>
          <w:color w:val="000000"/>
          <w:sz w:val="22"/>
          <w:szCs w:val="22"/>
        </w:rPr>
        <w:t xml:space="preserve">The Legislative Inspectorate conducts the census rather than the Executive Inspectorate because the Executive Inspectorate is nominated by the House — the body whose seat allocation the census determines. Assigning census authority to the body nominated by that same House would create an irresolvable conflict of interest.</w:t>
      </w:r>
    </w:p>
    <w:p>
      <w:pPr>
        <w:spacing w:after="60" w:before="60" w:line="280" w:lineRule="auto"/>
        <w:jc w:val="both"/>
      </w:pPr>
      <w:r>
        <w:rPr>
          <w:rFonts w:ascii="Times New Roman" w:cs="Times New Roman" w:eastAsia="Times New Roman" w:hAnsi="Times New Roman"/>
          <w:b/>
          <w:bCs/>
          <w:color w:val="1B2A4A"/>
          <w:sz w:val="22"/>
          <w:szCs w:val="22"/>
        </w:rPr>
        <w:t xml:space="preserve">3.1.c Single-Subject Rule: </w:t>
      </w:r>
      <w:r>
        <w:rPr>
          <w:rFonts w:ascii="Times New Roman" w:cs="Times New Roman" w:eastAsia="Times New Roman" w:hAnsi="Times New Roman"/>
          <w:color w:val="000000"/>
          <w:sz w:val="22"/>
          <w:szCs w:val="22"/>
        </w:rPr>
        <w:t xml:space="preserve">Every bill must address a single, clearly defined subject. Unrelated riders or omnibus additions nullify the entire act.</w:t>
      </w:r>
    </w:p>
    <w:p>
      <w:pPr>
        <w:spacing w:after="60" w:before="60" w:line="280" w:lineRule="auto"/>
        <w:jc w:val="both"/>
      </w:pPr>
      <w:r>
        <w:rPr>
          <w:rFonts w:ascii="Times New Roman" w:cs="Times New Roman" w:eastAsia="Times New Roman" w:hAnsi="Times New Roman"/>
          <w:b/>
          <w:bCs/>
          <w:color w:val="1B2A4A"/>
          <w:sz w:val="22"/>
          <w:szCs w:val="22"/>
        </w:rPr>
        <w:t xml:space="preserve">3.1.d Bill Exposure: </w:t>
      </w:r>
      <w:r>
        <w:rPr>
          <w:rFonts w:ascii="Times New Roman" w:cs="Times New Roman" w:eastAsia="Times New Roman" w:hAnsi="Times New Roman"/>
          <w:color w:val="000000"/>
          <w:sz w:val="22"/>
          <w:szCs w:val="22"/>
        </w:rPr>
        <w:t xml:space="preserve">The House must publish every bill in full on the National Record System for a minimum period the Legislature defines by statute before a final vote.</w:t>
      </w:r>
    </w:p>
    <w:p>
      <w:pPr>
        <w:spacing w:after="60" w:before="60" w:line="280" w:lineRule="auto"/>
        <w:jc w:val="both"/>
      </w:pPr>
      <w:r>
        <w:rPr>
          <w:rFonts w:ascii="Times New Roman" w:cs="Times New Roman" w:eastAsia="Times New Roman" w:hAnsi="Times New Roman"/>
          <w:b/>
          <w:bCs/>
          <w:color w:val="1B2A4A"/>
          <w:sz w:val="22"/>
          <w:szCs w:val="22"/>
        </w:rPr>
        <w:t xml:space="preserve">3.1.e Dissolution and Emergency Elections: </w:t>
      </w:r>
      <w:r>
        <w:rPr>
          <w:rFonts w:ascii="Times New Roman" w:cs="Times New Roman" w:eastAsia="Times New Roman" w:hAnsi="Times New Roman"/>
          <w:color w:val="000000"/>
          <w:sz w:val="22"/>
          <w:szCs w:val="22"/>
        </w:rPr>
        <w:t xml:space="preserve">Failure to seat a PM within the statutory period defined under §2.3.a activates the Caretaker Protocol under §2.3.c. Members who were present and voting during the statutory selection period are subject to the election bar described in §2.3.a, subject to the good-faith participation exemption of that section. The Senate Speaker cremain in office and continue trying to seat a PM as provided in §2.3.a.</w:t>
      </w:r>
    </w:p>
    <w:p>
      <w:pPr>
        <w:spacing w:after="60" w:before="60" w:line="280" w:lineRule="auto"/>
        <w:jc w:val="both"/>
      </w:pPr>
      <w:r>
        <w:rPr>
          <w:rFonts w:ascii="Times New Roman" w:cs="Times New Roman" w:eastAsia="Times New Roman" w:hAnsi="Times New Roman"/>
          <w:b/>
          <w:bCs/>
          <w:color w:val="1B2A4A"/>
          <w:sz w:val="22"/>
          <w:szCs w:val="22"/>
        </w:rPr>
        <w:t xml:space="preserve">3.1.f House Term Limits: </w:t>
      </w:r>
      <w:r>
        <w:rPr>
          <w:rFonts w:ascii="Times New Roman" w:cs="Times New Roman" w:eastAsia="Times New Roman" w:hAnsi="Times New Roman"/>
          <w:color w:val="000000"/>
          <w:sz w:val="22"/>
          <w:szCs w:val="22"/>
        </w:rPr>
        <w:t xml:space="preserve">No person may serve more than six consecutive 2-year terms in the House of the Legislature — a maximum of 12 consecutive years. After six consecutive terms, the member must sit out one full House electoral cycle (2 years) before standing for the House again. The cooling-off period runs from the date the sixth consecutive term expires, regardless of whether that term was completed or cut short by resignation, recall, or expulsion. After the mandatory cooling-off period, the member is again eligible with no further cumulative lifetime restriction. A partial term served following a mid-term vacancy appointment or special election counts as a full consecutive term for purposes of this limit. The constructive vote, dissolution, and post-dissolution election bar provisions of §2.3 operate independently of this term limit. A member who reaches the 6-term limit and whose cooling-off period coincides with a caretaker period serves the term-limit cooling-off from the later start date.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3.2 — The Senate</w:t>
      </w:r>
    </w:p>
    <w:p>
      <w:pPr>
        <w:spacing w:after="60" w:before="60" w:line="280" w:lineRule="auto"/>
        <w:jc w:val="both"/>
      </w:pPr>
      <w:r>
        <w:rPr>
          <w:rFonts w:ascii="Times New Roman" w:cs="Times New Roman" w:eastAsia="Times New Roman" w:hAnsi="Times New Roman"/>
          <w:color w:val="000000"/>
          <w:sz w:val="22"/>
          <w:szCs w:val="22"/>
        </w:rPr>
        <w:t xml:space="preserve">The Senate represents the States. Each State sends two Senators elected statewide for staggered 6-year terms. The Speaker of the Senate is the presiding officer and first in the presidential line of succession.</w:t>
      </w:r>
    </w:p>
    <w:p>
      <w:pPr>
        <w:spacing w:after="60" w:before="60" w:line="280" w:lineRule="auto"/>
        <w:jc w:val="both"/>
      </w:pPr>
      <w:r>
        <w:rPr>
          <w:rFonts w:ascii="Times New Roman" w:cs="Times New Roman" w:eastAsia="Times New Roman" w:hAnsi="Times New Roman"/>
          <w:b/>
          <w:bCs/>
          <w:color w:val="1B2A4A"/>
          <w:sz w:val="22"/>
          <w:szCs w:val="22"/>
        </w:rPr>
        <w:t xml:space="preserve">3.2.a Senator Terms and Limits: </w:t>
      </w:r>
      <w:r>
        <w:rPr>
          <w:rFonts w:ascii="Times New Roman" w:cs="Times New Roman" w:eastAsia="Times New Roman" w:hAnsi="Times New Roman"/>
          <w:color w:val="000000"/>
          <w:sz w:val="22"/>
          <w:szCs w:val="22"/>
        </w:rPr>
        <w:t xml:space="preserve">Each Senator serves a 6-year term. No Senator may serve more than 2 consecutive terms (12 consecutive years). After 2 consecutive terms, a Senator must sit out one full term (6 years) before standing for Senate election again. After this cooling-off period, the Senator is again eligible with no further cumulative lifetime restriction.</w:t>
      </w:r>
    </w:p>
    <w:p>
      <w:pPr>
        <w:spacing w:after="60" w:before="60" w:line="280" w:lineRule="auto"/>
        <w:jc w:val="both"/>
      </w:pPr>
      <w:r>
        <w:rPr>
          <w:rFonts w:ascii="Times New Roman" w:cs="Times New Roman" w:eastAsia="Times New Roman" w:hAnsi="Times New Roman"/>
          <w:b/>
          <w:bCs/>
          <w:color w:val="1B2A4A"/>
          <w:sz w:val="22"/>
          <w:szCs w:val="22"/>
        </w:rPr>
        <w:t xml:space="preserve">3.2.b Senate Speaker Role Limit: </w:t>
      </w:r>
      <w:r>
        <w:rPr>
          <w:rFonts w:ascii="Times New Roman" w:cs="Times New Roman" w:eastAsia="Times New Roman" w:hAnsi="Times New Roman"/>
          <w:color w:val="000000"/>
          <w:sz w:val="22"/>
          <w:szCs w:val="22"/>
        </w:rPr>
        <w:t xml:space="preserve">The Senate elects a Speaker and a Deputy Speaker at the start of each legislative session. No Senator may serve as Speaker for more than 3 consecutive sessions (6 years). After 3 consecutive sessions as Speaker, the Senator must sit out at least one full session (2 years) as a non-Speaker Senator before standing for Speaker again. This limit applies to the Speaker role only and does not affect the Senator's ability to serve their State in their Senate seat.</w:t>
      </w:r>
    </w:p>
    <w:p>
      <w:pPr>
        <w:spacing w:after="60" w:before="60" w:line="280" w:lineRule="auto"/>
        <w:jc w:val="both"/>
      </w:pPr>
      <w:r>
        <w:rPr>
          <w:rFonts w:ascii="Times New Roman" w:cs="Times New Roman" w:eastAsia="Times New Roman" w:hAnsi="Times New Roman"/>
          <w:b/>
          <w:bCs/>
          <w:color w:val="1B2A4A"/>
          <w:sz w:val="22"/>
          <w:szCs w:val="22"/>
        </w:rPr>
        <w:t xml:space="preserve">3.2.c Senate Must Act on Every House Bill: </w:t>
      </w:r>
      <w:r>
        <w:rPr>
          <w:rFonts w:ascii="Times New Roman" w:cs="Times New Roman" w:eastAsia="Times New Roman" w:hAnsi="Times New Roman"/>
          <w:color w:val="000000"/>
          <w:sz w:val="22"/>
          <w:szCs w:val="22"/>
        </w:rPr>
        <w:t xml:space="preserve">The Senate must take up every House-passed bill within a period the Legislature defines by statute. If the Senate fails to act within this period, the bill is Deemed Approved and automatically passed to the executive review process.</w:t>
      </w:r>
    </w:p>
    <w:p>
      <w:pPr>
        <w:spacing w:after="60" w:before="60" w:line="280" w:lineRule="auto"/>
        <w:jc w:val="both"/>
      </w:pPr>
      <w:r>
        <w:rPr>
          <w:rFonts w:ascii="Times New Roman" w:cs="Times New Roman" w:eastAsia="Times New Roman" w:hAnsi="Times New Roman"/>
          <w:b/>
          <w:bCs/>
          <w:color w:val="1B2A4A"/>
          <w:sz w:val="22"/>
          <w:szCs w:val="22"/>
        </w:rPr>
        <w:t xml:space="preserve">3.2.d Judicial Confirmation: </w:t>
      </w:r>
      <w:r>
        <w:rPr>
          <w:rFonts w:ascii="Times New Roman" w:cs="Times New Roman" w:eastAsia="Times New Roman" w:hAnsi="Times New Roman"/>
          <w:color w:val="000000"/>
          <w:sz w:val="22"/>
          <w:szCs w:val="22"/>
        </w:rPr>
        <w:t xml:space="preserve">The Senate confirms judicial appointments by a supermajority the Legislature defines by statute — not less than 55% and not more than 67% of full Senate membership — within a period the Legislature defines. Failure to vote within that period results in the nominee being Deemed Confirmed.</w:t>
      </w:r>
    </w:p>
    <w:p>
      <w:pPr>
        <w:spacing w:after="60" w:before="60" w:line="280" w:lineRule="auto"/>
        <w:jc w:val="both"/>
      </w:pPr>
      <w:r>
        <w:rPr>
          <w:rFonts w:ascii="Times New Roman" w:cs="Times New Roman" w:eastAsia="Times New Roman" w:hAnsi="Times New Roman"/>
          <w:b/>
          <w:bCs/>
          <w:color w:val="1B2A4A"/>
          <w:sz w:val="22"/>
          <w:szCs w:val="22"/>
        </w:rPr>
        <w:t xml:space="preserve">3.2.e Treaty Ratification: </w:t>
      </w:r>
      <w:r>
        <w:rPr>
          <w:rFonts w:ascii="Times New Roman" w:cs="Times New Roman" w:eastAsia="Times New Roman" w:hAnsi="Times New Roman"/>
          <w:color w:val="000000"/>
          <w:sz w:val="22"/>
          <w:szCs w:val="22"/>
        </w:rPr>
        <w:t xml:space="preserve">All international treaties require a 2/3 Senate vote to be binding on the Republic. All mutual defense treaties must contain language accurately describing the Republic's constitutional authorization process for military action, including the Tier 1 through Tier 3 framework. Treaty partners enter the alliance with full knowledge of these constraints. All mutual defense treaties must also explicitly define the threshold of attack or hostile action that triggers the mutual defense obligation — including whether and under what conditions cyberattacks, proxy warfare, economic coercion, or hybrid operations qualify as triggering events. A treaty that does not contain a defined triggering threshold may not be ratified. The defined threshold is the standard applied when assessing whether a triggering incident meets the treaty's terms under §12.5.a. This transparency requirement ensures treaty obligations are entered honestly and enforced consistently.</w:t>
      </w:r>
    </w:p>
    <w:p>
      <w:pPr>
        <w:spacing w:after="60" w:before="60" w:line="280" w:lineRule="auto"/>
        <w:jc w:val="both"/>
      </w:pPr>
      <w:r>
        <w:rPr>
          <w:rFonts w:ascii="Times New Roman" w:cs="Times New Roman" w:eastAsia="Times New Roman" w:hAnsi="Times New Roman"/>
          <w:color w:val="000000"/>
          <w:sz w:val="22"/>
          <w:szCs w:val="22"/>
        </w:rPr>
        <w:t xml:space="preserve">3.2.e.i Treaty Domestic Application: A ratified treaty is binding on the Republic as a matter of international obligation from the date of Senate ratification. Its provisions are directly applicable in domestic courts as federal law from the same date, unless: (a) the treaty expressly states that implementing legislation is required before domestic application; or (b) the treaty's operative provisions are insufficiently definite to be applied by courts without further legislative specification. The Legislature must by statute establish a treaty implementation framework within two years of Phase 4 activation. The framework may designate specific treaty categories or individual treaties as requiring implementing legislation before domestic courts may apply them. In the absence of a Legislature determination that a specific treaty requires implementing legislation, courts apply the treaty directly as federal law. A Legislature determination that a treaty requires implementing legislation is not itself subject to presidential veto — it is a legislative act governing the domestic legal order, not a policy objection within the President's domain.</w:t>
      </w:r>
    </w:p>
    <w:p>
      <w:pPr>
        <w:spacing w:after="60" w:before="60" w:line="280" w:lineRule="auto"/>
        <w:jc w:val="both"/>
      </w:pPr>
      <w:r>
        <w:rPr>
          <w:rFonts w:ascii="Times New Roman" w:cs="Times New Roman" w:eastAsia="Times New Roman" w:hAnsi="Times New Roman"/>
          <w:color w:val="000000"/>
          <w:sz w:val="22"/>
          <w:szCs w:val="22"/>
        </w:rPr>
        <w:t xml:space="preserve">3.2.e.ii Treaty Withdrawal: The President may initiate withdrawal from any ratified treaty by publishing a formal notice of withdrawal to the National Record System, specifying the treaty, the effective withdrawal date, and the grounds for withdrawal. The earliest permissible effective withdrawal date is six months from the date of NRS publication. The President must notify treaty partners through appropriate diplomatic channels simultaneously with NRS publication. Withdrawal operates differently for different treaty categories:</w:t>
      </w:r>
    </w:p>
    <w:p>
      <w:pPr>
        <w:spacing w:after="60" w:before="60" w:line="280" w:lineRule="auto"/>
        <w:jc w:val="both"/>
      </w:pPr>
      <w:r>
        <w:rPr>
          <w:rFonts w:ascii="Times New Roman" w:cs="Times New Roman" w:eastAsia="Times New Roman" w:hAnsi="Times New Roman"/>
          <w:color w:val="000000"/>
          <w:sz w:val="22"/>
          <w:szCs w:val="22"/>
        </w:rPr>
        <w:t xml:space="preserve">(a) General treaties — During the six-month notice period, the Senate may block withdrawal by a simple majority vote of full seated membership. A Senate block is published to the NRS and is final — withdrawal does not take effect and a new withdrawal notice may not be filed on the same treaty within one year of the block. Where the Senate does not vote to block within the six-month period, withdrawal takes effect automatically on the effective date.</w:t>
      </w:r>
    </w:p>
    <w:p>
      <w:pPr>
        <w:spacing w:after="60" w:before="60" w:line="280" w:lineRule="auto"/>
        <w:jc w:val="both"/>
      </w:pPr>
      <w:r>
        <w:rPr>
          <w:rFonts w:ascii="Times New Roman" w:cs="Times New Roman" w:eastAsia="Times New Roman" w:hAnsi="Times New Roman"/>
          <w:color w:val="000000"/>
          <w:sz w:val="22"/>
          <w:szCs w:val="22"/>
        </w:rPr>
        <w:t xml:space="preserve">(b) Mutual defense treaties — During the six-month notice period, the Senate must affirmatively confirm withdrawal by a simple majority vote of full seated membership before withdrawal takes effect. Where the Senate has not confirmed withdrawal within six months of the notice, withdrawal does not take effect and the treaty remains in force. The President may file a new withdrawal notice after 90 days. Withdrawal from a mutual defense treaty may not be initiated while the Republic is engaged in active Tier 2 or Tier 3 military operations under that treaty's obligations.</w:t>
      </w:r>
    </w:p>
    <w:p>
      <w:pPr>
        <w:spacing w:after="60" w:before="60" w:line="280" w:lineRule="auto"/>
        <w:jc w:val="both"/>
      </w:pPr>
      <w:r>
        <w:rPr>
          <w:rFonts w:ascii="Times New Roman" w:cs="Times New Roman" w:eastAsia="Times New Roman" w:hAnsi="Times New Roman"/>
          <w:color w:val="000000"/>
          <w:sz w:val="22"/>
          <w:szCs w:val="22"/>
        </w:rPr>
        <w:t xml:space="preserve">(c) Indigenous treaties — No treaty with an indigenous nation recognized under Article XIV may be withdrawn, abrogated, or unilaterally modified by the President or any other Republic authority. Article XIV governs all indigenous treaty obligations and this provision does not alter them.</w:t>
      </w:r>
    </w:p>
    <w:p>
      <w:pPr>
        <w:spacing w:after="60" w:before="60" w:line="280" w:lineRule="auto"/>
        <w:jc w:val="both"/>
      </w:pPr>
      <w:r>
        <w:rPr>
          <w:rFonts w:ascii="Times New Roman" w:cs="Times New Roman" w:eastAsia="Times New Roman" w:hAnsi="Times New Roman"/>
          <w:color w:val="000000"/>
          <w:sz w:val="22"/>
          <w:szCs w:val="22"/>
        </w:rPr>
        <w:t xml:space="preserve">(d) All withdrawal notices, Senate blocking votes, Senate confirmation votes, and withdrawal completion dates are published to the National Record System and constitute permanent entries in the Republic's constitutional record.</w:t>
      </w:r>
    </w:p>
    <w:p>
      <w:pPr>
        <w:spacing w:after="60" w:before="60" w:line="280" w:lineRule="auto"/>
        <w:jc w:val="both"/>
      </w:pPr>
      <w:r>
        <w:rPr>
          <w:rFonts w:ascii="Times New Roman" w:cs="Times New Roman" w:eastAsia="Times New Roman" w:hAnsi="Times New Roman"/>
          <w:b/>
          <w:bCs/>
          <w:color w:val="1B2A4A"/>
          <w:sz w:val="22"/>
          <w:szCs w:val="22"/>
        </w:rPr>
        <w:t xml:space="preserve">3.2.f Impeachment Trials: </w:t>
      </w:r>
      <w:r>
        <w:rPr>
          <w:rFonts w:ascii="Times New Roman" w:cs="Times New Roman" w:eastAsia="Times New Roman" w:hAnsi="Times New Roman"/>
          <w:color w:val="000000"/>
          <w:sz w:val="22"/>
          <w:szCs w:val="22"/>
        </w:rPr>
        <w:t xml:space="preserve">The Senate conducts all impeachment trials. Conviction and removal requires a 2/3 Senate vote.</w:t>
      </w:r>
    </w:p>
    <w:p>
      <w:pPr>
        <w:spacing w:after="60" w:before="60" w:line="280" w:lineRule="auto"/>
        <w:jc w:val="both"/>
      </w:pPr>
      <w:r>
        <w:rPr>
          <w:rFonts w:ascii="Times New Roman" w:cs="Times New Roman" w:eastAsia="Times New Roman" w:hAnsi="Times New Roman"/>
          <w:b/>
          <w:bCs/>
          <w:color w:val="1B2A4A"/>
          <w:sz w:val="22"/>
          <w:szCs w:val="22"/>
        </w:rPr>
        <w:t xml:space="preserve">3.2.g Survivor Quorum — Catastrophic Casualty Events: </w:t>
      </w:r>
      <w:r>
        <w:rPr>
          <w:rFonts w:ascii="Times New Roman" w:cs="Times New Roman" w:eastAsia="Times New Roman" w:hAnsi="Times New Roman"/>
          <w:color w:val="000000"/>
          <w:sz w:val="22"/>
          <w:szCs w:val="22"/>
        </w:rPr>
        <w:t xml:space="preserve">Where Senate membership is reduced by 50% or more due to a single catastrophic external event, surviving senators constitute the Senate for emergency governance purposes. A majority of surviving members constitutes a quorum, and all voting thresholds apply to surviving membership rather than full membership. This emergency configuration has the same scope limitations and automatic expiration conditions as §2.6.</w:t>
      </w:r>
    </w:p>
    <w:p>
      <w:pPr>
        <w:spacing w:after="60" w:before="60" w:line="280" w:lineRule="auto"/>
        <w:jc w:val="both"/>
      </w:pPr>
      <w:r>
        <w:rPr>
          <w:rFonts w:ascii="Times New Roman" w:cs="Times New Roman" w:eastAsia="Times New Roman" w:hAnsi="Times New Roman"/>
          <w:b/>
          <w:bCs/>
          <w:color w:val="1B2A4A"/>
          <w:sz w:val="22"/>
          <w:szCs w:val="22"/>
        </w:rPr>
        <w:t xml:space="preserve">3.2.h Senate Speaker Vacancy: </w:t>
      </w:r>
      <w:r>
        <w:rPr>
          <w:rFonts w:ascii="Times New Roman" w:cs="Times New Roman" w:eastAsia="Times New Roman" w:hAnsi="Times New Roman"/>
          <w:color w:val="000000"/>
          <w:sz w:val="22"/>
          <w:szCs w:val="22"/>
        </w:rPr>
        <w:t xml:space="preserve">Upon any vacancy in the Senate Speaker role — whether through death, resignation, expulsion, recall, or term expiration outside a normal session start — the Deputy Speaker assumes the Senate Speaker's role in the presidential succession line under §2.6.a immediately and without further vote. The Senate must elect a new Speaker within 72 hours of the vacancy arising. If the Senate cannot convene within 72 hours due to a catastrophic external event qualifying under §3.2.g, the Deputy Speaker continues in the succession role until the Senate convenes and elects a new Speaker. The 72-hour clock restarts from the date the Senate is able to convene. The Speaker vacancy and the succession assumption are recorded on the National Record System within 24 hours of occurrence.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3.3 — The Life Cycle of a Law</w:t>
      </w:r>
    </w:p>
    <w:p>
      <w:pPr>
        <w:spacing w:after="60" w:before="60" w:line="280" w:lineRule="auto"/>
        <w:jc w:val="both"/>
      </w:pPr>
      <w:r>
        <w:rPr>
          <w:rFonts w:ascii="Times New Roman" w:cs="Times New Roman" w:eastAsia="Times New Roman" w:hAnsi="Times New Roman"/>
          <w:b/>
          <w:bCs/>
          <w:color w:val="1B2A4A"/>
          <w:sz w:val="22"/>
          <w:szCs w:val="22"/>
        </w:rPr>
        <w:t xml:space="preserve">3.3.a Legislative Mandate Enforcement: </w:t>
      </w:r>
      <w:r>
        <w:rPr>
          <w:rFonts w:ascii="Times New Roman" w:cs="Times New Roman" w:eastAsia="Times New Roman" w:hAnsi="Times New Roman"/>
          <w:color w:val="000000"/>
          <w:sz w:val="22"/>
          <w:szCs w:val="22"/>
        </w:rPr>
        <w:t xml:space="preserve">If the Legislature fails to enact a constitutionally mandated statute within the specified timeframe — or within two budget cycles where no timeframe is specified — the matter automatically becomes eligible for an Optional Referendum under §11.1 without requiring a citizen petition. The Electoral Commission publishes to the National Record System a Notice of Legislative Inaction identifying the unfulfilled constitutional mandate. The Optional Referendum, if held, may direct the Legislature to enact a specific statutory framework or may establish a default rule that operates until the Legislature acts. the Legislature may not waive this consequence. Its purpose is to ensure that the Constitution's statutory delegations are genuine mandates, not aspirational suggestions.</w:t>
      </w:r>
    </w:p>
    <w:p>
      <w:pPr>
        <w:spacing w:after="60" w:before="60" w:line="280" w:lineRule="auto"/>
        <w:jc w:val="both"/>
      </w:pPr>
      <w:r>
        <w:rPr>
          <w:rFonts w:ascii="Times New Roman" w:cs="Times New Roman" w:eastAsia="Times New Roman" w:hAnsi="Times New Roman"/>
          <w:b/>
          <w:bCs/>
          <w:color w:val="1B2A4A"/>
          <w:sz w:val="22"/>
          <w:szCs w:val="22"/>
        </w:rPr>
        <w:t xml:space="preserve">3.3.b Standard Passage: </w:t>
      </w:r>
      <w:r>
        <w:rPr>
          <w:rFonts w:ascii="Times New Roman" w:cs="Times New Roman" w:eastAsia="Times New Roman" w:hAnsi="Times New Roman"/>
          <w:color w:val="000000"/>
          <w:sz w:val="22"/>
          <w:szCs w:val="22"/>
        </w:rPr>
        <w:t xml:space="preserve">Bills pass by simple majority in both chambers, subject to the Legislative Review Period (§2.5).</w:t>
      </w:r>
    </w:p>
    <w:p>
      <w:pPr>
        <w:spacing w:after="60" w:before="60" w:line="280" w:lineRule="auto"/>
        <w:jc w:val="both"/>
      </w:pPr>
      <w:r>
        <w:rPr>
          <w:rFonts w:ascii="Times New Roman" w:cs="Times New Roman" w:eastAsia="Times New Roman" w:hAnsi="Times New Roman"/>
          <w:b/>
          <w:bCs/>
          <w:color w:val="1B2A4A"/>
          <w:sz w:val="22"/>
          <w:szCs w:val="22"/>
        </w:rPr>
        <w:t xml:space="preserve">3.3.c Presidential Veto Override: </w:t>
      </w:r>
      <w:r>
        <w:rPr>
          <w:rFonts w:ascii="Times New Roman" w:cs="Times New Roman" w:eastAsia="Times New Roman" w:hAnsi="Times New Roman"/>
          <w:color w:val="000000"/>
          <w:sz w:val="22"/>
          <w:szCs w:val="22"/>
        </w:rPr>
        <w:t xml:space="preserve">A Presidential Veto requires a 2/3 vote in both chambers simultaneously to override.</w:t>
      </w:r>
    </w:p>
    <w:p>
      <w:pPr>
        <w:spacing w:after="60" w:before="60" w:line="280" w:lineRule="auto"/>
        <w:jc w:val="both"/>
      </w:pPr>
      <w:r>
        <w:rPr>
          <w:rFonts w:ascii="Times New Roman" w:cs="Times New Roman" w:eastAsia="Times New Roman" w:hAnsi="Times New Roman"/>
          <w:b/>
          <w:bCs/>
          <w:color w:val="1B2A4A"/>
          <w:sz w:val="22"/>
          <w:szCs w:val="22"/>
        </w:rPr>
        <w:t xml:space="preserve">3.3.d Record System Entry: </w:t>
      </w:r>
      <w:r>
        <w:rPr>
          <w:rFonts w:ascii="Times New Roman" w:cs="Times New Roman" w:eastAsia="Times New Roman" w:hAnsi="Times New Roman"/>
          <w:color w:val="000000"/>
          <w:sz w:val="22"/>
          <w:szCs w:val="22"/>
        </w:rPr>
        <w:t xml:space="preserve">The presiding officer of each chamber digitally signs each enacted law and records it on the National Record System with a timestamp.</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3.4 — Electoral Districts</w:t>
      </w:r>
    </w:p>
    <w:p>
      <w:pPr>
        <w:spacing w:after="60" w:before="60" w:line="280" w:lineRule="auto"/>
        <w:jc w:val="both"/>
      </w:pPr>
      <w:r>
        <w:rPr>
          <w:rFonts w:ascii="Times New Roman" w:cs="Times New Roman" w:eastAsia="Times New Roman" w:hAnsi="Times New Roman"/>
          <w:color w:val="000000"/>
          <w:sz w:val="22"/>
          <w:szCs w:val="22"/>
        </w:rPr>
        <w:t xml:space="preserve">Districts are redrawn on the census cycle the Legislature defines under §3.4.g, concurrent with the Legislative Inspectorate's population census</w:t>
      </w:r>
    </w:p>
    <w:p>
      <w:pPr>
        <w:spacing w:after="60" w:before="60" w:line="280" w:lineRule="auto"/>
        <w:jc w:val="both"/>
      </w:pPr>
      <w:r>
        <w:rPr>
          <w:rFonts w:ascii="Times New Roman" w:cs="Times New Roman" w:eastAsia="Times New Roman" w:hAnsi="Times New Roman"/>
          <w:b/>
          <w:bCs/>
          <w:color w:val="1B2A4A"/>
          <w:sz w:val="22"/>
          <w:szCs w:val="22"/>
        </w:rPr>
        <w:t xml:space="preserve">3.4.a Criteria Hierarchy: </w:t>
      </w:r>
      <w:r>
        <w:rPr>
          <w:rFonts w:ascii="Times New Roman" w:cs="Times New Roman" w:eastAsia="Times New Roman" w:hAnsi="Times New Roman"/>
          <w:color w:val="000000"/>
          <w:sz w:val="22"/>
          <w:szCs w:val="22"/>
        </w:rPr>
        <w:t xml:space="preserve">Districts are drawn applying these criteria in order of priority: (1) Equal Population — each district must contain approximately equal numbers of citizens, with deviation from equality permitted only as necessary to satisfy lower-priority criteria, within a tolerance defined by House statute; (2) Geographic Contiguity — every part of a district must be physically connected; (3) Geographic Compactness — districts must minimize their perimeter relative to their area; districts whose shape requires mathematical rather than geographic explanation fail this criterion; (4) Natural and Administrative Boundaries — preference is given to following natural features such as rivers and mountain ranges, and existing administrative boundaries such as county and municipal borders; (5) Community of Interest — where populations share a common economic, geographic, or cultural identity, they should be kept together provided this does not conflict with higher-priority criteria.</w:t>
      </w:r>
    </w:p>
    <w:p>
      <w:pPr>
        <w:spacing w:after="60" w:before="60" w:line="280" w:lineRule="auto"/>
        <w:jc w:val="both"/>
      </w:pPr>
      <w:r>
        <w:rPr>
          <w:rFonts w:ascii="Times New Roman" w:cs="Times New Roman" w:eastAsia="Times New Roman" w:hAnsi="Times New Roman"/>
          <w:b/>
          <w:bCs/>
          <w:color w:val="1B2A4A"/>
          <w:sz w:val="22"/>
          <w:szCs w:val="22"/>
        </w:rPr>
        <w:t xml:space="preserve">3.4.b Prohibited Inputs: </w:t>
      </w:r>
      <w:r>
        <w:rPr>
          <w:rFonts w:ascii="Times New Roman" w:cs="Times New Roman" w:eastAsia="Times New Roman" w:hAnsi="Times New Roman"/>
          <w:color w:val="000000"/>
          <w:sz w:val="22"/>
          <w:szCs w:val="22"/>
        </w:rPr>
        <w:t xml:space="preserve">The following data may not be used at any stage of the district-drawing process: partisan registration data; voting history data; incumbent or candidate residence; and racial or ethnic composition as a primary consideration. Use of prohibited inputs by any person or body involved in district drawing is reported to the National Record System by the relevant Inspectorate.7.</w:t>
      </w:r>
    </w:p>
    <w:p>
      <w:pPr>
        <w:spacing w:after="60" w:before="60" w:line="280" w:lineRule="auto"/>
        <w:jc w:val="both"/>
      </w:pPr>
      <w:r>
        <w:rPr>
          <w:rFonts w:ascii="Times New Roman" w:cs="Times New Roman" w:eastAsia="Times New Roman" w:hAnsi="Times New Roman"/>
          <w:b/>
          <w:bCs/>
          <w:color w:val="1B2A4A"/>
          <w:sz w:val="22"/>
          <w:szCs w:val="22"/>
        </w:rPr>
        <w:t xml:space="preserve">3.4.c Drawing Authority — States: </w:t>
      </w:r>
      <w:r>
        <w:rPr>
          <w:rFonts w:ascii="Times New Roman" w:cs="Times New Roman" w:eastAsia="Times New Roman" w:hAnsi="Times New Roman"/>
          <w:color w:val="000000"/>
          <w:sz w:val="22"/>
          <w:szCs w:val="22"/>
        </w:rPr>
        <w:t xml:space="preserve">Each State draws its own federal House district maps through an independent redistricting commission established by State statute. The commission must be structurally independent of the State legislature and State executive — no current or recent elected official, party official, or legislative staff member may serve on it. The commission applies the criteria hierarchy of §3.4.a, may not use the prohibited inputs of §3.4.b, and must publish its full methodology — every data source and every discretionary choice — alongside proposed maps. Maps are submitted to the Legislative Inspectorate for compliance review within the statutory timeline the Legislature defines.</w:t>
      </w:r>
    </w:p>
    <w:p>
      <w:pPr>
        <w:spacing w:after="60" w:before="60" w:line="280" w:lineRule="auto"/>
        <w:jc w:val="both"/>
      </w:pPr>
      <w:r>
        <w:rPr>
          <w:rFonts w:ascii="Times New Roman" w:cs="Times New Roman" w:eastAsia="Times New Roman" w:hAnsi="Times New Roman"/>
          <w:b/>
          <w:bCs/>
          <w:color w:val="1B2A4A"/>
          <w:sz w:val="22"/>
          <w:szCs w:val="22"/>
        </w:rPr>
        <w:t xml:space="preserve">3.4.d Drawing Authority — Federal Territories: </w:t>
      </w:r>
      <w:r>
        <w:rPr>
          <w:rFonts w:ascii="Times New Roman" w:cs="Times New Roman" w:eastAsia="Times New Roman" w:hAnsi="Times New Roman"/>
          <w:color w:val="000000"/>
          <w:sz w:val="22"/>
          <w:szCs w:val="22"/>
        </w:rPr>
        <w:t xml:space="preserve">For federal Territories, which have no State legislature, the Legislative Inspectorate draws federal House district maps directly, applying the same criteria and prohibitions. Territorial residents may participate in a public comment period of not less than 30 days before maps take effect.</w:t>
      </w:r>
    </w:p>
    <w:p>
      <w:pPr>
        <w:spacing w:after="60" w:before="60" w:line="280" w:lineRule="auto"/>
        <w:jc w:val="both"/>
      </w:pPr>
      <w:r>
        <w:rPr>
          <w:rFonts w:ascii="Times New Roman" w:cs="Times New Roman" w:eastAsia="Times New Roman" w:hAnsi="Times New Roman"/>
          <w:b/>
          <w:bCs/>
          <w:color w:val="1B2A4A"/>
          <w:sz w:val="22"/>
          <w:szCs w:val="22"/>
        </w:rPr>
        <w:t xml:space="preserve">3.4.e National Compliance Review: </w:t>
      </w:r>
      <w:r>
        <w:rPr>
          <w:rFonts w:ascii="Times New Roman" w:cs="Times New Roman" w:eastAsia="Times New Roman" w:hAnsi="Times New Roman"/>
          <w:color w:val="000000"/>
          <w:sz w:val="22"/>
          <w:szCs w:val="22"/>
        </w:rPr>
        <w:t xml:space="preserve">The Legislative Inspectorate reviews every State-drawn map for compliance with the criteria hierarchy and prohibited input requirements. The LI may not redraw maps for policy preferences — its review is strictly criteria compliance. Where a State map fails compliance, the LI returns it with a written finding specifying the criterion violated; the State commission has a defined statutory period to redraw. A State that fails to produce a compliant map within the statutory remediation period has its maps drawn by the Legislative Inspectorate for that census cycle only, with the State commission restored for the next cycle. All maps and all LI compliance findings are published permanently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3.4.f Court Adjudication: </w:t>
      </w:r>
      <w:r>
        <w:rPr>
          <w:rFonts w:ascii="Times New Roman" w:cs="Times New Roman" w:eastAsia="Times New Roman" w:hAnsi="Times New Roman"/>
          <w:color w:val="000000"/>
          <w:sz w:val="22"/>
          <w:szCs w:val="22"/>
        </w:rPr>
        <w:t xml:space="preserve">Any citizen, State government, or parliamentary minority of 1/3 may challenge a proposed district map by petitioning the Supreme Court within the 60-day public review period after LI compliance certification. The Court reviews the map against the criteria hierarchy in order of priority, and may consider whether a challenger demonstrates through clear statistical evidence that the map could not have been drawn by a neutral actor applying the criteria correctly. The Court may order the State commission or the LI to redraw specific districts but may not draw districts itself. Maps not challenged within 60 days take effect automatically.</w:t>
      </w:r>
    </w:p>
    <w:p>
      <w:pPr>
        <w:spacing w:after="60" w:before="60" w:line="280" w:lineRule="auto"/>
        <w:jc w:val="both"/>
      </w:pPr>
      <w:r>
        <w:rPr>
          <w:rFonts w:ascii="Times New Roman" w:cs="Times New Roman" w:eastAsia="Times New Roman" w:hAnsi="Times New Roman"/>
          <w:b/>
          <w:bCs/>
          <w:color w:val="1B2A4A"/>
          <w:sz w:val="22"/>
          <w:szCs w:val="22"/>
        </w:rPr>
        <w:t xml:space="preserve">3.4.g Continuity: </w:t>
      </w:r>
      <w:r>
        <w:rPr>
          <w:rFonts w:ascii="Times New Roman" w:cs="Times New Roman" w:eastAsia="Times New Roman" w:hAnsi="Times New Roman"/>
          <w:color w:val="000000"/>
          <w:sz w:val="22"/>
          <w:szCs w:val="22"/>
        </w:rPr>
        <w:t xml:space="preserve">A valid district map remains in effect until the next census cycle. the Legislature defines the census cycle period by statute, not to exceed 10 years.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3.5 — Impeachment Initiation (House-Originated)</w:t>
      </w:r>
    </w:p>
    <w:p>
      <w:pPr>
        <w:spacing w:after="60" w:before="60" w:line="280" w:lineRule="auto"/>
        <w:jc w:val="both"/>
      </w:pPr>
      <w:r>
        <w:rPr>
          <w:rFonts w:ascii="Times New Roman" w:cs="Times New Roman" w:eastAsia="Times New Roman" w:hAnsi="Times New Roman"/>
          <w:color w:val="000000"/>
          <w:sz w:val="22"/>
          <w:szCs w:val="22"/>
        </w:rPr>
        <w:t>This section governs the political impeachment track — initiated by the House and distinct from the Inspectorate reporting and political accountability mechanisms. This section applies to: officers appointed by and serving in the President's executive domain — including intelligence directors, senior diplomatic officers, and military commanders serving in civilian advisory capacities — and to inferior court judges. The President is not subject to this section — presidential removal is governed exclusively by §2.10. The Prime Minister is not subject to this section — PM removal is governed exclusively by the constructive no-confidence mechanism of §2.3.b. Supreme Court justices are not subject to this section — SC removal is governed exclusively by §4.1.c. Legislative members of the House and Senate are not subject to this section — their removal is governed exclusively by §3.6.</w:t>
      </w:r>
    </w:p>
    <w:p>
      <w:pPr>
        <w:spacing w:after="60" w:before="60" w:line="280" w:lineRule="auto"/>
        <w:jc w:val="both"/>
      </w:pPr>
      <w:r>
        <w:rPr>
          <w:rFonts w:ascii="Times New Roman" w:cs="Times New Roman" w:eastAsia="Times New Roman" w:hAnsi="Times New Roman"/>
          <w:b/>
          <w:bCs/>
          <w:color w:val="1B2A4A"/>
          <w:sz w:val="22"/>
          <w:szCs w:val="22"/>
        </w:rPr>
        <w:t xml:space="preserve">3.5.a Impeachment Inquiry: </w:t>
      </w:r>
      <w:r>
        <w:rPr>
          <w:rFonts w:ascii="Times New Roman" w:cs="Times New Roman" w:eastAsia="Times New Roman" w:hAnsi="Times New Roman"/>
          <w:color w:val="000000"/>
          <w:sz w:val="22"/>
          <w:szCs w:val="22"/>
        </w:rPr>
        <w:t xml:space="preserve">Any 1/3 minority of the House may open a formal impeachment inquiry into any elected or appointed federal official. The inquiry is conducted by a House committee with findings published to the National Record System. An inquiry carries no immediate consequences for the official. Inquiries lapse at the end of the legislative session if no Articles of Impeachment are filed.</w:t>
      </w:r>
    </w:p>
    <w:p>
      <w:pPr>
        <w:spacing w:after="60" w:before="60" w:line="280" w:lineRule="auto"/>
        <w:jc w:val="both"/>
      </w:pPr>
      <w:r>
        <w:rPr>
          <w:rFonts w:ascii="Times New Roman" w:cs="Times New Roman" w:eastAsia="Times New Roman" w:hAnsi="Times New Roman"/>
          <w:b/>
          <w:bCs/>
          <w:color w:val="1B2A4A"/>
          <w:sz w:val="22"/>
          <w:szCs w:val="22"/>
        </w:rPr>
        <w:t xml:space="preserve">3.5.b Articles of Impeachment: </w:t>
      </w:r>
      <w:r>
        <w:rPr>
          <w:rFonts w:ascii="Times New Roman" w:cs="Times New Roman" w:eastAsia="Times New Roman" w:hAnsi="Times New Roman"/>
          <w:color w:val="000000"/>
          <w:sz w:val="22"/>
          <w:szCs w:val="22"/>
        </w:rPr>
        <w:t xml:space="preserve">The full House votes on Articles of Impeachment by simple majority of the full membership of the House — not merely those present on the day of the vote. Passage transmits the Articles immediately to the Senate and publishes them permanently to the National Record System. The Articles must state specific grounds in plain language. The official continues in office pending the Senate trial; suspension occurs only upon the chamber's own constitutional processes, not upon Inspectorate findings alone. Where impeachment and Inspectorate findings coincide, both processes proceed concurrently on their respective tracks status. The two tracks proceed independently and the more restrictive consequence applies.</w:t>
      </w:r>
    </w:p>
    <w:p>
      <w:pPr>
        <w:spacing w:after="60" w:before="60" w:line="280" w:lineRule="auto"/>
        <w:jc w:val="both"/>
      </w:pPr>
      <w:r>
        <w:rPr>
          <w:rFonts w:ascii="Times New Roman" w:cs="Times New Roman" w:eastAsia="Times New Roman" w:hAnsi="Times New Roman"/>
          <w:b/>
          <w:bCs/>
          <w:color w:val="1B2A4A"/>
          <w:sz w:val="22"/>
          <w:szCs w:val="22"/>
        </w:rPr>
        <w:t xml:space="preserve">3.5.c Senate Trial: </w:t>
      </w:r>
      <w:r>
        <w:rPr>
          <w:rFonts w:ascii="Times New Roman" w:cs="Times New Roman" w:eastAsia="Times New Roman" w:hAnsi="Times New Roman"/>
          <w:color w:val="000000"/>
          <w:sz w:val="22"/>
          <w:szCs w:val="22"/>
        </w:rPr>
        <w:t xml:space="preserve">The Supreme Court's most senior justice — defined as the justice who has served longest on the current Court, with the eldest by age as the tiebreaker — presides over the Senate trial, unless that justice is the subject of the proceedings, in which case the Senate Speaker presides. The trial is conducted in public and recorded on the National Record System. Conviction and removal requires a 2/3 vote of the full Senate membership — not merely those present on the day of the vote. On conviction: removal from office is automatic and immediate; the Senate may additionally vote by simple majority to bar the convicted official from holding any future federal office; all criminal liability remains separately pursuable in the courts. Acquittal is final — no further impeachment proceedings on the same Articles and the same conduct may be initiated. An acquitted or convicted official retains all Article I rights.</w:t>
      </w:r>
    </w:p>
    <w:p>
      <w:pPr>
        <w:spacing w:after="60" w:before="60" w:line="280" w:lineRule="auto"/>
        <w:jc w:val="both"/>
      </w:pPr>
      <w:r>
        <w:rPr>
          <w:rFonts w:ascii="Times New Roman" w:cs="Times New Roman" w:eastAsia="Times New Roman" w:hAnsi="Times New Roman"/>
          <w:b/>
          <w:bCs/>
          <w:color w:val="1B2A4A"/>
          <w:sz w:val="22"/>
          <w:szCs w:val="22"/>
        </w:rPr>
        <w:t xml:space="preserve">3.5.d Executive Continuity During Impeachment: </w:t>
      </w:r>
      <w:r>
        <w:rPr>
          <w:rFonts w:ascii="Times New Roman" w:cs="Times New Roman" w:eastAsia="Times New Roman" w:hAnsi="Times New Roman"/>
          <w:color w:val="000000"/>
          <w:sz w:val="22"/>
          <w:szCs w:val="22"/>
        </w:rPr>
        <w:t xml:space="preserve">Impeachment of the President does not suspend presidential operations — the presidential succession line activates for defense and diplomatic functions immediately upon the House passing Articles, with the Senate Speaker assuming defense and diplomatic responsibilities pending the trial's conclusion. Impeachment of the Prime Minister activates the Caretaker PM protocol (§2.3.c) immediately upon the House passing Articles. In both cases, the impeached official retains personal Article I rights but is relieved of executive authority pending the Senate trial.</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3.6 — Legislative Expulsion by Peers</w:t>
      </w:r>
    </w:p>
    <w:p>
      <w:pPr>
        <w:spacing w:after="60" w:before="60" w:line="280" w:lineRule="auto"/>
        <w:jc w:val="both"/>
      </w:pPr>
      <w:r>
        <w:rPr>
          <w:rFonts w:ascii="Times New Roman" w:cs="Times New Roman" w:eastAsia="Times New Roman" w:hAnsi="Times New Roman"/>
          <w:color w:val="000000"/>
          <w:sz w:val="22"/>
          <w:szCs w:val="22"/>
        </w:rPr>
        <w:t xml:space="preserve">Each chamber may expel its own members for conduct that fundamentally violates the public trust. Expulsion is a legislative self-governance mechanism — not a criminal punishment, which proceeds separately through the courts. Expulsion may not substitute for, or preclude, criminal prosecution.</w:t>
      </w:r>
    </w:p>
    <w:p>
      <w:pPr>
        <w:spacing w:after="60" w:before="60" w:line="280" w:lineRule="auto"/>
        <w:jc w:val="both"/>
      </w:pPr>
      <w:r>
        <w:rPr>
          <w:rFonts w:ascii="Times New Roman" w:cs="Times New Roman" w:eastAsia="Times New Roman" w:hAnsi="Times New Roman"/>
          <w:b/>
          <w:bCs/>
          <w:color w:val="1B2A4A"/>
          <w:sz w:val="22"/>
          <w:szCs w:val="22"/>
        </w:rPr>
        <w:t xml:space="preserve">3.6.a House Expulsion: </w:t>
      </w:r>
      <w:r>
        <w:rPr>
          <w:rFonts w:ascii="Times New Roman" w:cs="Times New Roman" w:eastAsia="Times New Roman" w:hAnsi="Times New Roman"/>
          <w:color w:val="000000"/>
          <w:sz w:val="22"/>
          <w:szCs w:val="22"/>
        </w:rPr>
        <w:t xml:space="preserve">The House may expel any of its members by a 2/3 vote of the full membership of the House. Before any expulsion vote, a House ethics committee must conduct a published investigation presenting specific findings to the full House. The stated grounds for expulsion and the investigation findings are published permanently to the National Record System on the day of the vote.</w:t>
      </w:r>
    </w:p>
    <w:p>
      <w:pPr>
        <w:spacing w:after="60" w:before="60" w:line="280" w:lineRule="auto"/>
        <w:jc w:val="both"/>
      </w:pPr>
      <w:r>
        <w:rPr>
          <w:rFonts w:ascii="Times New Roman" w:cs="Times New Roman" w:eastAsia="Times New Roman" w:hAnsi="Times New Roman"/>
          <w:b/>
          <w:bCs/>
          <w:color w:val="1B2A4A"/>
          <w:sz w:val="22"/>
          <w:szCs w:val="22"/>
        </w:rPr>
        <w:t xml:space="preserve">3.6.b Senate Expulsion: </w:t>
      </w:r>
      <w:r>
        <w:rPr>
          <w:rFonts w:ascii="Times New Roman" w:cs="Times New Roman" w:eastAsia="Times New Roman" w:hAnsi="Times New Roman"/>
          <w:color w:val="000000"/>
          <w:sz w:val="22"/>
          <w:szCs w:val="22"/>
        </w:rPr>
        <w:t xml:space="preserve">The Senate may expel any of its members by a 2/3 vote of the full Senate membership, subject to the same published investigation and National Record System publication requirements.</w:t>
      </w:r>
    </w:p>
    <w:p>
      <w:pPr>
        <w:spacing w:after="60" w:before="60" w:line="280" w:lineRule="auto"/>
        <w:jc w:val="both"/>
      </w:pPr>
      <w:r>
        <w:rPr>
          <w:rFonts w:ascii="Times New Roman" w:cs="Times New Roman" w:eastAsia="Times New Roman" w:hAnsi="Times New Roman"/>
          <w:b/>
          <w:bCs/>
          <w:color w:val="1B2A4A"/>
          <w:sz w:val="22"/>
          <w:szCs w:val="22"/>
        </w:rPr>
        <w:t xml:space="preserve">3.6.c Anti-Weaponization Threshold: </w:t>
      </w:r>
      <w:r>
        <w:rPr>
          <w:rFonts w:ascii="Times New Roman" w:cs="Times New Roman" w:eastAsia="Times New Roman" w:hAnsi="Times New Roman"/>
          <w:color w:val="000000"/>
          <w:sz w:val="22"/>
          <w:szCs w:val="22"/>
        </w:rPr>
        <w:t xml:space="preserve">Any expulsion vote that takes effect within 30 days of a scheduled vote on a bill or resolution that the member being expelled was publicly opposing requires a 3/4 supermajority of the full membership of the relevant chamber rather than 2/3. This higher threshold prevents expulsion from being used as a mechanism to alter the outcome of pending legislative votes.</w:t>
      </w:r>
    </w:p>
    <w:p>
      <w:pPr>
        <w:spacing w:after="60" w:before="60" w:line="280" w:lineRule="auto"/>
        <w:jc w:val="both"/>
      </w:pPr>
      <w:r>
        <w:rPr>
          <w:rFonts w:ascii="Times New Roman" w:cs="Times New Roman" w:eastAsia="Times New Roman" w:hAnsi="Times New Roman"/>
          <w:b/>
          <w:bCs/>
          <w:color w:val="1B2A4A"/>
          <w:sz w:val="22"/>
          <w:szCs w:val="22"/>
        </w:rPr>
        <w:t xml:space="preserve">3.6.d Consequences and Restoration: </w:t>
      </w:r>
      <w:r>
        <w:rPr>
          <w:rFonts w:ascii="Times New Roman" w:cs="Times New Roman" w:eastAsia="Times New Roman" w:hAnsi="Times New Roman"/>
          <w:color w:val="000000"/>
          <w:sz w:val="22"/>
          <w:szCs w:val="22"/>
        </w:rPr>
        <w:t xml:space="preserve">An expelled member may not stand for election to any federal legislative office for one full House electoral cycle (2 years) following expulsion. After that period, the People retain the right to re-elect the expelled member — expulsion is a legislative judgment, not a permanent bar on democratic participation. The expulsion record remains permanently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3.6.e Recall Mechanisms — States and Territories: </w:t>
      </w:r>
      <w:r>
        <w:rPr>
          <w:rFonts w:ascii="Times New Roman" w:cs="Times New Roman" w:eastAsia="Times New Roman" w:hAnsi="Times New Roman"/>
          <w:color w:val="000000"/>
          <w:sz w:val="22"/>
          <w:szCs w:val="22"/>
        </w:rPr>
        <w:t xml:space="preserve">Nothing in this section prevents States and Territories from establishing recall mechanisms for their Senators and House members by their own statute. State and Territory recall mechanisms and the relevant chamber's own expulsion power operate independently. Where both a recall proceeding and a chamber expulsion proceeding proceed simultaneously, whichever takes effect first determines the member's removal from office. The 2-year re-election bar of §3.6.d applies if chamber expulsion takes effect first, regardless of any concurrent recall proceeding. The federal government may not restrict or penalise States or Territories for establishing or exercising recall mechanisms consistent with this section.</w:t>
      </w:r>
    </w:p>
    <w:p>
      <w:pPr>
        <w:spacing w:after="60" w:before="60" w:line="280" w:lineRule="auto"/>
        <w:jc w:val="both"/>
      </w:pPr>
      <w:r>
        <w:rPr>
          <w:rFonts w:ascii="Times New Roman" w:cs="Times New Roman" w:eastAsia="Times New Roman" w:hAnsi="Times New Roman"/>
          <w:b/>
          <w:bCs/>
          <w:color w:val="1B2A4A"/>
          <w:sz w:val="22"/>
          <w:szCs w:val="22"/>
        </w:rPr>
        <w:t xml:space="preserve">3.6.f Vacancy Filling — States and Territories: </w:t>
      </w:r>
      <w:r>
        <w:rPr>
          <w:rFonts w:ascii="Times New Roman" w:cs="Times New Roman" w:eastAsia="Times New Roman" w:hAnsi="Times New Roman"/>
          <w:color w:val="000000"/>
          <w:sz w:val="22"/>
          <w:szCs w:val="22"/>
        </w:rPr>
        <w:t xml:space="preserve">When a House or Senate seat becomes vacant mid-term through death, resignation, expulsion, or recall, the relevant State or Territory determines the replacement process by its own statute — whether by special election, gubernatorial or executive appointment, party nomination, or other mechanism consistent with the democratic principles of this Constitution. the Legislature must by statute define a maximum period within which any vacant federal legislative seat must be filled, ensuring no State or Territory may leave a seat indefinitely vacant and thereby deprive its constituents of representation in the federal legislature. Until that seat is filled, the relevant chamber continues to operate and vote; all supermajority and majority thresholds are calculated against the full constitutional membership, not the reduced seated membership. In the absence of a statute under this section, no federal legislative seat may remain vacant beyond one full legislative session from the date the vacancy arose. The Electoral Commission must initiate the filling process no later than the first day of the session following the vacancy if no statute has been enacted.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IV — THE JUDICIAL ARCHITECTURE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4.1 — Court Structure</w:t>
      </w:r>
    </w:p>
    <w:p>
      <w:pPr>
        <w:spacing w:after="60" w:before="60" w:line="280" w:lineRule="auto"/>
        <w:jc w:val="both"/>
      </w:pPr>
      <w:r>
        <w:rPr>
          <w:rFonts w:ascii="Times New Roman" w:cs="Times New Roman" w:eastAsia="Times New Roman" w:hAnsi="Times New Roman"/>
          <w:color w:val="000000"/>
          <w:sz w:val="22"/>
          <w:szCs w:val="22"/>
        </w:rPr>
        <w:t xml:space="preserve">The Republic's judiciary operates at three levels: (1) District Courts — fact-finding and evidence; (2) Appellate Courts — rules compliance; and (3) the Supreme Court — final constitutional authority. States and the Republic may maintain distinct administrative law systems and specialised court structures by statute, provided that any question of constitutional interpretation arising in any proceeding may be referred to the Supreme Court by any party or by the presiding court of its own motion. Constitutional supremacy and the Supreme Court's jurisdiction over constitutional questions are not diminished by the maintenance of parallel legal structures. Where an administrative or specialised court determines that no constitutional question is presented, any party may petition the Supreme Court directly for a constitutional question certification within 30 days of that determination. The Supreme Court may accept or decline the certification; acceptance stays the administrative proceeding pending constitutional resolution. This certification petition mechanism does not apply to indigenous courts operating under Article XIV compacts, where §14.3.c's Emergency Rights Writ provides the relevant constitutional challenge pathway.</w:t>
      </w:r>
    </w:p>
    <w:p>
      <w:pPr>
        <w:spacing w:after="60" w:before="60" w:line="280" w:lineRule="auto"/>
        <w:jc w:val="both"/>
      </w:pPr>
      <w:r>
        <w:rPr>
          <w:rFonts w:ascii="Times New Roman" w:cs="Times New Roman" w:eastAsia="Times New Roman" w:hAnsi="Times New Roman"/>
          <w:b/>
          <w:bCs/>
          <w:color w:val="1B2A4A"/>
          <w:sz w:val="22"/>
          <w:szCs w:val="22"/>
        </w:rPr>
        <w:t xml:space="preserve">4.1.a Establishment: </w:t>
      </w:r>
      <w:r>
        <w:rPr>
          <w:rFonts w:ascii="Times New Roman" w:cs="Times New Roman" w:eastAsia="Times New Roman" w:hAnsi="Times New Roman"/>
          <w:color w:val="000000"/>
          <w:sz w:val="22"/>
          <w:szCs w:val="22"/>
        </w:rPr>
        <w:t xml:space="preserve">Only the House may create or abolish inferior courts by statute.</w:t>
      </w:r>
    </w:p>
    <w:p>
      <w:pPr>
        <w:spacing w:after="60" w:before="60" w:line="280" w:lineRule="auto"/>
        <w:jc w:val="both"/>
      </w:pPr>
      <w:r>
        <w:rPr>
          <w:rFonts w:ascii="Times New Roman" w:cs="Times New Roman" w:eastAsia="Times New Roman" w:hAnsi="Times New Roman"/>
          <w:b/>
          <w:bCs/>
          <w:color w:val="1B2A4A"/>
          <w:sz w:val="22"/>
          <w:szCs w:val="22"/>
        </w:rPr>
        <w:t xml:space="preserve">4.1.b Appointment of Inferior Court Judges: </w:t>
      </w:r>
      <w:r>
        <w:rPr>
          <w:rFonts w:ascii="Times New Roman" w:cs="Times New Roman" w:eastAsia="Times New Roman" w:hAnsi="Times New Roman"/>
          <w:color w:val="000000"/>
          <w:sz w:val="22"/>
          <w:szCs w:val="22"/>
        </w:rPr>
        <w:t xml:space="preserve">The PM nominates lower court judges within 90 days of any vacancy; the House confirms by a supermajority of not less than 55% and not more than 67% of the full seated membership of the House — the Legislature may by statute define the specific threshold within this constitutional range within a Legislature-defined period; the Supreme Court commissions all confirmed judges. If the House fails to vote on any nomination within the Legislature-defined confirmation period, the nominee is Deemed Confirmed and the Supreme Court commissions them immediately.</w:t>
      </w:r>
    </w:p>
    <w:p>
      <w:pPr>
        <w:spacing w:after="60" w:before="60" w:line="280" w:lineRule="auto"/>
        <w:jc w:val="both"/>
      </w:pPr>
      <w:r>
        <w:rPr>
          <w:rFonts w:ascii="Times New Roman" w:cs="Times New Roman" w:eastAsia="Times New Roman" w:hAnsi="Times New Roman"/>
          <w:b/>
          <w:bCs/>
          <w:color w:val="1B2A4A"/>
          <w:sz w:val="22"/>
          <w:szCs w:val="22"/>
        </w:rPr>
        <w:t xml:space="preserve">Candidate Disclosure and EI Review: </w:t>
      </w:r>
      <w:r>
        <w:rPr>
          <w:rFonts w:ascii="Times New Roman" w:cs="Times New Roman" w:eastAsia="Times New Roman" w:hAnsi="Times New Roman"/>
          <w:color w:val="000000"/>
          <w:sz w:val="22"/>
          <w:szCs w:val="22"/>
        </w:rPr>
        <w:t xml:space="preserve">Before the House confirmation vote on any PM-nominated inferior court judge, the PM must submit a candidate disclosure record for the nominated judge to the Executive Inspectorate. The record must include the nominee's professional background, credentials in law and judicial experience, financial disclosures, and prior government positions. The Executive Inspectorate reviews the submitted record for factual accuracy and publishes the record together with its recommendation to the National Record System before the confirming chamber votes. Any citizen who identifies a discrepancy in a published nominee record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 xml:space="preserve">PM Failure — Senate Nomination: </w:t>
      </w:r>
      <w:r>
        <w:rPr>
          <w:rFonts w:ascii="Times New Roman" w:cs="Times New Roman" w:eastAsia="Times New Roman" w:hAnsi="Times New Roman"/>
          <w:color w:val="000000"/>
          <w:sz w:val="22"/>
          <w:szCs w:val="22"/>
        </w:rPr>
        <w:t>Where the PM fails to nominate within 90 days of a vacancy, the Senate may nominate a candidate. The Senate's nominee must meet the same professional qualifications the PM would be expected to apply and is subject to the same EI disclosure review as a PM-nominated candidate under §4.1.b before the House confirmation vote. That nomination proceeds to House confirmation on the same supermajority standard and Deemed Confirmed timeline.</w:t>
      </w:r>
    </w:p>
    <w:p>
      <w:pPr>
        <w:spacing w:after="60" w:before="60" w:line="280" w:lineRule="auto"/>
        <w:jc w:val="both"/>
      </w:pPr>
      <w:r>
        <w:rPr>
          <w:rFonts w:ascii="Times New Roman" w:cs="Times New Roman" w:eastAsia="Times New Roman" w:hAnsi="Times New Roman"/>
          <w:color w:val="000000"/>
          <w:sz w:val="22"/>
          <w:szCs w:val="22"/>
        </w:rPr>
        <w:t xml:space="preserve">180-Day Constitutional Ceiling: No inferior court vacancy may remain unfilled beyond 180 days from the date it arises, regardless of the cause of the vacancy or the stage of the appointment process. The Legislature may by statute establish shorter timelines at any stage but may not extend the constitutional 180-day ceiling. The Legislature-defined confirmation period for inferior court judge nominations may not be set at a duration that, when combined with the time elapsed between the vacancy arising and the nomination being submitted, would cause Deemed Confirmation to occur after the 180-day constitutional ceiling from the date of vacancy.</w:t>
      </w:r>
    </w:p>
    <w:p>
      <w:pPr>
        <w:spacing w:after="60" w:before="60" w:line="280" w:lineRule="auto"/>
        <w:jc w:val="both"/>
      </w:pPr>
      <w:r>
        <w:rPr>
          <w:rFonts w:ascii="Times New Roman" w:cs="Times New Roman" w:eastAsia="Times New Roman" w:hAnsi="Times New Roman"/>
          <w:b/>
          <w:bCs/>
          <w:color w:val="1B2A4A"/>
          <w:sz w:val="22"/>
          <w:szCs w:val="22"/>
        </w:rPr>
        <w:t xml:space="preserve">Prorated Confirmation Period: </w:t>
      </w:r>
      <w:r>
        <w:rPr>
          <w:rFonts w:ascii="Times New Roman" w:cs="Times New Roman" w:eastAsia="Times New Roman" w:hAnsi="Times New Roman"/>
          <w:color w:val="000000"/>
          <w:sz w:val="22"/>
          <w:szCs w:val="22"/>
        </w:rPr>
        <w:t xml:space="preserve">Where a nomination is submitted late — whether by the PM after the 90-day trigger or by the Supreme Court after PM failure — the confirmation period is automatically shortened to the remaining time within the 180-day ceiling, with Deemed Confirmation occurring at the ceiling date if no vote is held.</w:t>
      </w:r>
    </w:p>
    <w:p>
      <w:pPr>
        <w:spacing w:after="60" w:before="60" w:line="280" w:lineRule="auto"/>
        <w:jc w:val="both"/>
      </w:pPr>
      <w:r>
        <w:rPr>
          <w:rFonts w:ascii="Times New Roman" w:cs="Times New Roman" w:eastAsia="Times New Roman" w:hAnsi="Times New Roman"/>
          <w:b/>
          <w:bCs/>
          <w:color w:val="1B2A4A"/>
          <w:sz w:val="22"/>
          <w:szCs w:val="22"/>
        </w:rPr>
        <w:t xml:space="preserve">4.1.d Judicial Tenure Protection: </w:t>
      </w:r>
      <w:r>
        <w:rPr>
          <w:rFonts w:ascii="Times New Roman" w:cs="Times New Roman" w:eastAsia="Times New Roman" w:hAnsi="Times New Roman"/>
          <w:color w:val="000000"/>
          <w:sz w:val="22"/>
          <w:szCs w:val="22"/>
        </w:rPr>
        <w:t>Inferior court judges, once commissioned under §4.1.b, serve during good behavior — their authority as commissioned judges is not time-limited. The Legislature may by statute establish a maximum service age or a maximum total service period for inferior court judges, provided the maximum total service period is not less than 15 years from the date of first commissioning. The Legislature may not establish fixed-term appointments of shorter duration — a judge may not be commissioned for a term of less than 15 years. This protection ensures that the removal mechanism of §4.1.c is the operative mechanism of judicial accountability. A judge whose statutory maximum service period expires is not removed through any of the three tracks; the service period expiration is a constitutional transition of a different kind, and the Legislature must by statute define the transition process including the vacancy-filling timeline that governs service period expirations.</w:t>
      </w:r>
    </w:p>
    <w:p>
      <w:pPr>
        <w:spacing w:before="60" w:after="60" w:line="280" w:lineRule="auto"/>
        <w:jc w:val="both"/>
      </w:pPr>
      <w:r>
        <w:rPr>
          <w:b/>
          <w:sz w:val="22"/>
          <w:color w:val="1B2A4A"/>
        </w:rPr>
        <w:t xml:space="preserve">4.1.c Judicial Removal: </w:t>
      </w:r>
      <w:r>
        <w:rPr>
          <w:sz w:val="22"/>
        </w:rPr>
        <w:t xml:space="preserve">Supreme Court Justice Removal: A Supreme Court justice may be removed by a concurrent vote of 2/3 of the full seated membership of both chambers. The House must first pass a Statement of Grounds — a written document specifying the specific conduct, decisions, or failures constituting the basis for removal, published to the National Record System simultaneously with the House vote — by a 2/3 majority of its full seated membership. The Senate then conducts a trial under §3.5.c mechanics, limited to the grounds stated. The Senate may not convict on grounds not included in the Statement. Removal requires a 2/3 majority of the full seated Senate membership. Both thresholds are of full seated membership, not merely those present on the day of the vote. No popular recall mechanism applies to Supreme Court justices — judicial independence requires insulation from democratic pressure on specific rulings. Inferior court judges are removed through the §3.5 impeachment process, which applies to all inferior court judges in full.</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4.2 — The Supreme Court</w:t>
      </w:r>
    </w:p>
    <w:p>
      <w:pPr>
        <w:spacing w:after="60" w:before="60" w:line="280" w:lineRule="auto"/>
        <w:jc w:val="both"/>
      </w:pPr>
      <w:r>
        <w:rPr>
          <w:rFonts w:ascii="Times New Roman" w:cs="Times New Roman" w:eastAsia="Times New Roman" w:hAnsi="Times New Roman"/>
          <w:b/>
          <w:bCs/>
          <w:color w:val="1B2A4A"/>
          <w:sz w:val="22"/>
          <w:szCs w:val="22"/>
        </w:rPr>
        <w:t xml:space="preserve">Open-Candidacy Judicial Selection: </w:t>
      </w:r>
      <w:r>
        <w:rPr>
          <w:rFonts w:ascii="Times New Roman" w:cs="Times New Roman" w:eastAsia="Times New Roman" w:hAnsi="Times New Roman"/>
          <w:color w:val="000000"/>
          <w:sz w:val="22"/>
          <w:szCs w:val="22"/>
        </w:rPr>
        <w:t>Each open Supreme Court seat is filled through an open-candidacy election process. Any citizen on the Supreme Court Candidate Registry maintained by the Judicial Inspectorate may register as a candidate. A Judicial Selection Board publishes an advisory assessment of registered candidates. Citizens elect justices by national Ranked Choice Vote. No political branch nominates or controls access to the ballot — the Registry is the eligibility filter, the Board is the expert voice, and the electorate makes the final determination.</w:t>
      </w:r>
    </w:p>
    <w:p>
      <w:pPr>
        <w:spacing w:after="60" w:before="60" w:line="280" w:lineRule="auto"/>
        <w:jc w:val="both"/>
      </w:pPr>
      <w:r>
        <w:rPr>
          <w:rFonts w:ascii="Times New Roman" w:cs="Times New Roman" w:eastAsia="Times New Roman" w:hAnsi="Times New Roman"/>
          <w:color w:val="000000"/>
          <w:sz w:val="22"/>
          <w:szCs w:val="22"/>
        </w:rPr>
        <w:t xml:space="preserve">The Supreme Court consists of nine justices elected to a single non-renewable 12-year term by national direct vote. One seat is elected every two years on the National Election Day to ensure staggered renewal. Mid-term vacancies trigger a special election within 90 days; the replacement serves only the remainder of the original term.</w:t>
      </w:r>
    </w:p>
    <w:p>
      <w:pPr>
        <w:spacing w:after="60" w:before="60" w:line="280" w:lineRule="auto"/>
        <w:jc w:val="both"/>
      </w:pPr>
      <w:r>
        <w:rPr>
          <w:rFonts w:ascii="Times New Roman" w:cs="Times New Roman" w:eastAsia="Times New Roman" w:hAnsi="Times New Roman"/>
          <w:b/>
          <w:bCs/>
          <w:color w:val="1B2A4A"/>
          <w:sz w:val="22"/>
          <w:szCs w:val="22"/>
        </w:rPr>
        <w:t xml:space="preserve">4.2.a Candidate Registration: </w:t>
      </w:r>
      <w:r>
        <w:rPr>
          <w:rFonts w:ascii="Times New Roman" w:cs="Times New Roman" w:eastAsia="Times New Roman" w:hAnsi="Times New Roman"/>
          <w:color w:val="000000"/>
          <w:sz w:val="22"/>
          <w:szCs w:val="22"/>
        </w:rPr>
        <w:t>Any citizen whose name appears on the Judicial Inspectorate's Supreme Court Candidate Registry maintained under §8.4.e may register as a candidate for an open Supreme Court seat by filing a complete disclosure record with the Executive Inspectorate. The disclosure record must include: full professional history, all judicial or legal appointments held, any financial interests that could affect impartiality, and confirmation of continued Registry eligibility. The EI reviews each disclosure record for factual accuracy and completeness within 14 days of filing and publishes its findings to the National Record System. A candidate whose disclosure record contains a material inaccuracy or who no longer meets Registry criteria is removed from the ballot; the EI publishes the grounds. All other registered candidates proceed to JI certification and the public election. The Electoral Commission administers all Supreme Court elections and may not exclude any EI-reviewed, JI-certified candidate from the ballot.</w:t>
      </w:r>
    </w:p>
    <w:p>
      <w:pPr>
        <w:spacing w:after="60" w:before="60" w:line="280" w:lineRule="auto"/>
        <w:jc w:val="both"/>
      </w:pPr>
      <w:r>
        <w:rPr>
          <w:rFonts w:ascii="Times New Roman" w:cs="Times New Roman" w:eastAsia="Times New Roman" w:hAnsi="Times New Roman"/>
          <w:b/>
          <w:bCs/>
          <w:color w:val="1B2A4A"/>
          <w:sz w:val="22"/>
          <w:szCs w:val="22"/>
        </w:rPr>
        <w:t xml:space="preserve">4.2.b Judicial Selection Board: </w:t>
      </w:r>
      <w:r>
        <w:rPr>
          <w:rFonts w:ascii="Times New Roman" w:cs="Times New Roman" w:eastAsia="Times New Roman" w:hAnsi="Times New Roman"/>
          <w:color w:val="000000"/>
          <w:sz w:val="22"/>
          <w:szCs w:val="22"/>
        </w:rPr>
        <w:t xml:space="preserve">A Judicial Selection Board publishes an advisory assessment of all registered candidates before each Supreme Court election. The Board consists of five members selected by lottery from inferior court judges who have served at least ten continuous years on the bench and who are not currently candidates for the open seat. No political branch appoints Board members — the lottery is administered by the Judicial Inspectorate from among all eligible judges. Board members serve for the duration of one selection cycle, from candidate registration through election certification. The Board assesses each candidate's judicial record, demonstrated legal reasoning, and professional independence as relevant to the Supreme Court's constitutional mandate. The assessment is advisory — the Board has no authority to remove candidates from the ballot and makes no endorsement. The full assessment is published to the National Record System no later than 60 days before the election and is publicly accessible at no cost.</w:t>
      </w:r>
    </w:p>
    <w:p>
      <w:pPr>
        <w:spacing w:after="60" w:before="60" w:line="280" w:lineRule="auto"/>
        <w:jc w:val="both"/>
      </w:pPr>
      <w:r>
        <w:rPr>
          <w:rFonts w:ascii="Times New Roman" w:cs="Times New Roman" w:eastAsia="Times New Roman" w:hAnsi="Times New Roman"/>
          <w:b/>
          <w:bCs/>
          <w:color w:val="1B2A4A"/>
          <w:sz w:val="22"/>
          <w:szCs w:val="22"/>
        </w:rPr>
        <w:t xml:space="preserve">4.2.c Judicial Inspectorate Certification: </w:t>
      </w:r>
      <w:r>
        <w:rPr>
          <w:rFonts w:ascii="Times New Roman" w:cs="Times New Roman" w:eastAsia="Times New Roman" w:hAnsi="Times New Roman"/>
          <w:color w:val="000000"/>
          <w:sz w:val="22"/>
          <w:szCs w:val="22"/>
        </w:rPr>
        <w:t>Before any candidate may appear on the ballot, the Judicial Inspectorate confirms that the candidate remains on the Supreme Court Candidate Registry, that no disqualifying change in circumstances has occurred since Registry admission, and that the specific eligibility criteria of §8.4.e continue to be met. The JI does not conduct a new independent assessment — it confirms Registry status. Candidates who fail JI certification may not proceed to the public election; the JI publishes the grounds for any certification refusal to the National Record System. A candidate who disputes a certification refusal may challenge it before an Appellate Court within 14 days; the candidate remains listed as pending during that review period. All certification determinations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4.2.d Public Election: </w:t>
      </w:r>
      <w:r>
        <w:rPr>
          <w:rFonts w:ascii="Times New Roman" w:cs="Times New Roman" w:eastAsia="Times New Roman" w:hAnsi="Times New Roman"/>
          <w:color w:val="000000"/>
          <w:sz w:val="22"/>
          <w:szCs w:val="22"/>
        </w:rPr>
        <w:t xml:space="preserve">Following JI certification, all certified candidates are placed on the ballot for a national direct election by Ranked Choice Voting on the next National Election Day, or by special election within 90 days for mid-term vacancies under §4.2.e. The winner is the candidate who achieves a national RCV majority among all certified candidates. Where a special election produces no RCV majority on first count, the standard RCV elimination process continues until one candidate holds a majority of active ballots. The Electoral Commission administers the election and certifies the result to the National Record System. The elected justice takes office upon taking the Official Oath, which is recorded on the National Record System within 24 hours of administration.</w:t>
      </w:r>
    </w:p>
    <w:p>
      <w:pPr>
        <w:spacing w:after="60" w:before="60" w:line="280" w:lineRule="auto"/>
        <w:jc w:val="both"/>
      </w:pPr>
      <w:r>
        <w:rPr>
          <w:rFonts w:ascii="Times New Roman" w:cs="Times New Roman" w:eastAsia="Times New Roman" w:hAnsi="Times New Roman"/>
          <w:b/>
          <w:bCs/>
          <w:color w:val="1B2A4A"/>
          <w:sz w:val="22"/>
          <w:szCs w:val="22"/>
        </w:rPr>
        <w:t xml:space="preserve">4.2.e Mid-Term Vacancies: </w:t>
      </w:r>
      <w:r>
        <w:rPr>
          <w:rFonts w:ascii="Times New Roman" w:cs="Times New Roman" w:eastAsia="Times New Roman" w:hAnsi="Times New Roman"/>
          <w:color w:val="000000"/>
          <w:sz w:val="22"/>
          <w:szCs w:val="22"/>
        </w:rPr>
        <w:t xml:space="preserve">Where a Supreme Court seat becomes vacant mid-term through death, resignation, removal, or expulsion, a special election is held within 90 days. The full open-candidacy process of §4.2.a through §4.2.d applies, with timelines compressed to fit the 90-day window: candidate registration closes at day 14; EI review completes by day 28; Judicial Selection Board assessment is published by day 45; JI certification completes by day 55; election is held no later than day 90. The replacement justice serves only the remainder of the original 12-year term, not a new term. Where the compressed timeline cannot be met due to extraordinary circumstances, the Judicial Inspectorate may extend the window by no more than 30 days and publishes the extension and grounds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4.2.f Emergency Panel for Tier 1 Scope Challenges: </w:t>
      </w:r>
      <w:r>
        <w:rPr>
          <w:rFonts w:ascii="Times New Roman" w:cs="Times New Roman" w:eastAsia="Times New Roman" w:hAnsi="Times New Roman"/>
          <w:color w:val="000000"/>
          <w:sz w:val="22"/>
          <w:szCs w:val="22"/>
        </w:rPr>
        <w:t xml:space="preserve">The Supreme Court designates a standing Emergency Panel of four justices drawn by rotation at the start of each two-year election cycle. The Emergency Panel has sole jurisdiction over constitutional scope challenges to Tier 1 presidential authority during active Tier 1 operations and must rule within 48 hours of any such challenge. A scope ruling by the Emergency Panel is binding on the full Court unless overruled by a majority of the full Court within 72 hours. If the Emergency Panel cannot convene within the 48-hour window due to vacancy or incapacity, the two most senior available justices outside the Panel constitute an emergency quorum with the same authority. A Tier 1 scope challenge does not suspend the operation being challenged pending the Panel's ruling. The Emergency Panel rotation must maintain continuity: at least two members of the sitting Emergency Panel must have served on the prior cycle's Panel. Where fewer than two prior Panel members remain available for the new cycle due to retirement, term expiration, or incapacity, the Supreme Court designates the most senior available justices with prior Panel experience as replacements; if no prior Panel members are available, continuity is satisfied by the most senior available justices by years of service on the Court.</w:t>
      </w:r>
    </w:p>
    <w:p>
      <w:pPr>
        <w:spacing w:after="60" w:before="60" w:line="280" w:lineRule="auto"/>
        <w:jc w:val="both"/>
      </w:pPr>
      <w:r>
        <w:rPr>
          <w:rFonts w:ascii="Times New Roman" w:cs="Times New Roman" w:eastAsia="Times New Roman" w:hAnsi="Times New Roman"/>
          <w:b/>
          <w:bCs/>
          <w:color w:val="1B2A4A"/>
          <w:sz w:val="22"/>
          <w:szCs w:val="22"/>
        </w:rPr>
        <w:t xml:space="preserve">4.2.g Vacancy Operating Rules: </w:t>
      </w:r>
      <w:r>
        <w:rPr>
          <w:rFonts w:ascii="Times New Roman" w:cs="Times New Roman" w:eastAsia="Times New Roman" w:hAnsi="Times New Roman"/>
          <w:color w:val="000000"/>
          <w:sz w:val="22"/>
          <w:szCs w:val="22"/>
        </w:rPr>
        <w:t xml:space="preserve">During any period when a Supreme Court seat is vacant, the Court continues to function with its remaining seated justices. Where a case produces an equal division among seated justices with no majority position, the lower court's ruling is affirmed without creating binding precedent for any court of the Republic. This affirmance-without-precedent rule applies only during vacancy periods and expires when the vacant seat is filled. the Legislature may not alter this rule in any way that restricts the Court's ability to issue binding rulings on constitutional questions during extended vacancies.</w:t>
      </w:r>
    </w:p>
    <w:p>
      <w:pPr>
        <w:spacing w:after="60" w:before="60" w:line="280" w:lineRule="auto"/>
        <w:jc w:val="both"/>
      </w:pPr>
      <w:r>
        <w:rPr>
          <w:rFonts w:ascii="Times New Roman" w:cs="Times New Roman" w:eastAsia="Times New Roman" w:hAnsi="Times New Roman"/>
          <w:b/>
          <w:bCs/>
          <w:color w:val="1B2A4A"/>
          <w:sz w:val="22"/>
          <w:szCs w:val="22"/>
        </w:rPr>
        <w:t xml:space="preserve">4.2.h Judicial Recusal: </w:t>
      </w:r>
      <w:r>
        <w:rPr>
          <w:rFonts w:ascii="Times New Roman" w:cs="Times New Roman" w:eastAsia="Times New Roman" w:hAnsi="Times New Roman"/>
          <w:color w:val="000000"/>
          <w:sz w:val="22"/>
          <w:szCs w:val="22"/>
        </w:rPr>
        <w:t xml:space="preserve">the Legislature must by statute establish a recusal framework for Supreme Court justices. The framework must require recusal where a justice received material campaign support — financial or organizational — from any party to a pending case, or where a justice has a financial interest in the outcome. A justice who fails to recuse in circumstances the framework identifies as mandatory may be reported to the Judicial Inspectorate, which publishes its finding to the National Record System. the Legislature must enact the initial recusal framework within two years of this Constitution's Phase 4 activation. Constitutional Default Standard: In the absence of a statutory recusal framework two years after Phase 4 activation, a Supreme Court justice must recuse from any proceeding where their impartiality could reasonably be questioned by an informed and reasonable observer with knowledge of the relevant facts. This default standard is self-executing and directly enforceable. Any party to a proceeding before the Court may petition for recusal under this standard. The recusal determination on that petition is made by the remaining justices by majority. A statutory framework enacted after the two-year period supersedes this default prospectively.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4.3 — Judicial Independence and Scope of Authority</w:t>
      </w:r>
    </w:p>
    <w:p>
      <w:pPr>
        <w:spacing w:after="60" w:before="60" w:line="280" w:lineRule="auto"/>
        <w:jc w:val="both"/>
      </w:pPr>
      <w:r>
        <w:rPr>
          <w:rFonts w:ascii="Times New Roman" w:cs="Times New Roman" w:eastAsia="Times New Roman" w:hAnsi="Times New Roman"/>
          <w:color w:val="000000"/>
          <w:sz w:val="22"/>
          <w:szCs w:val="22"/>
        </w:rPr>
        <w:t xml:space="preserve">The following principles govern the scope and independence of all courts in the Republic. Courts act only on cases brought by a party with a concrete, articulable injury. Judges may not issue advisory opinions, preemptive rulings, or summary rulings without full merits process. All decisions altering legal status require full merits briefings, oral arguments, and a published written decision. Judges apply the Constitution as written. Where the Constitution is silent, judges apply the principle most consistent with the Individual Sovereignty Floor and the separation of presidential and prime ministerial domains.</w:t>
      </w:r>
    </w:p>
    <w:p>
      <w:pPr>
        <w:spacing w:after="60" w:before="60" w:line="280" w:lineRule="auto"/>
        <w:jc w:val="both"/>
      </w:pPr>
      <w:r>
        <w:rPr>
          <w:rFonts w:ascii="Times New Roman" w:cs="Times New Roman" w:eastAsia="Times New Roman" w:hAnsi="Times New Roman"/>
          <w:b/>
          <w:bCs/>
          <w:color w:val="1B2A4A"/>
          <w:sz w:val="22"/>
          <w:szCs w:val="22"/>
        </w:rPr>
        <w:t xml:space="preserve">4.3.a Declaration of Unconstitutionality: </w:t>
      </w:r>
      <w:r>
        <w:rPr>
          <w:rFonts w:ascii="Times New Roman" w:cs="Times New Roman" w:eastAsia="Times New Roman" w:hAnsi="Times New Roman"/>
          <w:color w:val="000000"/>
          <w:sz w:val="22"/>
          <w:szCs w:val="22"/>
        </w:rPr>
        <w:t xml:space="preserve">The Supreme Court may declare any statute, executive order, treaty provision, or government action unconstitutional. A declaration of unconstitutionality renders the relevant provision without legal effect from the date of the Court's ruling. The Court may not rewrite legislation — it may only declare provisions invalid, leaving the Legislature to legislate a replacement. Lower courts may apply this doctrine but constitutional questions must be certified to the Supreme Court on appeal.</w:t>
      </w:r>
    </w:p>
    <w:p>
      <w:pPr>
        <w:spacing w:after="60" w:before="60" w:line="280" w:lineRule="auto"/>
        <w:jc w:val="both"/>
      </w:pPr>
      <w:r>
        <w:rPr>
          <w:rFonts w:ascii="Times New Roman" w:cs="Times New Roman" w:eastAsia="Times New Roman" w:hAnsi="Times New Roman"/>
          <w:b/>
          <w:bCs/>
          <w:color w:val="1B2A4A"/>
          <w:sz w:val="22"/>
          <w:szCs w:val="22"/>
        </w:rPr>
        <w:t xml:space="preserve">4.3.b Organizational Standing: </w:t>
      </w:r>
      <w:r>
        <w:rPr>
          <w:rFonts w:ascii="Times New Roman" w:cs="Times New Roman" w:eastAsia="Times New Roman" w:hAnsi="Times New Roman"/>
          <w:color w:val="000000"/>
          <w:sz w:val="22"/>
          <w:szCs w:val="22"/>
        </w:rPr>
        <w:t xml:space="preserve">An organization may bring a constitutional claim on behalf of its members where: (a) at least one member would individually have standing to bring the claim — suffering a concrete, articulable injury of the kind alleged; (b) the claim is germane to the organization's established constitutional purpose; and (c) neither the claim nor the relief sought requires the participation of individual members as parties. Organizational standing does not expand the court's jurisdiction beyond the concrete injury requirement — it recognizes that constitutional violations affecting a class of persons are judicially addressable without requiring each affected person to file separately. An organization invoking this provision must identify at least one member with specific, articulable injury and publish that identification to the National Record System concurrent with filing.</w:t>
      </w:r>
    </w:p>
    <w:p>
      <w:pPr>
        <w:spacing w:after="60" w:before="60" w:line="280" w:lineRule="auto"/>
        <w:jc w:val="both"/>
      </w:pPr>
      <w:r>
        <w:rPr>
          <w:rFonts w:ascii="Times New Roman" w:cs="Times New Roman" w:eastAsia="Times New Roman" w:hAnsi="Times New Roman"/>
          <w:b/>
          <w:bCs/>
          <w:color w:val="1B2A4A"/>
          <w:sz w:val="22"/>
          <w:szCs w:val="22"/>
        </w:rPr>
        <w:t xml:space="preserve">4.3.c Ripeness and Mootness: </w:t>
      </w:r>
      <w:r>
        <w:rPr>
          <w:rFonts w:ascii="Times New Roman" w:cs="Times New Roman" w:eastAsia="Times New Roman" w:hAnsi="Times New Roman"/>
          <w:color w:val="000000"/>
          <w:sz w:val="22"/>
          <w:szCs w:val="22"/>
        </w:rPr>
        <w:t xml:space="preserve">Courts may not rule on cases that are not ripe for decision — where the alleged injury has not yet materialized into a concrete harm and the claim rests on speculative future events. Courts may not rule on cases that have become moot — where the dispute has been resolved, the injury has ceased, or changed circumstances have eliminated any live controversy between the parties. The prohibition on advisory opinions in §4.3 applies equally to unripe and moot cases. A case does not become moot solely because the challenged government action has ended if: (a) the action is capable of repetition yet evading review — recurring conduct that regularly concludes before courts can rule; or (b) the defendant voluntarily ceased the challenged conduct but the court has no assurance the conduct will not resume. The Supreme Court determines ripeness and mootness standards by published decision; the Legislature may not alter these standards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4.4 — Interstate Recognition of Judgments and Public Acts</w:t>
      </w:r>
    </w:p>
    <w:p>
      <w:pPr>
        <w:spacing w:after="60" w:before="60" w:line="280" w:lineRule="auto"/>
        <w:jc w:val="both"/>
      </w:pPr>
      <w:r>
        <w:rPr>
          <w:rFonts w:ascii="Times New Roman" w:cs="Times New Roman" w:eastAsia="Times New Roman" w:hAnsi="Times New Roman"/>
          <w:color w:val="000000"/>
          <w:sz w:val="22"/>
          <w:szCs w:val="22"/>
        </w:rPr>
        <w:t xml:space="preserve">The Republic is a unified legal space. A person's legal rights and status — established by a court of law or a government of any State or Territory — follow them throughout the Republic. A court order, final judgment, or official public act of any State or Territory has legal force in every other State and Territory without re-litigation of its merits. This principle is foundational to freedom of movement: the right to travel and reside throughout the Republic (§1.12) is substantive only if a person's legal life travels with them.</w:t>
      </w:r>
    </w:p>
    <w:p>
      <w:pPr>
        <w:spacing w:after="60" w:before="60" w:line="280" w:lineRule="auto"/>
        <w:jc w:val="both"/>
      </w:pPr>
      <w:r>
        <w:rPr>
          <w:rFonts w:ascii="Times New Roman" w:cs="Times New Roman" w:eastAsia="Times New Roman" w:hAnsi="Times New Roman"/>
          <w:b/>
          <w:bCs/>
          <w:color w:val="1B2A4A"/>
          <w:sz w:val="22"/>
          <w:szCs w:val="22"/>
        </w:rPr>
        <w:t xml:space="preserve">4.4.a Judicial Judgments: </w:t>
      </w:r>
      <w:r>
        <w:rPr>
          <w:rFonts w:ascii="Times New Roman" w:cs="Times New Roman" w:eastAsia="Times New Roman" w:hAnsi="Times New Roman"/>
          <w:color w:val="000000"/>
          <w:sz w:val="22"/>
          <w:szCs w:val="22"/>
        </w:rPr>
        <w:t xml:space="preserve">A final judgment of any State or Territory court — including money judgments, injunctions, custody and guardianship orders, divorce decrees, probate orders, and restraining orders — must be recognized and enforced in every other State and Territory. A court presented with an out-of-State judgment may not re-examine the merits of the underlying dispute. Recognition may be withheld only on these grounds, which the Legislature may define further by statute: the issuing court lacked jurisdiction over the subject matter or the parties; the judgment was obtained by fraud on the court; the judgment is facially contrary to a fundamental right guaranteed by Article I; or enforcement would require an act the Legislature has defined by statute as categorically unenforceable. These grounds are exhaustive — a State or Territory court may not create additional bases for non-recognition.</w:t>
      </w:r>
    </w:p>
    <w:p>
      <w:pPr>
        <w:spacing w:after="60" w:before="60" w:line="280" w:lineRule="auto"/>
        <w:jc w:val="both"/>
      </w:pPr>
      <w:r>
        <w:rPr>
          <w:rFonts w:ascii="Times New Roman" w:cs="Times New Roman" w:eastAsia="Times New Roman" w:hAnsi="Times New Roman"/>
          <w:b/>
          <w:bCs/>
          <w:color w:val="1B2A4A"/>
          <w:sz w:val="22"/>
          <w:szCs w:val="22"/>
        </w:rPr>
        <w:t xml:space="preserve">4.4.b NRS Authentication: </w:t>
      </w:r>
      <w:r>
        <w:rPr>
          <w:rFonts w:ascii="Times New Roman" w:cs="Times New Roman" w:eastAsia="Times New Roman" w:hAnsi="Times New Roman"/>
          <w:color w:val="000000"/>
          <w:sz w:val="22"/>
          <w:szCs w:val="22"/>
        </w:rPr>
        <w:t xml:space="preserve">A judgment published to the National Record System by the issuing court is presumptive proof of its existence, authenticity, content, and finality. No further certification, apostille, or authentication process may be required before a State or Territory court gives it effect. A party challenging the authenticity of an NRS-published judgment bears the burden of demonstrating a specific defect in the NRS record; the presumption of authenticity is not rebutted by general objection.</w:t>
      </w:r>
    </w:p>
    <w:p>
      <w:pPr>
        <w:spacing w:after="60" w:before="60" w:line="280" w:lineRule="auto"/>
        <w:jc w:val="both"/>
      </w:pPr>
      <w:r>
        <w:rPr>
          <w:rFonts w:ascii="Times New Roman" w:cs="Times New Roman" w:eastAsia="Times New Roman" w:hAnsi="Times New Roman"/>
          <w:b/>
          <w:bCs/>
          <w:color w:val="1B2A4A"/>
          <w:sz w:val="22"/>
          <w:szCs w:val="22"/>
        </w:rPr>
        <w:t xml:space="preserve">4.4.c Public Acts and Official Records: </w:t>
      </w:r>
      <w:r>
        <w:rPr>
          <w:rFonts w:ascii="Times New Roman" w:cs="Times New Roman" w:eastAsia="Times New Roman" w:hAnsi="Times New Roman"/>
          <w:color w:val="000000"/>
          <w:sz w:val="22"/>
          <w:szCs w:val="22"/>
        </w:rPr>
        <w:t xml:space="preserve">The official acts and public records of every State and Territory government — including birth, death, and marriage certificates; property deeds and title records; corporate registrations and business entity records; professional licenses issued under State law; and official identity documents — are entitled to recognition by all other States and Territories as authentic and legally effective. A State or Territory may verify an official record through the NRS but may not refuse recognition of a properly published official record on grounds of the issuing jurisdiction's identity alone.</w:t>
      </w:r>
    </w:p>
    <w:p>
      <w:pPr>
        <w:spacing w:after="60" w:before="60" w:line="280" w:lineRule="auto"/>
        <w:jc w:val="both"/>
      </w:pPr>
      <w:r>
        <w:rPr>
          <w:rFonts w:ascii="Times New Roman" w:cs="Times New Roman" w:eastAsia="Times New Roman" w:hAnsi="Times New Roman"/>
          <w:b/>
          <w:bCs/>
          <w:color w:val="1B2A4A"/>
          <w:sz w:val="22"/>
          <w:szCs w:val="22"/>
        </w:rPr>
        <w:t xml:space="preserve">4.4.d Status Orders — Special Protections: </w:t>
      </w:r>
      <w:r>
        <w:rPr>
          <w:rFonts w:ascii="Times New Roman" w:cs="Times New Roman" w:eastAsia="Times New Roman" w:hAnsi="Times New Roman"/>
          <w:color w:val="000000"/>
          <w:sz w:val="22"/>
          <w:szCs w:val="22"/>
        </w:rPr>
        <w:t xml:space="preserve">Orders establishing personal status — including custody and guardianship of children, divorce decrees, adoption orders, and orders of protection — are entitled to immediate recognition and enforcement in any State or Territory where the subject of the order is found, without any waiting period. A State or Territory court may modify a custody or guardianship order only upon establishing jurisdiction consistent with the Republic's family law statutes the Legislature must enact, and only where the modifying court finds a material change in circumstances not present before the original issuing court. No State or Territory may effectively nullify an order of protection issued by any other State or Territory court against an individual present within its jurisdiction.</w:t>
      </w:r>
    </w:p>
    <w:p>
      <w:pPr>
        <w:spacing w:after="60" w:before="60" w:line="280" w:lineRule="auto"/>
        <w:jc w:val="both"/>
      </w:pPr>
      <w:r>
        <w:rPr>
          <w:rFonts w:ascii="Times New Roman" w:cs="Times New Roman" w:eastAsia="Times New Roman" w:hAnsi="Times New Roman"/>
          <w:b/>
          <w:bCs/>
          <w:color w:val="1B2A4A"/>
          <w:sz w:val="22"/>
          <w:szCs w:val="22"/>
        </w:rPr>
        <w:t xml:space="preserve">4.4.e Limits — No Obligation Beyond Republic Borders: </w:t>
      </w:r>
      <w:r>
        <w:rPr>
          <w:rFonts w:ascii="Times New Roman" w:cs="Times New Roman" w:eastAsia="Times New Roman" w:hAnsi="Times New Roman"/>
          <w:color w:val="000000"/>
          <w:sz w:val="22"/>
          <w:szCs w:val="22"/>
        </w:rPr>
        <w:t xml:space="preserve">This section governs recognition within the Republic only — it creates no obligation regarding foreign government judgments or pre-ratification court orders. the Legislature may by statute provide for recognition of foreign judgments on terms it defines; this section neither requires nor prohibits such recognition.</w:t>
      </w:r>
    </w:p>
    <w:p>
      <w:pPr>
        <w:spacing w:after="60" w:before="60" w:line="280" w:lineRule="auto"/>
        <w:jc w:val="both"/>
      </w:pPr>
      <w:r>
        <w:rPr>
          <w:rFonts w:ascii="Times New Roman" w:cs="Times New Roman" w:eastAsia="Times New Roman" w:hAnsi="Times New Roman"/>
          <w:b/>
          <w:bCs/>
          <w:color w:val="1B2A4A"/>
          <w:sz w:val="22"/>
          <w:szCs w:val="22"/>
        </w:rPr>
        <w:t xml:space="preserve">4.4.f Legislative Implementation Mandates: </w:t>
      </w:r>
      <w:r>
        <w:rPr>
          <w:rFonts w:ascii="Times New Roman" w:cs="Times New Roman" w:eastAsia="Times New Roman" w:hAnsi="Times New Roman"/>
          <w:color w:val="000000"/>
          <w:sz w:val="22"/>
          <w:szCs w:val="22"/>
        </w:rPr>
        <w:t xml:space="preserve">the Legislature must by statute define what constitutes a final judgment for each category of judicial proceeding covered by §4.4.a. Until the Legislature acts on any category, a judgment is final for purposes of §4.4.a if it is not subject to an automatic stay under the issuing State or Territory's procedural law, regardless of whether an appeal is pending. the Legislature must also by statute define the permissible scope of State supplementary requirements under §4.4.c, establishing: a presumption against any supplementary requirement; a permitted category of State-specific regulatory orientation that does not duplicate competency already certified by the issuing State; a maximum cumulative burden on the recognizing professional; and an expedited challenge mechanism for professionals whose license recognition is contested. the Legislature must enact both statutes within three years of this section's ratification. the Legislature must also establish the procedural framework for inter-State judgment recognition, including the form in which judgments must be presented, a uniform filing fee schedule, and an enforcement timeline ensuring receiving courts act within a constitutionally adequate period.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 — CITIZENSHIP, RESIDENCY, AND NATIONAL IDENTITY</w:t>
      </w:r>
    </w:p>
    <w:p>
      <w:pPr>
        <w:spacing w:after="60" w:before="60" w:line="280" w:lineRule="auto"/>
        <w:jc w:val="both"/>
      </w:pPr>
      <w:r>
        <w:rPr>
          <w:rFonts w:ascii="Times New Roman" w:cs="Times New Roman" w:eastAsia="Times New Roman" w:hAnsi="Times New Roman"/>
          <w:color w:val="000000"/>
          <w:sz w:val="22"/>
          <w:szCs w:val="22"/>
        </w:rPr>
        <w:t xml:space="preserve">All Inhabitants of the Republic — regardless of the citizenship or residency status described in this Article — are guaranteed the absolute protections of Article I. The rights and distinctions described in this Article govern electoral participation and civic standing; they do not create a hierarchy of human dignity or legal protection.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5.1 — Citizens</w:t>
      </w:r>
    </w:p>
    <w:p>
      <w:pPr>
        <w:spacing w:after="60" w:before="60" w:line="280" w:lineRule="auto"/>
        <w:jc w:val="both"/>
      </w:pPr>
      <w:r>
        <w:rPr>
          <w:rFonts w:ascii="Times New Roman" w:cs="Times New Roman" w:eastAsia="Times New Roman" w:hAnsi="Times New Roman"/>
          <w:color w:val="000000"/>
          <w:sz w:val="22"/>
          <w:szCs w:val="22"/>
        </w:rPr>
        <w:t xml:space="preserve">Citizenship grants the right to vote, hold elected office, and serve in roles requiring national defense clearance.</w:t>
      </w:r>
    </w:p>
    <w:p>
      <w:pPr>
        <w:spacing w:after="60" w:before="60" w:line="280" w:lineRule="auto"/>
        <w:jc w:val="both"/>
      </w:pPr>
      <w:r>
        <w:rPr>
          <w:rFonts w:ascii="Times New Roman" w:cs="Times New Roman" w:eastAsia="Times New Roman" w:hAnsi="Times New Roman"/>
          <w:b/>
          <w:bCs/>
          <w:color w:val="1B2A4A"/>
          <w:sz w:val="22"/>
          <w:szCs w:val="22"/>
        </w:rPr>
        <w:t xml:space="preserve">5.1.a Inherent Citizenship: </w:t>
      </w:r>
      <w:r>
        <w:rPr>
          <w:rFonts w:ascii="Times New Roman" w:cs="Times New Roman" w:eastAsia="Times New Roman" w:hAnsi="Times New Roman"/>
          <w:color w:val="000000"/>
          <w:sz w:val="22"/>
          <w:szCs w:val="22"/>
        </w:rPr>
        <w:t xml:space="preserve">A child is automatically a citizen if at least one parent is a Citizen or Legal Resident at birth. This status is permanent and irrevocable.</w:t>
      </w:r>
    </w:p>
    <w:p>
      <w:pPr>
        <w:spacing w:after="60" w:before="60" w:line="280" w:lineRule="auto"/>
        <w:jc w:val="both"/>
      </w:pPr>
      <w:r>
        <w:rPr>
          <w:rFonts w:ascii="Times New Roman" w:cs="Times New Roman" w:eastAsia="Times New Roman" w:hAnsi="Times New Roman"/>
          <w:color w:val="000000"/>
          <w:sz w:val="22"/>
          <w:szCs w:val="22"/>
        </w:rPr>
        <w:t xml:space="preserve">5.1.a.i Statelessness Prevention: A child born on Republic territory to parents holding neither Citizen nor Legal Resident status is an Inhabitant from birth, with full Article I protections and Basic Needs Floor access. Where no other country recognises the child as a citizen, the Republic must provide a determination process consistent with the protection principles of §6.4 — including protection from removal during the proceeding. A child determined to hold no citizenship elsewhere is eligible for Legal Residency from birth. Time held as an Inhabitant under this provision counts in full toward the five-year residency requirement of §5.1.c.</w:t>
      </w:r>
    </w:p>
    <w:p>
      <w:pPr>
        <w:spacing w:after="60" w:before="60" w:line="280" w:lineRule="auto"/>
        <w:jc w:val="both"/>
      </w:pPr>
      <w:r>
        <w:rPr>
          <w:rFonts w:ascii="Times New Roman" w:cs="Times New Roman" w:eastAsia="Times New Roman" w:hAnsi="Times New Roman"/>
          <w:b/>
          <w:bCs/>
          <w:color w:val="1B2A4A"/>
          <w:sz w:val="22"/>
          <w:szCs w:val="22"/>
        </w:rPr>
        <w:t xml:space="preserve">5.1.b Coming of Age: </w:t>
      </w:r>
      <w:r>
        <w:rPr>
          <w:rFonts w:ascii="Times New Roman" w:cs="Times New Roman" w:eastAsia="Times New Roman" w:hAnsi="Times New Roman"/>
          <w:color w:val="000000"/>
          <w:sz w:val="22"/>
          <w:szCs w:val="22"/>
        </w:rPr>
        <w:t xml:space="preserve">Children of citizens are Inhabitants at birth. Full citizenship rights — including Citizen Voting Credential activation — are conferred automatically at age 18. No test is required for a native-born citizen to vote. The obligation of constitutional literacy is fulfilled through the public education system under §1.23, not through a voting gate. A citizen who turns 18 having been educated outside the public system retains full voting rights; constitutional literacy is a public education standard, not a personal prerequisite for democratic participation.</w:t>
      </w:r>
    </w:p>
    <w:p>
      <w:pPr>
        <w:spacing w:after="60" w:before="60" w:line="280" w:lineRule="auto"/>
        <w:jc w:val="both"/>
      </w:pPr>
      <w:r>
        <w:rPr>
          <w:rFonts w:ascii="Times New Roman" w:cs="Times New Roman" w:eastAsia="Times New Roman" w:hAnsi="Times New Roman"/>
          <w:b/>
          <w:bCs/>
          <w:color w:val="1B2A4A"/>
          <w:sz w:val="22"/>
          <w:szCs w:val="22"/>
        </w:rPr>
        <w:t xml:space="preserve">5.1.c Naturalization: </w:t>
      </w:r>
      <w:r>
        <w:rPr>
          <w:rFonts w:ascii="Times New Roman" w:cs="Times New Roman" w:eastAsia="Times New Roman" w:hAnsi="Times New Roman"/>
          <w:color w:val="000000"/>
          <w:sz w:val="22"/>
          <w:szCs w:val="22"/>
        </w:rPr>
        <w:t xml:space="preserve">A Legal Resident may earn citizenship after five continuous years of residency, a clean legal record, and passing the Constitutional Logic Test. States and Territories may by statute offer preparatory civic education programs to assist Legal Residents in meeting the CLT requirement. No fee for such programs may exceed a nominal cost-recovery amount the Legislature defines by statute. The availability of preparatory programs is not a condition of citizenship eligibility — residents who meet all criteria without using such programs qualify on the same terms.</w:t>
      </w:r>
    </w:p>
    <w:p>
      <w:pPr>
        <w:spacing w:after="60" w:before="60" w:line="280" w:lineRule="auto"/>
        <w:jc w:val="both"/>
      </w:pPr>
      <w:r>
        <w:rPr>
          <w:rFonts w:ascii="Times New Roman" w:cs="Times New Roman" w:eastAsia="Times New Roman" w:hAnsi="Times New Roman"/>
          <w:b/>
          <w:bCs/>
          <w:color w:val="1B2A4A"/>
          <w:sz w:val="22"/>
          <w:szCs w:val="22"/>
        </w:rPr>
        <w:t xml:space="preserve">5.1.d National Service Path: </w:t>
      </w:r>
      <w:r>
        <w:rPr>
          <w:rFonts w:ascii="Times New Roman" w:cs="Times New Roman" w:eastAsia="Times New Roman" w:hAnsi="Times New Roman"/>
          <w:color w:val="000000"/>
          <w:sz w:val="22"/>
          <w:szCs w:val="22"/>
        </w:rPr>
        <w:t xml:space="preserve">A Legal Resident may earn citizenship through honorable completion of military service or House-defined national projects, provided they pass the Constitutional Logic Test. Honorable medical discharge before the completion of a required service term is treated as equivalent to honorable completion for citizenship purposes — a Legal Resident may not be denied the citizenship benefit of the National Service Path solely because injury or illness prevented term completion.</w:t>
      </w:r>
    </w:p>
    <w:p>
      <w:pPr>
        <w:spacing w:after="60" w:before="60" w:line="280" w:lineRule="auto"/>
        <w:jc w:val="both"/>
      </w:pPr>
      <w:r>
        <w:rPr>
          <w:rFonts w:ascii="Times New Roman" w:cs="Times New Roman" w:eastAsia="Times New Roman" w:hAnsi="Times New Roman"/>
          <w:b/>
          <w:bCs/>
          <w:color w:val="1B2A4A"/>
          <w:sz w:val="22"/>
          <w:szCs w:val="22"/>
        </w:rPr>
        <w:t xml:space="preserve">5.1.e Citizenship Irrevocability: </w:t>
      </w:r>
      <w:r>
        <w:rPr>
          <w:rFonts w:ascii="Times New Roman" w:cs="Times New Roman" w:eastAsia="Times New Roman" w:hAnsi="Times New Roman"/>
          <w:color w:val="000000"/>
          <w:sz w:val="22"/>
          <w:szCs w:val="22"/>
        </w:rPr>
        <w:t xml:space="preserve">Citizenship may not be revoked by the Legislature or by executive action. A court may void naturalized citizenship only upon clear and convincing evidence that it was obtained by deliberate fraud — meaning the applicant knowingly misrepresented facts that, if truthfully stated, would have resulted in denial. Any citizen may voluntarily renounce citizenship by petition under a process the Legislature defines by statute; the Legislature may not make renunciation impossible through unreasonable delay or cost. Citizens who become residents of a territory that achieves independence under §15.4 retain Republic citizenship by default and need not take any action to preserve it — renunciation, if desired, follows the standard petition process.</w:t>
      </w:r>
    </w:p>
    <w:p>
      <w:pPr>
        <w:spacing w:after="60" w:before="60" w:line="280" w:lineRule="auto"/>
        <w:jc w:val="both"/>
      </w:pPr>
      <w:r>
        <w:rPr>
          <w:rFonts w:ascii="Times New Roman" w:cs="Times New Roman" w:eastAsia="Times New Roman" w:hAnsi="Times New Roman"/>
          <w:b/>
          <w:bCs/>
          <w:color w:val="1B2A4A"/>
          <w:sz w:val="22"/>
          <w:szCs w:val="22"/>
        </w:rPr>
        <w:t xml:space="preserve">5.1.f Derivative Status: </w:t>
      </w:r>
      <w:r>
        <w:rPr>
          <w:rFonts w:ascii="Times New Roman" w:cs="Times New Roman" w:eastAsia="Times New Roman" w:hAnsi="Times New Roman"/>
          <w:color w:val="000000"/>
          <w:sz w:val="22"/>
          <w:szCs w:val="22"/>
        </w:rPr>
        <w:t xml:space="preserve">A child born before a parent acquired Legal Residency or Citizenship who accompanies that parent to the Republic within a period the Legislature defines by statute receives derivative Inhabitant status. the Legislature must by statute define the documentary requirements, age ceiling, and the path from derivative status to independent Legal Residency.</w:t>
      </w:r>
    </w:p>
    <w:p>
      <w:pPr>
        <w:spacing w:after="60" w:before="60" w:line="280" w:lineRule="auto"/>
        <w:jc w:val="both"/>
      </w:pPr>
      <w:r>
        <w:rPr>
          <w:rFonts w:ascii="Times New Roman" w:cs="Times New Roman" w:eastAsia="Times New Roman" w:hAnsi="Times New Roman"/>
          <w:b/>
          <w:bCs/>
          <w:color w:val="1B2A4A"/>
          <w:sz w:val="22"/>
          <w:szCs w:val="22"/>
        </w:rPr>
        <w:t xml:space="preserve">5.1.g Accelerated Naturalization — Long-Term Pre-Ratification Residents: </w:t>
      </w:r>
      <w:r>
        <w:rPr>
          <w:rFonts w:ascii="Times New Roman" w:cs="Times New Roman" w:eastAsia="Times New Roman" w:hAnsi="Times New Roman"/>
          <w:color w:val="000000"/>
          <w:sz w:val="22"/>
          <w:szCs w:val="22"/>
        </w:rPr>
        <w:t xml:space="preserve">Any person who resided continuously within the territory of the Republic for five or more years immediately prior to Day Zero ratification but did not hold voting rights under the predecessor government — including persons disenfranchised by discriminatory laws subsequently nullified under §19.2 — may apply for naturalization under an accelerated process the Legislature must establish by statute within one year of Phase 4 activation. The accelerated process must waive the Constitutional Logic Test requirement and must complete within 90 days of application. This provision ensures that long-term residents denied political participation by the predecessor government are not disadvantaged relative to those whose participation was recognized under §5.5.a. It does not extend to persons present within the territory for less than five continuous years before Day Zero. Time held as an Inhabitant under this provision counts in full toward any applicable waiting period for subsequent citizenship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5.2 — Legal Residents</w:t>
      </w:r>
    </w:p>
    <w:p>
      <w:pPr>
        <w:spacing w:after="60" w:before="60" w:line="280" w:lineRule="auto"/>
        <w:jc w:val="both"/>
      </w:pPr>
      <w:r>
        <w:rPr>
          <w:rFonts w:ascii="Times New Roman" w:cs="Times New Roman" w:eastAsia="Times New Roman" w:hAnsi="Times New Roman"/>
          <w:b/>
          <w:bCs/>
          <w:color w:val="1B2A4A"/>
          <w:sz w:val="22"/>
          <w:szCs w:val="22"/>
        </w:rPr>
        <w:t xml:space="preserve">5.2 Legal Resident Rights: </w:t>
      </w:r>
      <w:r>
        <w:rPr>
          <w:rFonts w:ascii="Times New Roman" w:cs="Times New Roman" w:eastAsia="Times New Roman" w:hAnsi="Times New Roman"/>
          <w:color w:val="000000"/>
          <w:sz w:val="22"/>
          <w:szCs w:val="22"/>
        </w:rPr>
        <w:t xml:space="preserve">Legal Residents hold a Residency Credential allowing them to enter contracts, own property, conduct commercial business, and serve in the non-elected Civil Service. No child of a Citizen or Legal Resident may be deported, regardless of the child's own documentation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5.3 — Custodial Care of Citizen Children</w:t>
      </w:r>
    </w:p>
    <w:p>
      <w:pPr>
        <w:spacing w:after="60" w:before="60" w:line="280" w:lineRule="auto"/>
        <w:jc w:val="both"/>
      </w:pPr>
      <w:r>
        <w:rPr>
          <w:rFonts w:ascii="Times New Roman" w:cs="Times New Roman" w:eastAsia="Times New Roman" w:hAnsi="Times New Roman"/>
          <w:b/>
          <w:bCs/>
          <w:color w:val="1B2A4A"/>
          <w:sz w:val="22"/>
          <w:szCs w:val="22"/>
        </w:rPr>
        <w:t xml:space="preserve">5.3 Custodial Care of Citizen Children: </w:t>
      </w:r>
      <w:r>
        <w:rPr>
          <w:rFonts w:ascii="Times New Roman" w:cs="Times New Roman" w:eastAsia="Times New Roman" w:hAnsi="Times New Roman"/>
          <w:color w:val="000000"/>
          <w:sz w:val="22"/>
          <w:szCs w:val="22"/>
        </w:rPr>
        <w:t xml:space="preserve">Where a parent or guardian who is the primary caregiver of a citizen child is removed from the Republic under §6.2, the Legislature must by statute ensure that the citizen child is not rendered without care as a consequence. Statutory provisions must address: identification of a qualified custodian within the Republic; emergency care during the transition period; and the child's right to maintain contact with the removed parent consistent with the child's welfare. The citizen child's right to remain in the Republic is absolute and may not be conditioned on the availability of a custodian — the Republic accepts responsibility for its citizens regardless of their parents'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5.4 — The Constitutional Logic Test</w:t>
      </w:r>
    </w:p>
    <w:p>
      <w:pPr>
        <w:spacing w:after="60" w:before="60" w:line="280" w:lineRule="auto"/>
        <w:jc w:val="both"/>
      </w:pPr>
      <w:r>
        <w:rPr>
          <w:rFonts w:ascii="Times New Roman" w:cs="Times New Roman" w:eastAsia="Times New Roman" w:hAnsi="Times New Roman"/>
          <w:color w:val="000000"/>
          <w:sz w:val="22"/>
          <w:szCs w:val="22"/>
        </w:rPr>
        <w:t xml:space="preserve">The Constitutional Logic Test is required for earned citizenship through naturalization (§5.1.c) and the National Service path (§5.1.d). It is not a prerequisite for voting or for Citizen Voting Credential activation for native-born citizens. The test assesses knowledge of the mechanics, powers, limits, and jurisdictional boundaries of the Republic's government — not cultural or historical trivia and not subjective political views.</w:t>
      </w:r>
    </w:p>
    <w:p>
      <w:pPr>
        <w:spacing w:after="60" w:before="60" w:line="280" w:lineRule="auto"/>
        <w:jc w:val="both"/>
      </w:pPr>
      <w:r>
        <w:rPr>
          <w:rFonts w:ascii="Times New Roman" w:cs="Times New Roman" w:eastAsia="Times New Roman" w:hAnsi="Times New Roman"/>
          <w:b/>
          <w:bCs/>
          <w:color w:val="1B2A4A"/>
          <w:sz w:val="22"/>
          <w:szCs w:val="22"/>
        </w:rPr>
        <w:t xml:space="preserve">5.4.a Senate Authority over the CLT Standard: </w:t>
      </w:r>
      <w:r>
        <w:rPr>
          <w:rFonts w:ascii="Times New Roman" w:cs="Times New Roman" w:eastAsia="Times New Roman" w:hAnsi="Times New Roman"/>
          <w:color w:val="000000"/>
          <w:sz w:val="22"/>
          <w:szCs w:val="22"/>
        </w:rPr>
        <w:t xml:space="preserve">The Senate establishes and maintains the content and passing threshold of the Constitutional Logic Test by statute. Any change that raises the standard requires a simple majority of the Senate. Any change that lowers the standard — reducing the knowledge required or the passing threshold — requires a 2/3 supermajority of the Senate. This asymmetry ensures that degradation of the standard is structurally harder than improvement. The Senate may not lower the CLT below the minimum civic knowledge required to understand the structure, powers, limits, and rights of this Constitution. Before any Senate statute that lowers the CLT standard takes effect, the CLT Administrator must publish a certification to the National Record System assessing whether the proposed change meets the constitutional floor — the minimum civic knowledge required to understand the structure, powers, limits, and rights of this Constitution. If the Administrator certifies non-compliance, the statute does not take effect until the Supreme Court reviews the Administrator's finding and either confirms it or determines the proposed standard meets the constitutional floor. The Administrator certifies; the Court reviews the certification for constitutional consistency. The Court does not define the specific content categories of the CLT — that determination belongs to the Administrator. A pre-enactment certification issued by an acting CLT Administrator carries full constitutional weight. The Senate may file an expedited constitutional challenge to the certification within 30 days of its publication to the NRS; the Supreme Court must rule within 14 days of such a challenge. The proposed standard does not take effect until either the 30-day challenge period expires without a Senate challenge or the Court upholds the certification on expedited review.</w:t>
      </w:r>
    </w:p>
    <w:p>
      <w:pPr>
        <w:spacing w:after="60" w:before="60" w:line="280" w:lineRule="auto"/>
        <w:jc w:val="both"/>
      </w:pPr>
      <w:r>
        <w:rPr>
          <w:rFonts w:ascii="Times New Roman" w:cs="Times New Roman" w:eastAsia="Times New Roman" w:hAnsi="Times New Roman"/>
          <w:b/>
          <w:bCs/>
          <w:color w:val="1B2A4A"/>
          <w:sz w:val="22"/>
          <w:szCs w:val="22"/>
        </w:rPr>
        <w:t xml:space="preserve">5.4.b CLT Administrator: </w:t>
      </w:r>
      <w:r>
        <w:rPr>
          <w:rFonts w:ascii="Times New Roman" w:cs="Times New Roman" w:eastAsia="Times New Roman" w:hAnsi="Times New Roman"/>
          <w:color w:val="000000"/>
          <w:sz w:val="22"/>
          <w:szCs w:val="22"/>
        </w:rPr>
        <w:t xml:space="preserve">The Constitutional Logic Test is administered by a CLT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w:t>
      </w:r>
    </w:p>
    <w:p>
      <w:pPr>
        <w:spacing w:after="60" w:before="60" w:line="280" w:lineRule="auto"/>
        <w:jc w:val="both"/>
      </w:pPr>
      <w:r>
        <w:rPr>
          <w:rFonts w:ascii="Times New Roman" w:cs="Times New Roman" w:eastAsia="Times New Roman" w:hAnsi="Times New Roman"/>
          <w:b/>
          <w:bCs/>
          <w:color w:val="1B2A4A"/>
          <w:sz w:val="22"/>
          <w:szCs w:val="22"/>
        </w:rPr>
        <w:t xml:space="preserve">Eligibility Criteria: </w:t>
      </w:r>
      <w:r>
        <w:rPr>
          <w:rFonts w:ascii="Times New Roman" w:cs="Times New Roman" w:eastAsia="Times New Roman" w:hAnsi="Times New Roman"/>
          <w:color w:val="000000"/>
          <w:sz w:val="22"/>
          <w:szCs w:val="22"/>
        </w:rPr>
        <w:t xml:space="preserve">CLT Administrator eligibility criteria — candidates must meet all three requirements: (1) no elected or appointed government position in the prior 5 years; (2) no current financial interest in any entity administering educational testing, citizenship assessment, or civic credentialing services; (3) demonstrated expertise in at least one of: psychometrics and assessment design, constitutional law, educational policy, or civic literacy research. These criteria are the constitutional eligibility floor; the Legislature may by statute establish additional qualification requirements consistent with this floor.</w:t>
      </w:r>
    </w:p>
    <w:p>
      <w:pPr>
        <w:spacing w:after="60" w:before="60" w:line="280" w:lineRule="auto"/>
        <w:jc w:val="both"/>
      </w:pPr>
      <w:r>
        <w:rPr>
          <w:rFonts w:ascii="Times New Roman" w:cs="Times New Roman" w:eastAsia="Times New Roman" w:hAnsi="Times New Roman"/>
          <w:b/>
          <w:bCs/>
          <w:color w:val="1B2A4A"/>
          <w:sz w:val="22"/>
          <w:szCs w:val="22"/>
        </w:rPr>
        <w:t xml:space="preserve">EI Disclosure Review: </w:t>
      </w:r>
      <w:r>
        <w:rPr>
          <w:rFonts w:ascii="Times New Roman" w:cs="Times New Roman" w:eastAsia="Times New Roman" w:hAnsi="Times New Roman"/>
          <w:color w:val="000000"/>
          <w:sz w:val="22"/>
          <w:szCs w:val="22"/>
        </w:rPr>
        <w:t xml:space="preserve">The Executive Inspectorate reviews the submitted record for factual accuracy, applies these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w:t>
      </w:r>
    </w:p>
    <w:p>
      <w:pPr>
        <w:spacing w:after="60" w:before="60" w:line="280" w:lineRule="auto"/>
        <w:jc w:val="both"/>
      </w:pPr>
      <w:r>
        <w:rPr>
          <w:rFonts w:ascii="Times New Roman" w:cs="Times New Roman" w:eastAsia="Times New Roman" w:hAnsi="Times New Roman"/>
          <w:b/>
          <w:bCs/>
          <w:color w:val="1B2A4A"/>
          <w:sz w:val="22"/>
          <w:szCs w:val="22"/>
        </w:rPr>
        <w:t xml:space="preserve">Confirmation and Term: </w:t>
      </w:r>
      <w:r>
        <w:rPr>
          <w:rFonts w:ascii="Times New Roman" w:cs="Times New Roman" w:eastAsia="Times New Roman" w:hAnsi="Times New Roman"/>
          <w:color w:val="000000"/>
          <w:sz w:val="22"/>
          <w:szCs w:val="22"/>
        </w:rPr>
        <w:t xml:space="preserve">The CLT Administrator is confirmed by the Senate and serves a single non-renewable 5-year term. The Administrator may not hold any other government position during their term. The Legislative Inspectorate audits CLT administration annually and publishes findings to the National Record System. If the Senate fails to act on a nomination within the period the Legislature defines by statute, the nominee assumes acting status and performs all constitutional functions of the office. The acting officer escalation framework of §2.2.h applies from the date of assumption. Confirmation by the Senate at any time converts acting status to permanent appointment and the full term begins from the date of confirmation.</w:t>
      </w:r>
    </w:p>
    <w:p>
      <w:pPr>
        <w:spacing w:after="60" w:before="60" w:line="280" w:lineRule="auto"/>
        <w:jc w:val="both"/>
      </w:pPr>
      <w:r>
        <w:rPr>
          <w:rFonts w:ascii="Times New Roman" w:cs="Times New Roman" w:eastAsia="Times New Roman" w:hAnsi="Times New Roman"/>
          <w:b/>
          <w:bCs/>
          <w:color w:val="1B2A4A"/>
          <w:sz w:val="22"/>
          <w:szCs w:val="22"/>
        </w:rPr>
        <w:t xml:space="preserve">Removal: </w:t>
      </w:r>
      <w:r>
        <w:rPr>
          <w:rFonts w:ascii="Times New Roman" w:cs="Times New Roman" w:eastAsia="Times New Roman" w:hAnsi="Times New Roman"/>
          <w:color w:val="000000"/>
          <w:sz w:val="22"/>
          <w:szCs w:val="22"/>
        </w:rPr>
        <w:t xml:space="preserve">Removal of a permanently confirmed CLT Administrator requires a 2/3 vote of both chambers simultaneously and a documented finding of dereliction by the Executive Inspectorate published to the National Record System before the legislative vote may proceed.</w:t>
      </w:r>
    </w:p>
    <w:p>
      <w:pPr>
        <w:spacing w:after="60" w:before="60" w:line="280" w:lineRule="auto"/>
        <w:jc w:val="both"/>
      </w:pPr>
      <w:r>
        <w:rPr>
          <w:rFonts w:ascii="Times New Roman" w:cs="Times New Roman" w:eastAsia="Times New Roman" w:hAnsi="Times New Roman"/>
          <w:b/>
          <w:bCs/>
          <w:color w:val="1B2A4A"/>
          <w:sz w:val="22"/>
          <w:szCs w:val="22"/>
        </w:rPr>
        <w:t xml:space="preserve">Mid-Term Vacancy: </w:t>
      </w:r>
      <w:r>
        <w:rPr>
          <w:rFonts w:ascii="Times New Roman" w:cs="Times New Roman" w:eastAsia="Times New Roman" w:hAnsi="Times New Roman"/>
          <w:color w:val="000000"/>
          <w:sz w:val="22"/>
          <w:szCs w:val="22"/>
        </w:rPr>
        <w:t xml:space="preserve">Upon any mid-term vacancy in the confirmed Administrator role — through death, resignation, or removal — the most senior CLT administrative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5-year non-renewable term from the date of confirmation, not merely the remainder of the departed Administrator's term.</w:t>
      </w:r>
    </w:p>
    <w:p>
      <w:pPr>
        <w:spacing w:after="60" w:before="60" w:line="280" w:lineRule="auto"/>
        <w:jc w:val="both"/>
      </w:pPr>
      <w:r>
        <w:rPr>
          <w:rFonts w:ascii="Times New Roman" w:cs="Times New Roman" w:eastAsia="Times New Roman" w:hAnsi="Times New Roman"/>
          <w:b/>
          <w:bCs/>
          <w:color w:val="1B2A4A"/>
          <w:sz w:val="22"/>
          <w:szCs w:val="22"/>
        </w:rPr>
        <w:t xml:space="preserve">5.4.c Status Quo Maintenance: </w:t>
      </w:r>
      <w:r>
        <w:rPr>
          <w:rFonts w:ascii="Times New Roman" w:cs="Times New Roman" w:eastAsia="Times New Roman" w:hAnsi="Times New Roman"/>
          <w:color w:val="000000"/>
          <w:sz w:val="22"/>
          <w:szCs w:val="22"/>
        </w:rPr>
        <w:t xml:space="preserve">If the Senate deadlocks on any proposed change to the CLT standard, the existing version of the test and passing threshold remains in force. Deadlock cannot be used to force a change by inaction.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5.5 — Day Zero Grandfather Clause</w:t>
      </w:r>
    </w:p>
    <w:p>
      <w:pPr>
        <w:spacing w:after="60" w:before="60" w:line="280" w:lineRule="auto"/>
        <w:jc w:val="both"/>
      </w:pPr>
      <w:r>
        <w:rPr>
          <w:rFonts w:ascii="Times New Roman" w:cs="Times New Roman" w:eastAsia="Times New Roman" w:hAnsi="Times New Roman"/>
          <w:b/>
          <w:bCs/>
          <w:color w:val="1B2A4A"/>
          <w:sz w:val="22"/>
          <w:szCs w:val="22"/>
        </w:rPr>
        <w:t xml:space="preserve">5.5.a Automatic Citizenship Grant: </w:t>
      </w:r>
      <w:r>
        <w:rPr>
          <w:rFonts w:ascii="Times New Roman" w:cs="Times New Roman" w:eastAsia="Times New Roman" w:hAnsi="Times New Roman"/>
          <w:color w:val="000000"/>
          <w:sz w:val="22"/>
          <w:szCs w:val="22"/>
        </w:rPr>
        <w:t xml:space="preserve">All individuals holding voting rights on Day Zero of ratification are automatically granted active Citizen Voting Credentials and recognized as full citizens without further testing.</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 — IMMIGRATION AND RESIDENCY</w:t>
      </w:r>
    </w:p>
    <w:p>
      <w:pPr>
        <w:spacing w:after="60" w:before="60" w:line="280" w:lineRule="auto"/>
        <w:jc w:val="both"/>
      </w:pPr>
      <w:r>
        <w:rPr>
          <w:rFonts w:ascii="Times New Roman" w:cs="Times New Roman" w:eastAsia="Times New Roman" w:hAnsi="Times New Roman"/>
          <w:color w:val="000000"/>
          <w:sz w:val="22"/>
          <w:szCs w:val="22"/>
        </w:rPr>
        <w:t xml:space="preserve">The Republic's immigration framework rests on Legislative Supremacy and Ministerial Execution. Power over the demographic future belongs to the House and the People — no executive may manipulate citizenship or residency for political gain.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6.1 — The Dual-Gate System</w:t>
      </w:r>
    </w:p>
    <w:p>
      <w:pPr>
        <w:spacing w:after="60" w:before="60" w:line="280" w:lineRule="auto"/>
        <w:jc w:val="both"/>
      </w:pPr>
      <w:r>
        <w:rPr>
          <w:rFonts w:ascii="Times New Roman" w:cs="Times New Roman" w:eastAsia="Times New Roman" w:hAnsi="Times New Roman"/>
          <w:color w:val="000000"/>
          <w:sz w:val="22"/>
          <w:szCs w:val="22"/>
        </w:rPr>
        <w:t xml:space="preserve">Every immigration application must pass through two sequential gates before residency credentials are issued. The gates serve distinct purposes and neither may substitute for the other. Clearing both gates is a necessary condition for residency — it is not a sufficient condition for citizenship, which requires additional steps under Article V.</w:t>
      </w:r>
    </w:p>
    <w:p>
      <w:pPr>
        <w:spacing w:after="60" w:before="60" w:line="280" w:lineRule="auto"/>
        <w:jc w:val="both"/>
      </w:pPr>
      <w:r>
        <w:rPr>
          <w:rFonts w:ascii="Times New Roman" w:cs="Times New Roman" w:eastAsia="Times New Roman" w:hAnsi="Times New Roman"/>
          <w:b/>
          <w:bCs/>
          <w:color w:val="1B2A4A"/>
          <w:sz w:val="22"/>
          <w:szCs w:val="22"/>
        </w:rPr>
        <w:t xml:space="preserve">6.1.a Gate 1 — State Sponsorship: </w:t>
      </w:r>
      <w:r>
        <w:rPr>
          <w:rFonts w:ascii="Times New Roman" w:cs="Times New Roman" w:eastAsia="Times New Roman" w:hAnsi="Times New Roman"/>
          <w:color w:val="000000"/>
          <w:sz w:val="22"/>
          <w:szCs w:val="22"/>
        </w:rPr>
        <w:t xml:space="preserve">A sponsoring State certifies that the applicant has been reviewed through the State's own vetting process and that the State accepts responsibility for notification obligations during the application period. States may establish their own sponsorship criteria by statute, provided they do not discriminate on the basis of any characteristic protected by §1.8. The federal government may not penalise a State for declining to sponsor any particular applicant or category of applicant. the Legislature defines by statute the duration of valid sponsorship, the consequences of sponsorship lapse, and the conditions under which sponsorship may be withdrawn. the Legislature must by statute require publication of immigration processing statistics to the National Record System, disaggregated in ways that permit identification of discriminatory patterns. the Legislature's sponsorship withdrawal statute must require that any withdrawal of State sponsorship include a stated reason published to the National Record System. Withdrawal without a documented reason is not constitutionally valid. This requirement ensures that the NRS statistical record of withdrawals captures the information necessary to identify discriminatory patterns under §1.8.</w:t>
      </w:r>
    </w:p>
    <w:p>
      <w:pPr>
        <w:spacing w:after="60" w:before="60" w:line="280" w:lineRule="auto"/>
        <w:jc w:val="both"/>
      </w:pPr>
      <w:r>
        <w:rPr>
          <w:rFonts w:ascii="Times New Roman" w:cs="Times New Roman" w:eastAsia="Times New Roman" w:hAnsi="Times New Roman"/>
          <w:b/>
          <w:bCs/>
          <w:color w:val="1B2A4A"/>
          <w:sz w:val="22"/>
          <w:szCs w:val="22"/>
        </w:rPr>
        <w:t xml:space="preserve">6.1.b Gate 2 — Federal Certification: </w:t>
      </w:r>
      <w:r>
        <w:rPr>
          <w:rFonts w:ascii="Times New Roman" w:cs="Times New Roman" w:eastAsia="Times New Roman" w:hAnsi="Times New Roman"/>
          <w:color w:val="000000"/>
          <w:sz w:val="22"/>
          <w:szCs w:val="22"/>
        </w:rPr>
        <w:t xml:space="preserve">The Republic certifies that an applicant meets federal standards in four categories the Legislature defines by statute: identity verification, criminal history, national security assessment, and self-sufficiency or support guarantee. The certification may not impose ideological screening or nationality-based quotas. Any denial must specify the precise ground for refusal in writing, published to the National Record System within a period the Legislature defines by statute. National security denials are published in a form that protects classified sources and methods while disclosing the category of the ground for denial. the Legislature must by statute establish the specific standards for each certification category, the timeline for processing, and the remedy for procedurally deficient denials. the Legislature may not establish any certification category whose primary purpose or documented effect is to screen applicants by religion, political belief, or national origin. Any statutory certification category that produces statistically significant disparities in approval rates by national origin, religion, or any §1.8 characteristic — as documented in the NRS statistics the Electoral Inspectorate annually publishes — is presumptively discriminatory and void unless the Legislature demonstrates a compelling non-discriminatory justification before the Supreme Court within 90 days of the EI publication.</w:t>
      </w:r>
    </w:p>
    <w:p>
      <w:pPr>
        <w:spacing w:after="60" w:before="60" w:line="280" w:lineRule="auto"/>
        <w:jc w:val="both"/>
      </w:pPr>
      <w:r>
        <w:rPr>
          <w:rFonts w:ascii="Times New Roman" w:cs="Times New Roman" w:eastAsia="Times New Roman" w:hAnsi="Times New Roman"/>
          <w:b/>
          <w:bCs/>
          <w:color w:val="1B2A4A"/>
          <w:sz w:val="22"/>
          <w:szCs w:val="22"/>
        </w:rPr>
        <w:t xml:space="preserve">6.1.c Presidential Role: </w:t>
      </w:r>
      <w:r>
        <w:rPr>
          <w:rFonts w:ascii="Times New Roman" w:cs="Times New Roman" w:eastAsia="Times New Roman" w:hAnsi="Times New Roman"/>
          <w:color w:val="000000"/>
          <w:sz w:val="22"/>
          <w:szCs w:val="22"/>
        </w:rPr>
        <w:t xml:space="preserve">Once an applicant clears both gates, the President must ministerially issue residency credentials within a period the Legislature defines by statute, not to exceed 60 days. The President's role is strictly ministerial — verifying that both gates have been certified and issuing credentials accordingly. The President may not impose additional conditions, delay issuance as a policy instrument, or selectively issue based on national origin or any characteristic enumerated in §1.8. Such actions constitute a constitutional violation and are subject to proceedings.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6.2 — Enforcement and Removal</w:t>
      </w:r>
    </w:p>
    <w:p>
      <w:pPr>
        <w:spacing w:after="60" w:before="60" w:line="280" w:lineRule="auto"/>
        <w:jc w:val="both"/>
      </w:pPr>
      <w:r>
        <w:rPr>
          <w:rFonts w:ascii="Times New Roman" w:cs="Times New Roman" w:eastAsia="Times New Roman" w:hAnsi="Times New Roman"/>
          <w:b/>
          <w:bCs/>
          <w:color w:val="1B2A4A"/>
          <w:sz w:val="22"/>
          <w:szCs w:val="22"/>
        </w:rPr>
        <w:t xml:space="preserve">6.2 Removal Authority: </w:t>
      </w:r>
      <w:r>
        <w:rPr>
          <w:rFonts w:ascii="Times New Roman" w:cs="Times New Roman" w:eastAsia="Times New Roman" w:hAnsi="Times New Roman"/>
          <w:color w:val="000000"/>
          <w:sz w:val="22"/>
          <w:szCs w:val="22"/>
        </w:rPr>
        <w:t xml:space="preserve">Only the Federal government may remove individuals from the Republic — States may not conduct deportations. Removal occurs only for violations of laws the Legislature has defined. If status is lawfully revoked, the President must execute removal; presidential clemency under §2.1.g may not override a House removal order or court-ordered enforcement. Removal may not proceed against any person whose §6.4 asylum claim is pending before the Asylum Court or within any appellate proceeding the Legislature provides — §6.4.b's protection during proceedings governs.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6.3 — Application Appeals</w:t>
      </w:r>
    </w:p>
    <w:p>
      <w:pPr>
        <w:spacing w:after="60" w:before="60" w:line="280" w:lineRule="auto"/>
        <w:jc w:val="both"/>
      </w:pPr>
      <w:r>
        <w:rPr>
          <w:rFonts w:ascii="Times New Roman" w:cs="Times New Roman" w:eastAsia="Times New Roman" w:hAnsi="Times New Roman"/>
          <w:color w:val="000000"/>
          <w:sz w:val="22"/>
          <w:szCs w:val="22"/>
        </w:rPr>
        <w:t xml:space="preserve">Gate 2 denials are subject to judicial challenge under this section. Gate 1 denials — a State's decision not to sponsor — are not subject to federal judicial review; State discrimination on §1.8 grounds remains reviewable by the courts on the affected applicant's petition.</w:t>
      </w:r>
    </w:p>
    <w:p>
      <w:pPr>
        <w:spacing w:after="60" w:before="60" w:line="280" w:lineRule="auto"/>
        <w:jc w:val="both"/>
      </w:pPr>
      <w:r>
        <w:rPr>
          <w:rFonts w:ascii="Times New Roman" w:cs="Times New Roman" w:eastAsia="Times New Roman" w:hAnsi="Times New Roman"/>
          <w:b/>
          <w:bCs/>
          <w:color w:val="1B2A4A"/>
          <w:sz w:val="22"/>
          <w:szCs w:val="22"/>
        </w:rPr>
        <w:t xml:space="preserve">6.3.a Judicial Challenge: </w:t>
      </w:r>
      <w:r>
        <w:rPr>
          <w:rFonts w:ascii="Times New Roman" w:cs="Times New Roman" w:eastAsia="Times New Roman" w:hAnsi="Times New Roman"/>
          <w:color w:val="000000"/>
          <w:sz w:val="22"/>
          <w:szCs w:val="22"/>
        </w:rPr>
        <w:t xml:space="preserve">An applicant may challenge a Gate 2 denial on three grounds: (1) the denial relied on a criterion outside the four certified categories of §6.1.b; (2) the denial was discriminatory contrary to §1.8; or (3) the stated ground is factually unsupported by the evidence on which the certification relied. Courts may order recertification where they find the denial improper.</w:t>
      </w:r>
    </w:p>
    <w:p>
      <w:pPr>
        <w:spacing w:after="60" w:before="60" w:line="280" w:lineRule="auto"/>
        <w:jc w:val="both"/>
      </w:pPr>
      <w:r>
        <w:rPr>
          <w:rFonts w:ascii="Times New Roman" w:cs="Times New Roman" w:eastAsia="Times New Roman" w:hAnsi="Times New Roman"/>
          <w:b/>
          <w:bCs/>
          <w:color w:val="1B2A4A"/>
          <w:sz w:val="22"/>
          <w:szCs w:val="22"/>
        </w:rPr>
        <w:t xml:space="preserve">6.3.b National Security Denials: </w:t>
      </w:r>
      <w:r>
        <w:rPr>
          <w:rFonts w:ascii="Times New Roman" w:cs="Times New Roman" w:eastAsia="Times New Roman" w:hAnsi="Times New Roman"/>
          <w:color w:val="000000"/>
          <w:sz w:val="22"/>
          <w:szCs w:val="22"/>
        </w:rPr>
        <w:t xml:space="preserve">Where a Gate 2 denial is based on a national security assessment under §6.1.b(3), the applicant may receive the maximum disclosure of the factual basis that can be provided without revealing classified sources or methods. A court reviewing a national security denial may examine the classified assessment in camera and determine whether it constitutes a credible, specific, and documented concern as required — without publishing the classified content. The in-camera review is outcome-determinative: the court either finds the security concern meets the constitutional standard and upholds the denial, or finds it does not and orders recertification. The court does not issue advisory findings about classified material; the review is judicial action on a concrete case.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6.4 — Asylum and Protection</w:t>
      </w:r>
    </w:p>
    <w:p>
      <w:pPr>
        <w:spacing w:after="60" w:before="60" w:line="280" w:lineRule="auto"/>
        <w:jc w:val="both"/>
      </w:pPr>
      <w:r>
        <w:rPr>
          <w:rFonts w:ascii="Times New Roman" w:cs="Times New Roman" w:eastAsia="Times New Roman" w:hAnsi="Times New Roman"/>
          <w:b/>
          <w:bCs/>
          <w:color w:val="1B2A4A"/>
          <w:sz w:val="22"/>
          <w:szCs w:val="22"/>
        </w:rPr>
        <w:t xml:space="preserve">6.4.a Asylum Seekers as Inhabitants: </w:t>
      </w:r>
      <w:r>
        <w:rPr>
          <w:rFonts w:ascii="Times New Roman" w:cs="Times New Roman" w:eastAsia="Times New Roman" w:hAnsi="Times New Roman"/>
          <w:color w:val="000000"/>
          <w:sz w:val="22"/>
          <w:szCs w:val="22"/>
        </w:rPr>
        <w:t xml:space="preserve">Any person who files a claim under §1.27 is an Inhabitant of the Republic for purposes of §10.1's Basic Needs Floor from the date of filing. the Legislature may not by statute define Inhabitant in a manner that excludes persons with pending asylum claims from Basic Needs Floor coverage during the claim period.</w:t>
      </w:r>
    </w:p>
    <w:p>
      <w:pPr>
        <w:spacing w:after="60" w:before="60" w:line="280" w:lineRule="auto"/>
        <w:jc w:val="both"/>
      </w:pPr>
      <w:r>
        <w:rPr>
          <w:rFonts w:ascii="Times New Roman" w:cs="Times New Roman" w:eastAsia="Times New Roman" w:hAnsi="Times New Roman"/>
          <w:b/>
          <w:bCs/>
          <w:color w:val="1B2A4A"/>
          <w:sz w:val="22"/>
          <w:szCs w:val="22"/>
        </w:rPr>
        <w:t xml:space="preserve">6.4.b Right to Determination and Protection During Proceedings: </w:t>
      </w:r>
      <w:r>
        <w:rPr>
          <w:rFonts w:ascii="Times New Roman" w:cs="Times New Roman" w:eastAsia="Times New Roman" w:hAnsi="Times New Roman"/>
          <w:color w:val="000000"/>
          <w:sz w:val="22"/>
          <w:szCs w:val="22"/>
        </w:rPr>
        <w:t xml:space="preserve">Any person who claims protection under §1.27 has the right to have that claim determined before any removal order takes effect. No person whose asylum claim is pending before the Asylum Court or within any appeal the Legislature provides by statute may be removed from the Republic until all proceedings are concluded and removal is finally authorized. The commencement of removal proceedings does not extinguish a pending asylum claim.</w:t>
      </w:r>
    </w:p>
    <w:p>
      <w:pPr>
        <w:spacing w:after="60" w:before="60" w:line="280" w:lineRule="auto"/>
        <w:jc w:val="both"/>
      </w:pPr>
      <w:r>
        <w:rPr>
          <w:rFonts w:ascii="Times New Roman" w:cs="Times New Roman" w:eastAsia="Times New Roman" w:hAnsi="Times New Roman"/>
          <w:b/>
          <w:bCs/>
          <w:color w:val="1B2A4A"/>
          <w:sz w:val="22"/>
          <w:szCs w:val="22"/>
        </w:rPr>
        <w:t xml:space="preserve">6.4.c Asylum Court: </w:t>
      </w:r>
      <w:r>
        <w:rPr>
          <w:rFonts w:ascii="Times New Roman" w:cs="Times New Roman" w:eastAsia="Times New Roman" w:hAnsi="Times New Roman"/>
          <w:color w:val="000000"/>
          <w:sz w:val="22"/>
          <w:szCs w:val="22"/>
        </w:rPr>
        <w:t xml:space="preserve">Any person who claims protection under §1.27 has the right to have that claim determined by an Asylum Court established within the Republic's judicial system under Article IV before any removal order takes effect. The Asylum Court is a federal judicial institution constitutionally independent of both executive branches, with judges appointed through the judicial selection process with full tenure protections, and subject to Supreme Court appellate review on constitutional questions. the Legislature must by statute establish the Asylum Court. the Legislature may not establish any asylum determination body as a subdivision or instrumentality of either executive branch. Failure to establish the Asylum Court within two years of Phase 4 activation is a constitutional failure for the presiding officers of both chambers; federal courts have direct jurisdiction over asylum claims until the Legislature acts.</w:t>
      </w:r>
    </w:p>
    <w:p>
      <w:pPr>
        <w:spacing w:after="60" w:before="60" w:line="280" w:lineRule="auto"/>
        <w:jc w:val="both"/>
      </w:pPr>
      <w:r>
        <w:rPr>
          <w:rFonts w:ascii="Times New Roman" w:cs="Times New Roman" w:eastAsia="Times New Roman" w:hAnsi="Times New Roman"/>
          <w:b/>
          <w:bCs/>
          <w:color w:val="1B2A4A"/>
          <w:sz w:val="22"/>
          <w:szCs w:val="22"/>
        </w:rPr>
        <w:t xml:space="preserve">6.4.d Non-Penalization for Irregular Entry: </w:t>
      </w:r>
      <w:r>
        <w:rPr>
          <w:rFonts w:ascii="Times New Roman" w:cs="Times New Roman" w:eastAsia="Times New Roman" w:hAnsi="Times New Roman"/>
          <w:color w:val="000000"/>
          <w:sz w:val="22"/>
          <w:szCs w:val="22"/>
        </w:rPr>
        <w:t xml:space="preserve">The manner or means of entry into the Republic's territory, territorial waters, or effective custody of Republic authorities does not affect a person's right to claim protection under §1.27 or to have that claim determined by the Asylum Court. No criminal or civil penalty arising solely from irregular entry may be imposed on a person whose asylum claim is pending or has been granted. This provision does not prevent prosecution for conduct separate from and subsequent to the entry itself.</w:t>
      </w:r>
    </w:p>
    <w:p>
      <w:pPr>
        <w:spacing w:after="60" w:before="60" w:line="280" w:lineRule="auto"/>
        <w:jc w:val="both"/>
      </w:pPr>
      <w:r>
        <w:rPr>
          <w:rFonts w:ascii="Times New Roman" w:cs="Times New Roman" w:eastAsia="Times New Roman" w:hAnsi="Times New Roman"/>
          <w:b/>
          <w:bCs/>
          <w:color w:val="1B2A4A"/>
          <w:sz w:val="22"/>
          <w:szCs w:val="22"/>
        </w:rPr>
        <w:t xml:space="preserve">6.4.e Unexecutable Removal Orders: </w:t>
      </w:r>
      <w:r>
        <w:rPr>
          <w:rFonts w:ascii="Times New Roman" w:cs="Times New Roman" w:eastAsia="Times New Roman" w:hAnsi="Times New Roman"/>
          <w:color w:val="000000"/>
          <w:sz w:val="22"/>
          <w:szCs w:val="22"/>
        </w:rPr>
        <w:t xml:space="preserve">the Legislature must by statute define a minimum status, material conditions, and periodic judicial review mechanism for persons subject to final removal orders that cannot be executed because no country will accept the person or because §1.27 bars removal to all available destinations. Judicial review must occur at intervals the Legislature defines, not to exceed twelve months. Indefinite unreviewed detention is not a constitutionally available outcome. Failure to define this framework within two years of Phase 4 activation is a constitutional failure for the presiding officers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6.4.f Security and Criminal Protection Cases: </w:t>
      </w:r>
      <w:r>
        <w:rPr>
          <w:rFonts w:ascii="Times New Roman" w:cs="Times New Roman" w:eastAsia="Times New Roman" w:hAnsi="Times New Roman"/>
          <w:color w:val="000000"/>
          <w:sz w:val="22"/>
          <w:szCs w:val="22"/>
        </w:rPr>
        <w:t xml:space="preserve">Where the Asylum Court grants §1.27 protection to a person who the President's domain assessment finds poses a genuine documented security threat, or who has been convicted of a serious crime within the Republic, removal remains constitutionally barred. the Legislature must by statute establish a framework providing judicial authorization for continued detention, Asylum Court or federal court review at intervals the Legislature defines, minimum material conditions during detention, and reassessment when circumstances change. The Republic may not hold any person indefinitely without regular judicial review.</w:t>
      </w:r>
    </w:p>
    <w:p>
      <w:pPr>
        <w:spacing w:after="60" w:before="60" w:line="280" w:lineRule="auto"/>
        <w:jc w:val="both"/>
      </w:pPr>
      <w:r>
        <w:rPr>
          <w:rFonts w:ascii="Times New Roman" w:cs="Times New Roman" w:eastAsia="Times New Roman" w:hAnsi="Times New Roman"/>
          <w:b/>
          <w:bCs/>
          <w:color w:val="1B2A4A"/>
          <w:sz w:val="22"/>
          <w:szCs w:val="22"/>
        </w:rPr>
        <w:t xml:space="preserve">6.4.g Territory Accessibility: </w:t>
      </w:r>
      <w:r>
        <w:rPr>
          <w:rFonts w:ascii="Times New Roman" w:cs="Times New Roman" w:eastAsia="Times New Roman" w:hAnsi="Times New Roman"/>
          <w:color w:val="000000"/>
          <w:sz w:val="22"/>
          <w:szCs w:val="22"/>
        </w:rPr>
        <w:t xml:space="preserve">the Legislature's statute establishing the Asylum Court must ensure asylum proceedings are accessible to persons in Territories and geographically remote areas where physical attendance at a court facility is impractical, including through audio-visual proceedings meeting the same procedural standards as in-person hearings. Geographic distance from court facilities may not be used to delay, deny, or reduce the quality of asylum proceedings.</w:t>
      </w:r>
    </w:p>
    <w:p>
      <w:pPr>
        <w:spacing w:after="60" w:before="60" w:line="280" w:lineRule="auto"/>
        <w:jc w:val="both"/>
      </w:pPr>
      <w:r>
        <w:rPr>
          <w:rFonts w:ascii="Times New Roman" w:cs="Times New Roman" w:eastAsia="Times New Roman" w:hAnsi="Times New Roman"/>
          <w:b/>
          <w:bCs/>
          <w:color w:val="1B2A4A"/>
          <w:sz w:val="22"/>
          <w:szCs w:val="22"/>
        </w:rPr>
        <w:t xml:space="preserve">6.4.h Unaccompanied Minors: </w:t>
      </w:r>
      <w:r>
        <w:rPr>
          <w:rFonts w:ascii="Times New Roman" w:cs="Times New Roman" w:eastAsia="Times New Roman" w:hAnsi="Times New Roman"/>
          <w:color w:val="000000"/>
          <w:sz w:val="22"/>
          <w:szCs w:val="22"/>
        </w:rPr>
        <w:t xml:space="preserve">An unaccompanied minor who arrives within Republic territory or presents to Republic authorities without a parent or legal guardian is an Inhabitant from the moment of contact and holds full §1.27 protection. The Republic must appoint a federal legal guardian within 24 hours of contact. The guardian files the asylum claim on the minor's behalf and represents them throughout all proceedings. Custody during proceedings follows the principles of §5.3. The Asylum Court must prioritise unaccompanied minor cases. No unaccompanied minor may be detained in a facility not specifically designated and resourced for the care of children.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VII — ELECTIONS AND THE NATIONAL VOTE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7.1 — Standard Elections (Ranked Choice)</w:t>
      </w:r>
    </w:p>
    <w:p>
      <w:pPr>
        <w:spacing w:after="60" w:before="60" w:line="280" w:lineRule="auto"/>
        <w:jc w:val="both"/>
      </w:pPr>
      <w:r>
        <w:rPr>
          <w:rFonts w:ascii="Times New Roman" w:cs="Times New Roman" w:eastAsia="Times New Roman" w:hAnsi="Times New Roman"/>
          <w:color w:val="000000"/>
          <w:sz w:val="22"/>
          <w:szCs w:val="22"/>
        </w:rPr>
        <w:t xml:space="preserve">All federal elections are held on the same day every two years — National Election Day — on a date fixed by House statute. No federal election may be held on any other day except special elections for mid-term vacancies. All elections for House seats, Senate seats, Supreme Court justices, and Electoral Commission seats use Ranked Choice Voting (RCV), requiring a majority — not merely a plurality — to win.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7.2 — Presidential Election: National Vote and Regional Diversity</w:t>
      </w:r>
    </w:p>
    <w:p>
      <w:pPr>
        <w:spacing w:after="60" w:before="60" w:line="280" w:lineRule="auto"/>
        <w:jc w:val="both"/>
      </w:pPr>
      <w:r>
        <w:rPr>
          <w:rFonts w:ascii="Times New Roman" w:cs="Times New Roman" w:eastAsia="Times New Roman" w:hAnsi="Times New Roman"/>
          <w:color w:val="000000"/>
          <w:sz w:val="22"/>
          <w:szCs w:val="22"/>
        </w:rPr>
        <w:t xml:space="preserve">The President is elected by a combined score that weights national popular support and geographic breadth. This model ensures a winning candidate has both broad national appeal and meaningful support across diverse regions of the Republic, while making the national popular vote the primary path to victory. The House plays no role in presidential selection.</w:t>
      </w:r>
    </w:p>
    <w:p>
      <w:pPr>
        <w:spacing w:after="60" w:before="60" w:line="280" w:lineRule="auto"/>
        <w:jc w:val="both"/>
      </w:pPr>
      <w:r>
        <w:rPr>
          <w:rFonts w:ascii="Times New Roman" w:cs="Times New Roman" w:eastAsia="Times New Roman" w:hAnsi="Times New Roman"/>
          <w:b/>
          <w:bCs/>
          <w:color w:val="1B2A4A"/>
          <w:sz w:val="22"/>
          <w:szCs w:val="22"/>
        </w:rPr>
        <w:t xml:space="preserve">7.2.a National Ranked Choice Vote: </w:t>
      </w:r>
      <w:r>
        <w:rPr>
          <w:rFonts w:ascii="Times New Roman" w:cs="Times New Roman" w:eastAsia="Times New Roman" w:hAnsi="Times New Roman"/>
          <w:color w:val="000000"/>
          <w:sz w:val="22"/>
          <w:szCs w:val="22"/>
        </w:rPr>
        <w:t xml:space="preserve">Every citizen votes for President using Ranked Choice Voting through the National Voting System. First-preference vote shares are calculated nationally across all valid ballots. If a single candidate achieves a national RCV majority after full elimination rounds, they win the presidency outright. If no candidate achieves a national majority, the winner is determined by the combined score described in §7.2.b.</w:t>
      </w:r>
    </w:p>
    <w:p>
      <w:pPr>
        <w:spacing w:after="60" w:before="60" w:line="280" w:lineRule="auto"/>
        <w:jc w:val="both"/>
      </w:pPr>
      <w:r>
        <w:rPr>
          <w:rFonts w:ascii="Times New Roman" w:cs="Times New Roman" w:eastAsia="Times New Roman" w:hAnsi="Times New Roman"/>
          <w:b/>
          <w:bCs/>
          <w:color w:val="1B2A4A"/>
          <w:sz w:val="22"/>
          <w:szCs w:val="22"/>
        </w:rPr>
        <w:t xml:space="preserve">7.2.b The Combined Score: </w:t>
      </w:r>
      <w:r>
        <w:rPr>
          <w:rFonts w:ascii="Times New Roman" w:cs="Times New Roman" w:eastAsia="Times New Roman" w:hAnsi="Times New Roman"/>
          <w:color w:val="000000"/>
          <w:sz w:val="22"/>
          <w:szCs w:val="22"/>
        </w:rPr>
        <w:t xml:space="preserve">Where no candidate achieves a national RCV majority, the winner is the candidate with the highest combined score: 65% weight applied to the candidate's share of the national first-preference vote, plus 35% weight applied to the fraction of the Republic's presidential election regions — as defined by the Legislature under §7.2.c — in which the candidate placed first among all candidates. A candidate who places first in all regions scores the full 35% regional component; a candidate who places first in zero regions scores zero. The regional fraction is the number of regions won divided by the total number of regions the Legislature has defined. As an example using five regions: a candidate who receives 60% of national first-preference votes and wins 3 of 5 regions would score (0.65 × 0.60) + (0.35 × 3/5) = 0.39 + 0.21 = 0.60, comfortably winning.</w:t>
      </w:r>
    </w:p>
    <w:p>
      <w:pPr>
        <w:spacing w:after="60" w:before="60" w:line="280" w:lineRule="auto"/>
        <w:jc w:val="both"/>
      </w:pPr>
      <w:r>
        <w:rPr>
          <w:rFonts w:ascii="Times New Roman" w:cs="Times New Roman" w:eastAsia="Times New Roman" w:hAnsi="Times New Roman"/>
          <w:b/>
          <w:bCs/>
          <w:color w:val="1B2A4A"/>
          <w:sz w:val="22"/>
          <w:szCs w:val="22"/>
        </w:rPr>
        <w:t xml:space="preserve">7.2.c Presidential Election Regions: </w:t>
      </w:r>
      <w:r>
        <w:rPr>
          <w:rFonts w:ascii="Times New Roman" w:cs="Times New Roman" w:eastAsia="Times New Roman" w:hAnsi="Times New Roman"/>
          <w:color w:val="000000"/>
          <w:sz w:val="22"/>
          <w:szCs w:val="22"/>
        </w:rPr>
        <w:t xml:space="preserve">The Republic is divided into regions for presidential election purposes. the Legislature defines the number of regions by statute, in proportion to the Republic's geographic scale and State count — at least three regions and, where the Republic comprises more than thirty States, no more than one region per ten States. Regions are drawn by the Legislative Inspectorate using the same criteria hierarchy and prohibited inputs that govern House redistricting under §3.4.a and §3.4.b, applied at the regional scale. The LI reviews each regional map for compliance and may not approve a map where statistical evidence shows it could not have been drawn by a neutral actor applying the criteria correctly. The number of regions the Legislature defines is fixed for the duration of the drawing cycle in which it is set — the Legislature may alter the count only at the start of a new drawing cycle, concurrent with a regional redrawing. A change in regional count that does not coincide with a regional redrawing is void.</w:t>
      </w:r>
    </w:p>
    <w:p>
      <w:pPr>
        <w:spacing w:after="60" w:before="60" w:line="280" w:lineRule="auto"/>
        <w:jc w:val="both"/>
      </w:pPr>
      <w:r>
        <w:rPr>
          <w:rFonts w:ascii="Times New Roman" w:cs="Times New Roman" w:eastAsia="Times New Roman" w:hAnsi="Times New Roman"/>
          <w:b/>
          <w:bCs/>
          <w:color w:val="1B2A4A"/>
          <w:sz w:val="22"/>
          <w:szCs w:val="22"/>
        </w:rPr>
        <w:t xml:space="preserve">7.2.d New and Devolved States: </w:t>
      </w:r>
      <w:r>
        <w:rPr>
          <w:rFonts w:ascii="Times New Roman" w:cs="Times New Roman" w:eastAsia="Times New Roman" w:hAnsi="Times New Roman"/>
          <w:color w:val="000000"/>
          <w:sz w:val="22"/>
          <w:szCs w:val="22"/>
        </w:rPr>
        <w:t xml:space="preserve">Upon a territory achieving Statehood, the Legislative Inspectorate assigns the new State to the most geographically appropriate region, subject to the population comparability constraint of §7.2.c. If assignment would push a region above the population ceiling, the LI may trigger an off-cycle regional redrawing within two years of Statehood. Provisional Membership Period territories contribute to the national popular vote total but are not assigned to a region until full Statehood. Devolved States are removed from their region's calculation automatically; if devolution would reduce a region below a population floor defined by House statute, the LI triggers an off-cycle redrawing. Established Territories follow the same rule as Provisional Membership Period territories: citizens of Territories hold the full right to vote in presidential elections under §1.19, and their votes count in the national first-preference total, but Territories are not assigned to presidential election regions and do not contribute to the regional breadth component of the combined score. The regional breadth measure reflects the geographic distribution of the Republic's State structure; Territory citizens participate fully in the national democratic mandate.</w:t>
      </w:r>
    </w:p>
    <w:p>
      <w:pPr>
        <w:spacing w:after="60" w:before="60" w:line="280" w:lineRule="auto"/>
        <w:jc w:val="both"/>
      </w:pPr>
      <w:r>
        <w:rPr>
          <w:rFonts w:ascii="Times New Roman" w:cs="Times New Roman" w:eastAsia="Times New Roman" w:hAnsi="Times New Roman"/>
          <w:b/>
          <w:bCs/>
          <w:color w:val="1B2A4A"/>
          <w:sz w:val="22"/>
          <w:szCs w:val="22"/>
        </w:rPr>
        <w:t xml:space="preserve">7.2.e Election Certification: </w:t>
      </w:r>
      <w:r>
        <w:rPr>
          <w:rFonts w:ascii="Times New Roman" w:cs="Times New Roman" w:eastAsia="Times New Roman" w:hAnsi="Times New Roman"/>
          <w:color w:val="000000"/>
          <w:sz w:val="22"/>
          <w:szCs w:val="22"/>
        </w:rPr>
        <w:t xml:space="preserve">The Electoral Commission certifies the final presidential election result to the National Record System within a period the Legislature defines by statute. Certification is final and may be challenged only before the Supreme Court within 14 days of publication. The Court must rule within 14 days of any challenge. No transfer of presidential authority may be delayed beyond the constitutionally fixed moment pending a challenge not filed within the 14-day window.</w:t>
      </w:r>
    </w:p>
    <w:p>
      <w:pPr>
        <w:spacing w:after="60" w:before="60" w:line="280" w:lineRule="auto"/>
        <w:jc w:val="both"/>
      </w:pPr>
      <w:r>
        <w:rPr>
          <w:rFonts w:ascii="Times New Roman" w:cs="Times New Roman" w:eastAsia="Times New Roman" w:hAnsi="Times New Roman"/>
          <w:b/>
          <w:bCs/>
          <w:color w:val="1B2A4A"/>
          <w:sz w:val="22"/>
          <w:szCs w:val="22"/>
        </w:rPr>
        <w:t xml:space="preserve">7.2.f Run-off: </w:t>
      </w:r>
      <w:r>
        <w:rPr>
          <w:rFonts w:ascii="Times New Roman" w:cs="Times New Roman" w:eastAsia="Times New Roman" w:hAnsi="Times New Roman"/>
          <w:color w:val="000000"/>
          <w:sz w:val="22"/>
          <w:szCs w:val="22"/>
        </w:rPr>
        <w:t xml:space="preserve">If two candidates are within 0.5% of each other on the combined score, a head-to-head national RCV run-off between those two candidates is conducted through the National Voting System. The run-off winner is the candidate who achieves a national RCV majority in the head-to-head contest. Where a run-off period under this section extends beyond the expiration of the outgoing President's constitutional term, the succession line of §2.6.a governs the defense and diplomatic functions of the presidency from the moment of term expiration until the run-off winner is certified and takes the Official Oath under §10.5.h. The successor under §2.6.a serves in a caretaker capacity during this period with the full constitutional authority of the presidential office, subject to §2.6.c succession constraints. The run-off result, once certified, takes immediate effect upon the winner's oath regardless of the length of any succession period.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7.3 — Election Integrity</w:t>
      </w:r>
    </w:p>
    <w:p>
      <w:pPr>
        <w:spacing w:after="60" w:before="60" w:line="280" w:lineRule="auto"/>
        <w:jc w:val="both"/>
      </w:pPr>
      <w:r>
        <w:rPr>
          <w:rFonts w:ascii="Times New Roman" w:cs="Times New Roman" w:eastAsia="Times New Roman" w:hAnsi="Times New Roman"/>
          <w:b/>
          <w:bCs/>
          <w:color w:val="1B2A4A"/>
          <w:sz w:val="22"/>
          <w:szCs w:val="22"/>
        </w:rPr>
        <w:t xml:space="preserve">7.3.a No Executive Interference: </w:t>
      </w:r>
      <w:r>
        <w:rPr>
          <w:rFonts w:ascii="Times New Roman" w:cs="Times New Roman" w:eastAsia="Times New Roman" w:hAnsi="Times New Roman"/>
          <w:color w:val="000000"/>
          <w:sz w:val="22"/>
          <w:szCs w:val="22"/>
        </w:rPr>
        <w:t xml:space="preserve">The President may not declare, postpone, or influence the scheduling of elections. The House sets the election calendar by standing statute, alterable only by a 2/3 supermajority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7.3.b National Voting System: </w:t>
      </w:r>
      <w:r>
        <w:rPr>
          <w:rFonts w:ascii="Times New Roman" w:cs="Times New Roman" w:eastAsia="Times New Roman" w:hAnsi="Times New Roman"/>
          <w:color w:val="000000"/>
          <w:sz w:val="22"/>
          <w:szCs w:val="22"/>
        </w:rPr>
        <w:t xml:space="preserve">The Electoral Commission administers the National Voting System, through which all elections and referenda are conducted (Article XVI). No election result is valid unless conducted through it.</w:t>
      </w:r>
    </w:p>
    <w:p>
      <w:pPr>
        <w:spacing w:after="60" w:before="60" w:line="280" w:lineRule="auto"/>
        <w:jc w:val="both"/>
      </w:pPr>
      <w:r>
        <w:rPr>
          <w:rFonts w:ascii="Times New Roman" w:cs="Times New Roman" w:eastAsia="Times New Roman" w:hAnsi="Times New Roman"/>
          <w:b/>
          <w:bCs/>
          <w:color w:val="1B2A4A"/>
          <w:sz w:val="22"/>
          <w:szCs w:val="22"/>
        </w:rPr>
        <w:t xml:space="preserve">7.3.c Participation Protection: </w:t>
      </w:r>
      <w:r>
        <w:rPr>
          <w:rFonts w:ascii="Times New Roman" w:cs="Times New Roman" w:eastAsia="Times New Roman" w:hAnsi="Times New Roman"/>
          <w:color w:val="000000"/>
          <w:sz w:val="22"/>
          <w:szCs w:val="22"/>
        </w:rPr>
        <w:t xml:space="preserve">No State may take any action that reduces National Voting System access, functionality, or processing capacity in its jurisdiction. The Electoral Commission monitors participation rates and reports statistically significant reductions to the Legislative Inspectorate. A confirmed pattern of reduced accessibility is reported to the National Record System by the relevant Inspectorate.7 for the relevant State officials.</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VIII — THE INSPECTORATES</w:t>
      </w:r>
    </w:p>
    <w:p>
      <w:pPr>
        <w:spacing w:after="60" w:before="60" w:line="280" w:lineRule="auto"/>
        <w:jc w:val="both"/>
      </w:pPr>
      <w:r>
        <w:rPr>
          <w:rFonts w:ascii="Times New Roman" w:cs="Times New Roman" w:eastAsia="Times New Roman" w:hAnsi="Times New Roman"/>
          <w:color w:val="000000"/>
          <w:sz w:val="22"/>
          <w:szCs w:val="22"/>
        </w:rPr>
        <w:t xml:space="preserve">The Republic maintains three permanent Inspectorates — one for each branch. Each is independent, non-partisan, and without enforcement power: Inspectorates publish facts; courts, the Legislature, and the People decide what to do with them. No branch controls its own oversight.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 — The Three Inspectorates</w:t>
      </w:r>
    </w:p>
    <w:p>
      <w:pPr>
        <w:spacing w:after="60" w:before="60" w:line="280" w:lineRule="auto"/>
        <w:jc w:val="both"/>
      </w:pPr>
      <w:r>
        <w:rPr>
          <w:rFonts w:ascii="Times New Roman" w:cs="Times New Roman" w:eastAsia="Times New Roman" w:hAnsi="Times New Roman"/>
          <w:b/>
          <w:bCs/>
          <w:color w:val="1B2A4A"/>
          <w:sz w:val="22"/>
          <w:szCs w:val="22"/>
        </w:rPr>
        <w:t xml:space="preserve">8.1.a The Legislative Inspectorate (LI): </w:t>
      </w:r>
      <w:r>
        <w:rPr>
          <w:rFonts w:ascii="Times New Roman" w:cs="Times New Roman" w:eastAsia="Times New Roman" w:hAnsi="Times New Roman"/>
          <w:color w:val="000000"/>
          <w:sz w:val="22"/>
          <w:szCs w:val="22"/>
        </w:rPr>
        <w:t xml:space="preserve">Audits the House and Senate for fiscal accuracy, constitutional compliance of enacted legislation, and National Record System integrity of parliamentary records. Conducts the population census (§3.1.b), reviews State-drawn federal House district maps for compliance (§3.4), and draws presidential election regions (§7.2.c). Reviews State Remediation Plans under §13.3.b.</w:t>
      </w:r>
    </w:p>
    <w:p>
      <w:pPr>
        <w:spacing w:after="60" w:before="60" w:line="280" w:lineRule="auto"/>
        <w:jc w:val="both"/>
      </w:pPr>
      <w:r>
        <w:rPr>
          <w:rFonts w:ascii="Times New Roman" w:cs="Times New Roman" w:eastAsia="Times New Roman" w:hAnsi="Times New Roman"/>
          <w:b/>
          <w:bCs/>
          <w:color w:val="1B2A4A"/>
          <w:sz w:val="22"/>
          <w:szCs w:val="22"/>
        </w:rPr>
        <w:t xml:space="preserve">8.1.b The Executive Inspectorate (EI): </w:t>
      </w:r>
      <w:r>
        <w:rPr>
          <w:rFonts w:ascii="Times New Roman" w:cs="Times New Roman" w:eastAsia="Times New Roman" w:hAnsi="Times New Roman"/>
          <w:color w:val="000000"/>
          <w:sz w:val="22"/>
          <w:szCs w:val="22"/>
        </w:rPr>
        <w:t xml:space="preserve">Audits both executive offices and the Monetary Authority for constitutional compliance — including NRS mandate adherence, domain boundary compliance, classification rules, ethics provisions, public defense resourcing (§1.14.b), Treaty Emergency Certification expenditures (§12.5.c), and the National Endowment where established by statute.  The Executive Inspectorate publishes a factual background report on any clemency petition under §2.1.g or §2.2.f before the relevant executive acts. The report covers the petitioner's record, the conviction, and any relevant prior EI findings, and is published to the NRS simultaneously with delivery to the executive. For candidate assessment functions, the EI reviews candidate disclosure records submitted by nominating actors, applies constitutional eligibility criteria, and publishes the submitted record together with its recommendation to the NRS — it does not generate independent assessments. Military Constitutional Compliance: The Executive Inspectorate's annual audit of the presidential office includes a specific assessment of military constitutional compliance: whether military operations during the year were authorized through the Tier framework of §2.1; whether Intelligence Firewall compliance under §12.3 was maintained with no domestic surveillance of Republic citizens; and whether fund certification requirements under §2.1.d were followed for all military expenditures. The EI publishes its military constitutional compliance findings as a dedicated section of its Annual State of the Republic Report.</w:t>
      </w:r>
    </w:p>
    <w:p>
      <w:pPr>
        <w:spacing w:after="60" w:before="60" w:line="280" w:lineRule="auto"/>
        <w:jc w:val="both"/>
      </w:pPr>
      <w:r>
        <w:rPr>
          <w:rFonts w:ascii="Times New Roman" w:cs="Times New Roman" w:eastAsia="Times New Roman" w:hAnsi="Times New Roman"/>
          <w:b/>
          <w:bCs/>
          <w:color w:val="1B2A4A"/>
          <w:sz w:val="22"/>
          <w:szCs w:val="22"/>
        </w:rPr>
        <w:t xml:space="preserve">8.1.c The Judicial Inspectorate (JI): </w:t>
      </w:r>
      <w:r>
        <w:rPr>
          <w:rFonts w:ascii="Times New Roman" w:cs="Times New Roman" w:eastAsia="Times New Roman" w:hAnsi="Times New Roman"/>
          <w:color w:val="000000"/>
          <w:sz w:val="22"/>
          <w:szCs w:val="22"/>
        </w:rPr>
        <w:t>Audits the court system for compliance with judicial scope and independence; maintains the Supreme Court Candidate Registry (§8.4.e); vets judicial nominees and Electoral Commission candidates; conducts eligibility screens on referendum petitions; and audits the Electoral Commission annually.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8.2 — Selection and Independence</w:t>
      </w:r>
    </w:p>
    <w:p>
      <w:pPr>
        <w:spacing w:after="60" w:before="60" w:line="280" w:lineRule="auto"/>
        <w:jc w:val="both"/>
      </w:pPr>
      <w:r>
        <w:rPr>
          <w:rFonts w:ascii="Times New Roman" w:cs="Times New Roman" w:eastAsia="Times New Roman" w:hAnsi="Times New Roman"/>
          <w:color w:val="000000"/>
          <w:sz w:val="22"/>
          <w:szCs w:val="22"/>
        </w:rPr>
        <w:t xml:space="preserve">Each Inspector General is selected through a model that excludes the watched branch from controlling its own oversight. The Legislature does not select the Legislative IG; the Executive does not select the Executive IG; no political actor controls the Judicial IG's selection.</w:t>
      </w:r>
    </w:p>
    <w:p>
      <w:pPr>
        <w:spacing w:after="60" w:before="60" w:line="280" w:lineRule="auto"/>
        <w:jc w:val="both"/>
      </w:pPr>
      <w:r>
        <w:rPr>
          <w:rFonts w:ascii="Times New Roman" w:cs="Times New Roman" w:eastAsia="Times New Roman" w:hAnsi="Times New Roman"/>
          <w:color w:val="000000"/>
          <w:sz w:val="22"/>
          <w:szCs w:val="22"/>
        </w:rPr>
        <w:t xml:space="preserve">No person may serve as Inspector General who has held any elected or appointed government position within the 10 years before appointment, or who holds any financial interest in any entity regulated by the Republic.</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8.3 — The Legislative and Executive IG: Appointment</w:t>
      </w:r>
    </w:p>
    <w:p>
      <w:pPr>
        <w:spacing w:after="60" w:before="60" w:line="280" w:lineRule="auto"/>
        <w:jc w:val="both"/>
      </w:pPr>
      <w:r>
        <w:rPr>
          <w:rFonts w:ascii="Times New Roman" w:cs="Times New Roman" w:eastAsia="Times New Roman" w:hAnsi="Times New Roman"/>
          <w:b/>
          <w:bCs/>
          <w:color w:val="1B2A4A"/>
          <w:sz w:val="22"/>
          <w:szCs w:val="22"/>
        </w:rPr>
        <w:t xml:space="preserve">8.3.a Legislative IG: </w:t>
      </w:r>
      <w:r>
        <w:rPr>
          <w:rFonts w:ascii="Times New Roman" w:cs="Times New Roman" w:eastAsia="Times New Roman" w:hAnsi="Times New Roman"/>
          <w:color w:val="000000"/>
          <w:sz w:val="22"/>
          <w:szCs w:val="22"/>
        </w:rPr>
        <w:t xml:space="preserve">Nominated by the Supreme Court; confirmed by the Senate with a 2/3 supermajority. The House is entirely excluded. Deemed Confirmed if the Senate fails to act within the period the Legislature defines by statute. The Supreme Court's nomination serves as the qualification assessment for this role — no separate Inspectorate review is required.</w:t>
      </w:r>
    </w:p>
    <w:p>
      <w:pPr>
        <w:spacing w:after="60" w:before="60" w:line="280" w:lineRule="auto"/>
        <w:jc w:val="both"/>
      </w:pPr>
      <w:r>
        <w:rPr>
          <w:rFonts w:ascii="Times New Roman" w:cs="Times New Roman" w:eastAsia="Times New Roman" w:hAnsi="Times New Roman"/>
          <w:b/>
          <w:bCs/>
          <w:color w:val="1B2A4A"/>
          <w:sz w:val="22"/>
          <w:szCs w:val="22"/>
        </w:rPr>
        <w:t xml:space="preserve">8.3.b Executive IG: </w:t>
      </w:r>
      <w:r>
        <w:rPr>
          <w:rFonts w:ascii="Times New Roman" w:cs="Times New Roman" w:eastAsia="Times New Roman" w:hAnsi="Times New Roman"/>
          <w:color w:val="000000"/>
          <w:sz w:val="22"/>
          <w:szCs w:val="22"/>
        </w:rPr>
        <w:t xml:space="preserve">Nominated by the House; confirmed by the Senate with a simple majority. Deemed Confirmed if the Senate fails to act within the period the Legislature defines by statute. Before the Senate confirmation vote, the House must submit a candidate disclosure record for the nominee to the Judicial Inspectorate. The record must include professional background, relevant expertise, financial disclosures, and any prior government positions held. The Judicial Inspectorate reviews the submitted record for factual accuracy, applies the eligibility criteria for Inspector General service, and publishes the record together with its recommendation — whether the submitted record demonstrates the criteria are met — to the National Record System before the Senate votes. Where the JI identifies a material factual inaccuracy, it publishes a specific discrepancy finding; the House may submit a corrected record within a Legislature-defined period. Both records remain permanently on the NRS. Any citizen who identifies a discrepancy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 xml:space="preserve">8.3.c Term and Staggering: </w:t>
      </w:r>
      <w:r>
        <w:rPr>
          <w:rFonts w:ascii="Times New Roman" w:cs="Times New Roman" w:eastAsia="Times New Roman" w:hAnsi="Times New Roman"/>
          <w:color w:val="000000"/>
          <w:sz w:val="22"/>
          <w:szCs w:val="22"/>
        </w:rPr>
        <w:t xml:space="preserve">Each serves a single, non-renewable 10-year term. No two Inspector General terms may begin within 18 months of each other. If an appointment or lottery draw would result in two IGs beginning their terms within this window, the new appointment or draw is delayed until the 18-month gap is satisfied. During any such delay, the outgoing IG continues in a maintenance capacity — they may publish pending Reports and conduct ongoing investigations but may not initiate new investigations or make new gatekeeping determinations. A holdover extension under this provision does not count as a new term beginning for purposes of the staggering calculation.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8.4 — The Judicial IG: Lottery Selection</w:t>
      </w:r>
    </w:p>
    <w:p>
      <w:pPr>
        <w:spacing w:after="60" w:before="60" w:line="280" w:lineRule="auto"/>
        <w:jc w:val="both"/>
      </w:pPr>
      <w:r>
        <w:rPr>
          <w:rFonts w:ascii="Times New Roman" w:cs="Times New Roman" w:eastAsia="Times New Roman" w:hAnsi="Times New Roman"/>
          <w:color w:val="000000"/>
          <w:sz w:val="22"/>
          <w:szCs w:val="22"/>
        </w:rPr>
        <w:t xml:space="preserve">The Judicial Inspector General is selected by random draw from a pool of qualified candidates — not by appointment. This lottery model prevents any political actor from controlling who watches the courts. The Judicial Inspectorate's mandate includes annual compact compliance reviews for all entities operating under §19.1 accommodation compacts, §20 Associated Community compacts, and Article XIV indigenous compact obligations, assessing compliance with Article I rights protections and compact terms, with findings published to the National Record System.</w:t>
      </w:r>
    </w:p>
    <w:p>
      <w:pPr>
        <w:spacing w:before="60" w:after="60" w:line="280" w:lineRule="auto"/>
        <w:jc w:val="both"/>
      </w:pPr>
      <w:r>
        <w:rPr>
          <w:b/>
          <w:sz w:val="22"/>
          <w:color w:val="1B2A4A"/>
        </w:rPr>
        <w:t xml:space="preserve">8.4.a Judicial IG Candidate Pool: </w:t>
      </w:r>
      <w:r>
        <w:rPr>
          <w:sz w:val="22"/>
        </w:rPr>
        <w:t>Maintained by the Judicial Inspectorate. The Pool consists of persons with the analytical, research, and writing competence to perform systematic fact-finding and clear reporting within the judicial domain. The Judicial IG's function is information-gathering and factual reporting — not legal determination. Accordingly, specific professional qualifications for Pool membership are defined by the Legislature by statute, and must reflect the research and reporting nature of the role rather than judicial or legal credentials as such. The constitutional minimum requirements for Pool membership are: no elected or appointed government position within the prior 10 years; no financial interest in any entity regulated by the Republic; and no criminal conviction for conduct committed while holding any government position. These minimums may not be reduced by statute — the Legislature may only add to them. The existing appeals process under §8.9.d applies to any Pool exclusion determination.</w:t>
      </w:r>
    </w:p>
    <w:p>
      <w:pPr>
        <w:spacing w:after="60" w:before="60" w:line="280" w:lineRule="auto"/>
        <w:jc w:val="both"/>
      </w:pPr>
      <w:r>
        <w:rPr>
          <w:rFonts w:ascii="Times New Roman" w:cs="Times New Roman" w:eastAsia="Times New Roman" w:hAnsi="Times New Roman"/>
          <w:b/>
          <w:bCs/>
          <w:color w:val="1B2A4A"/>
          <w:sz w:val="22"/>
          <w:szCs w:val="22"/>
        </w:rPr>
        <w:t xml:space="preserve">8.4.b The Draw: </w:t>
      </w:r>
      <w:r>
        <w:rPr>
          <w:rFonts w:ascii="Times New Roman" w:cs="Times New Roman" w:eastAsia="Times New Roman" w:hAnsi="Times New Roman"/>
          <w:color w:val="000000"/>
          <w:sz w:val="22"/>
          <w:szCs w:val="22"/>
        </w:rPr>
        <w:t xml:space="preserve">When a Judicial IG term ends, the outgoing IG conducts a public, verifiable random draw from the Pool, witnessed by the other two IGs and three citizens selected by jury duty protocols. The selection is published to the National Record System immediately.</w:t>
      </w:r>
    </w:p>
    <w:p>
      <w:pPr>
        <w:spacing w:after="60" w:before="60" w:line="280" w:lineRule="auto"/>
        <w:jc w:val="both"/>
      </w:pPr>
      <w:r>
        <w:rPr>
          <w:rFonts w:ascii="Times New Roman" w:cs="Times New Roman" w:eastAsia="Times New Roman" w:hAnsi="Times New Roman"/>
          <w:b/>
          <w:bCs/>
          <w:color w:val="1B2A4A"/>
          <w:sz w:val="22"/>
          <w:szCs w:val="22"/>
        </w:rPr>
        <w:t xml:space="preserve">8.4.c Term and Pool Depletion: </w:t>
      </w:r>
      <w:r>
        <w:rPr>
          <w:rFonts w:ascii="Times New Roman" w:cs="Times New Roman" w:eastAsia="Times New Roman" w:hAnsi="Times New Roman"/>
          <w:color w:val="000000"/>
          <w:sz w:val="22"/>
          <w:szCs w:val="22"/>
        </w:rPr>
        <w:t xml:space="preserve">The Judicial IG serves a single, non-renewable 10-year term governed by the staggering provisions of §8.3.c. If the Pool contains fewer than three candidates when a draw, the outgoing IG is extended for up to one year while the Pool is replenished. If the Pool remains insufficient after one year, the Constitutional Emergency Panel — comprising representatives of the House, the Supreme Court, and the two non-Judicial Inspectorates — may by unanimous vote admit one emergency candidate who meets all Pool criteria except the 10-year government position ban, provided their last government position was not in the judicial branch and they hold no current financial conflict of interest. This emergency admission is available only once per Pool depletion event.</w:t>
      </w:r>
    </w:p>
    <w:p>
      <w:pPr>
        <w:spacing w:after="60" w:before="60" w:line="280" w:lineRule="auto"/>
        <w:jc w:val="both"/>
      </w:pPr>
      <w:r>
        <w:rPr>
          <w:rFonts w:ascii="Times New Roman" w:cs="Times New Roman" w:eastAsia="Times New Roman" w:hAnsi="Times New Roman"/>
          <w:b/>
          <w:bCs/>
          <w:color w:val="1B2A4A"/>
          <w:sz w:val="22"/>
          <w:szCs w:val="22"/>
        </w:rPr>
        <w:t xml:space="preserve">8.4.d Inspectorate Staff Continuity and Simultaneous Vacancy: </w:t>
      </w:r>
      <w:r>
        <w:rPr>
          <w:rFonts w:ascii="Times New Roman" w:cs="Times New Roman" w:eastAsia="Times New Roman" w:hAnsi="Times New Roman"/>
          <w:color w:val="000000"/>
          <w:sz w:val="22"/>
          <w:szCs w:val="22"/>
        </w:rPr>
        <w:t xml:space="preserve">Inspectorate staff retain their constitutional mandate to continue all mandatory publication and audit functions under the most recent IG's standing orders during any IG vacancy, including vacancy caused by death. Staff actions during an IG vacancy are subject to full review upon appointment of a successor IG. Where two or more Inspectorates experience simultaneous IG vacancies due to a single external event qualifying as a catastrophic event under §2.8, the §8.4.c Constitutional Emergency Panel provision activates immediately for each vacant Inspectorate without requiring separate Pool depletion findings. The Senate, by simple majority of surviving members under the §3.2.g survivor quorum provision, appoints temporary IGs for each simultaneously vacant position within 14 days: the Qualified Jurist Pool process applies to the Judicial IG vacancy; career senior civil servants from outside the affected Inspectorates, nominated by the surviving Inspectorates jointly, fill Legislative and Executive IG vacancies. All such temporary appointments are subject to Senate confirmation under §3.2.g.</w:t>
      </w:r>
    </w:p>
    <w:p>
      <w:pPr>
        <w:spacing w:before="60" w:after="60" w:line="280" w:lineRule="auto"/>
        <w:jc w:val="both"/>
      </w:pPr>
      <w:r>
        <w:rPr>
          <w:b/>
          <w:sz w:val="22"/>
          <w:color w:val="1B2A4A"/>
        </w:rPr>
        <w:t xml:space="preserve">8.4.e Supreme Court Candidate Registry: </w:t>
      </w:r>
      <w:r>
        <w:rPr>
          <w:sz w:val="22"/>
        </w:rPr>
        <w:t>Maintained by the Judicial Inspectorate separately from the Judicial IG Candidate Pool of §8.4.a. The SC Registry serves exclusively as the eligibility register for Supreme Court candidacy under §4.2. Any citizen meeting the following criteria may apply for inclusion: (1) a minimum of 15 years of legal practice, or a minimum of 10 years of service as a judge on any court within the Republic's jurisdiction, or both — prior or current judicial service does not disqualify; (2) active Republic citizenship at time of application; (3) no current position in the executive or legislative branches of the federal government; (4) no financial interest that would systematically affect impartiality on the Supreme Court; and (5) no criminal conviction for conduct committed while holding federal office. The Judicial Inspectorate reviews submitted registration records for factual accuracy against these criteria and publishes findings to the National Record System within 21 days of submission. Registry inclusion does not expire — a member remains on the Registry unless they no longer meet the criteria or voluntarily withdraw. The Inspectorate publishes an updated Registry annually to the NRS. Appeals of exclusion determinations proceed under §8.9.d.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8.5 — IG Removal: Two-Track System</w:t>
      </w:r>
    </w:p>
    <w:p>
      <w:pPr>
        <w:spacing w:after="60" w:before="60" w:line="280" w:lineRule="auto"/>
        <w:jc w:val="both"/>
      </w:pPr>
      <w:r>
        <w:rPr>
          <w:rFonts w:ascii="Times New Roman" w:cs="Times New Roman" w:eastAsia="Times New Roman" w:hAnsi="Times New Roman"/>
          <w:color w:val="000000"/>
          <w:sz w:val="22"/>
          <w:szCs w:val="22"/>
        </w:rPr>
        <w:t xml:space="preserve">An Inspector General may be removed only through one of two tracks. Neither may be used to suppress a Report or retaliate for lawful investigative activity.</w:t>
      </w:r>
    </w:p>
    <w:p>
      <w:pPr>
        <w:spacing w:after="60" w:before="60" w:line="280" w:lineRule="auto"/>
        <w:jc w:val="both"/>
      </w:pPr>
      <w:r>
        <w:rPr>
          <w:rFonts w:ascii="Times New Roman" w:cs="Times New Roman" w:eastAsia="Times New Roman" w:hAnsi="Times New Roman"/>
          <w:b/>
          <w:bCs/>
          <w:color w:val="1B2A4A"/>
          <w:sz w:val="22"/>
          <w:szCs w:val="22"/>
        </w:rPr>
        <w:t xml:space="preserve">8.5.a For-Cause Removal: </w:t>
      </w:r>
      <w:r>
        <w:rPr>
          <w:rFonts w:ascii="Times New Roman" w:cs="Times New Roman" w:eastAsia="Times New Roman" w:hAnsi="Times New Roman"/>
          <w:color w:val="000000"/>
          <w:sz w:val="22"/>
          <w:szCs w:val="22"/>
        </w:rPr>
        <w:t xml:space="preserve">Grounds: documented dereliction of duty, incapacity, undisclosed conflict of interest, or criminal conviction. Requires a 2/3 vote of both chambers simultaneously. Before the legislative vote, the State Designee Panel (§8.9) must publish a verification finding within 30 days of the removal motion being filed. The Panel's finding is published to the National Record System. The Legislature may proceed to the 2/3 vote only after the Panel publishes its finding, regardless of which way the finding goes. If the Panel finds the stated grounds unsubstantiated, that finding is published permanently alongside the removal vote; the motion does not automatically lapse. The IG being removed may petition the Supreme Court within 14 days of the Panel's finding for expedited technical review on whether the Panel applied the correct legal standard — not the merits of the grounds; the IG continues in office during this review. A removal of an Inspector General that achieves the constitutional threshold of this section and has been preceded by the State Designee Panel verification process is not, solely by reason of the political motivation of any voting member or members, a constitutional violation for those members. Motive is not justiciable where the constitutional process is complete. This protection does not extend to false statements in the stated grounds, fabrication of evidence presented to the Panel, or coercion of other members' votes.</w:t>
      </w:r>
    </w:p>
    <w:p>
      <w:pPr>
        <w:spacing w:after="60" w:before="60" w:line="280" w:lineRule="auto"/>
        <w:jc w:val="both"/>
      </w:pPr>
      <w:r>
        <w:rPr>
          <w:rFonts w:ascii="Times New Roman" w:cs="Times New Roman" w:eastAsia="Times New Roman" w:hAnsi="Times New Roman"/>
          <w:b/>
          <w:bCs/>
          <w:color w:val="1B2A4A"/>
          <w:sz w:val="22"/>
          <w:szCs w:val="22"/>
        </w:rPr>
        <w:t xml:space="preserve">8.5.b No-Cause Removal: </w:t>
      </w:r>
      <w:r>
        <w:rPr>
          <w:rFonts w:ascii="Times New Roman" w:cs="Times New Roman" w:eastAsia="Times New Roman" w:hAnsi="Times New Roman"/>
          <w:color w:val="000000"/>
          <w:sz w:val="22"/>
          <w:szCs w:val="22"/>
        </w:rPr>
        <w:t xml:space="preserve">Requires a 3/4 vote of both chambers simultaneously. A mandatory 90-day delay follows before removal takes effect. During this period, the IG continues all duties and may publish pending Reports. The removal decision is published to the National Record System and made freely accessible to all Inhabitants on the day the vote is recorded.</w:t>
      </w:r>
    </w:p>
    <w:p>
      <w:pPr>
        <w:spacing w:after="60" w:before="60" w:line="280" w:lineRule="auto"/>
        <w:jc w:val="both"/>
      </w:pPr>
      <w:r>
        <w:rPr>
          <w:rFonts w:ascii="Times New Roman" w:cs="Times New Roman" w:eastAsia="Times New Roman" w:hAnsi="Times New Roman"/>
          <w:b/>
          <w:bCs/>
          <w:color w:val="1B2A4A"/>
          <w:sz w:val="22"/>
          <w:szCs w:val="22"/>
        </w:rPr>
        <w:t xml:space="preserve">8.5.c Judicial IG — For-Cause Only: </w:t>
      </w:r>
      <w:r>
        <w:rPr>
          <w:rFonts w:ascii="Times New Roman" w:cs="Times New Roman" w:eastAsia="Times New Roman" w:hAnsi="Times New Roman"/>
          <w:color w:val="000000"/>
          <w:sz w:val="22"/>
          <w:szCs w:val="22"/>
        </w:rPr>
        <w:t xml:space="preserve">The Judicial Inspector General may only be removed via Track 1. No-Cause removal is not available for the Judicial IG.</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8.6 — The Information-Only Mandate</w:t>
      </w:r>
    </w:p>
    <w:p>
      <w:pPr>
        <w:spacing w:after="60" w:before="60" w:line="280" w:lineRule="auto"/>
        <w:jc w:val="both"/>
      </w:pPr>
      <w:r>
        <w:rPr>
          <w:rFonts w:ascii="Times New Roman" w:cs="Times New Roman" w:eastAsia="Times New Roman" w:hAnsi="Times New Roman"/>
          <w:color w:val="000000"/>
          <w:sz w:val="22"/>
          <w:szCs w:val="22"/>
        </w:rPr>
        <w:t xml:space="preserve">An Inspectorate finding is not a legal determination of any kind. Inspectorate Reports state observed facts. They do not conclude that any conduct 'is constitutionally prohibited' — that is a legal conclusion reserved for courts. The Inspectorates have no enforcement power, no arrest authority, no prosecutorial function, and no ability to issue binding orders. Their sole constitutional output is published factual information. Inspectorate Reports may note that the Legislature, courts, or the People may wish to act on what the Reports reveal — but the power to act always belongs to others.</w:t>
      </w:r>
    </w:p>
    <w:p>
      <w:pPr>
        <w:spacing w:after="60" w:before="60" w:line="280" w:lineRule="auto"/>
        <w:jc w:val="both"/>
      </w:pPr>
      <w:r>
        <w:rPr>
          <w:rFonts w:ascii="Times New Roman" w:cs="Times New Roman" w:eastAsia="Times New Roman" w:hAnsi="Times New Roman"/>
          <w:b/>
          <w:bCs/>
          <w:color w:val="1B2A4A"/>
          <w:sz w:val="22"/>
          <w:szCs w:val="22"/>
        </w:rPr>
        <w:t xml:space="preserve">8.6.a Reports: </w:t>
      </w:r>
      <w:r>
        <w:rPr>
          <w:rFonts w:ascii="Times New Roman" w:cs="Times New Roman" w:eastAsia="Times New Roman" w:hAnsi="Times New Roman"/>
          <w:color w:val="000000"/>
          <w:sz w:val="22"/>
          <w:szCs w:val="22"/>
        </w:rPr>
        <w:t xml:space="preserve">Each Inspectorate publishes its findings as formal Reports to the National Record System, simultaneously delivering them to both chambers, both executives, and making them freely accessible to all Inhabitants. No official may suppress, delay, classify, or alter a Report before publication.</w:t>
      </w:r>
    </w:p>
    <w:p>
      <w:pPr>
        <w:spacing w:after="60" w:before="60" w:line="280" w:lineRule="auto"/>
        <w:jc w:val="both"/>
      </w:pPr>
      <w:r>
        <w:rPr>
          <w:rFonts w:ascii="Times New Roman" w:cs="Times New Roman" w:eastAsia="Times New Roman" w:hAnsi="Times New Roman"/>
          <w:b/>
          <w:bCs/>
          <w:color w:val="1B2A4A"/>
          <w:sz w:val="22"/>
          <w:szCs w:val="22"/>
        </w:rPr>
        <w:t xml:space="preserve">8.6.b No Classification: </w:t>
      </w:r>
      <w:r>
        <w:rPr>
          <w:rFonts w:ascii="Times New Roman" w:cs="Times New Roman" w:eastAsia="Times New Roman" w:hAnsi="Times New Roman"/>
          <w:color w:val="000000"/>
          <w:sz w:val="22"/>
          <w:szCs w:val="22"/>
        </w:rPr>
        <w:t xml:space="preserve">Inspectorate Reports are permanently exempt from classification. If an investigation involves classified material, the Report describes the nature of the issue without reproducing classified content, and flags the classification for review by the appropriate domain executive.</w:t>
      </w:r>
    </w:p>
    <w:p>
      <w:pPr>
        <w:spacing w:after="60" w:before="60" w:line="280" w:lineRule="auto"/>
        <w:jc w:val="both"/>
      </w:pPr>
      <w:r>
        <w:rPr>
          <w:rFonts w:ascii="Times New Roman" w:cs="Times New Roman" w:eastAsia="Times New Roman" w:hAnsi="Times New Roman"/>
          <w:b/>
          <w:bCs/>
          <w:color w:val="1B2A4A"/>
          <w:sz w:val="22"/>
          <w:szCs w:val="22"/>
        </w:rPr>
        <w:t xml:space="preserve">8.6.c No Binding Force: </w:t>
      </w:r>
      <w:r>
        <w:rPr>
          <w:rFonts w:ascii="Times New Roman" w:cs="Times New Roman" w:eastAsia="Times New Roman" w:hAnsi="Times New Roman"/>
          <w:color w:val="000000"/>
          <w:sz w:val="22"/>
          <w:szCs w:val="22"/>
        </w:rPr>
        <w:t xml:space="preserve">An Inspectorate Report is a documented statement of observed fact. What the Legislature, the courts, or the People do with that information is their constitutional prerogative. Where a Report's findings may be relevant to potential constitutional violation proceedings, the Report states that the Legislature or the relevant injured party may initiate such proceedings.</w:t>
      </w:r>
    </w:p>
    <w:p>
      <w:pPr>
        <w:spacing w:after="60" w:before="60" w:line="280" w:lineRule="auto"/>
        <w:jc w:val="both"/>
      </w:pPr>
      <w:r>
        <w:rPr>
          <w:rFonts w:ascii="Times New Roman" w:cs="Times New Roman" w:eastAsia="Times New Roman" w:hAnsi="Times New Roman"/>
          <w:b/>
          <w:bCs/>
          <w:color w:val="1B2A4A"/>
          <w:sz w:val="22"/>
          <w:szCs w:val="22"/>
        </w:rPr>
        <w:t xml:space="preserve">8.6.d Non-Pursuit Disclosure: </w:t>
      </w:r>
      <w:r>
        <w:rPr>
          <w:rFonts w:ascii="Times New Roman" w:cs="Times New Roman" w:eastAsia="Times New Roman" w:hAnsi="Times New Roman"/>
          <w:color w:val="000000"/>
          <w:sz w:val="22"/>
          <w:szCs w:val="22"/>
        </w:rPr>
        <w:t xml:space="preserve">Every Inspectorate decision not to open an investigation following a valid trigger, or to close an investigation without actionable findings, must be published to the National Record System within 14 days of the decision. The published notice must identify what was reviewed, what criteria were applied, and why the investigation was not pursued or the findings were not actionable. Vague or conclusory explanations are subject to challenge by Legislature standing oversight committees.</w:t>
      </w:r>
    </w:p>
    <w:p>
      <w:pPr>
        <w:spacing w:after="60" w:before="60" w:line="280" w:lineRule="auto"/>
        <w:jc w:val="both"/>
      </w:pPr>
      <w:r>
        <w:rPr>
          <w:rFonts w:ascii="Times New Roman" w:cs="Times New Roman" w:eastAsia="Times New Roman" w:hAnsi="Times New Roman"/>
          <w:b/>
          <w:bCs/>
          <w:color w:val="1B2A4A"/>
          <w:sz w:val="22"/>
          <w:szCs w:val="22"/>
        </w:rPr>
        <w:t xml:space="preserve">8.6.e Minority Reports: </w:t>
      </w:r>
      <w:r>
        <w:rPr>
          <w:rFonts w:ascii="Times New Roman" w:cs="Times New Roman" w:eastAsia="Times New Roman" w:hAnsi="Times New Roman"/>
          <w:color w:val="000000"/>
          <w:sz w:val="22"/>
          <w:szCs w:val="22"/>
        </w:rPr>
        <w:t xml:space="preserve">Any Inspectorate staff member may submit a Minority Report directly to the National Record System if they believe a specific finding has been improperly omitted, materially mischaracterized, or suppressed. A staff member who submits a Minority Report may not be disciplined, demoted, reassigned, or terminated for doing so — this protection is absolute and applies regardless of the content of the Report. The Minority Report is published to the NRS simultaneously with the primary Report or within 48 hours of the primary Report's publication, whichever the staff member chooses. A Minority Report is not a whistleblower disclosure — it is a constitutional publication right belonging to Inspectorate staff, distinct from any external reporting channel available to government employees generally.</w:t>
      </w:r>
    </w:p>
    <w:p>
      <w:pPr>
        <w:spacing w:after="60" w:before="60" w:line="280" w:lineRule="auto"/>
        <w:jc w:val="both"/>
      </w:pPr>
      <w:r>
        <w:rPr>
          <w:rFonts w:ascii="Times New Roman" w:cs="Times New Roman" w:eastAsia="Times New Roman" w:hAnsi="Times New Roman"/>
          <w:b/>
          <w:bCs/>
          <w:color w:val="1B2A4A"/>
          <w:sz w:val="22"/>
          <w:szCs w:val="22"/>
        </w:rPr>
        <w:t xml:space="preserve">8.6.f Coordinated Work Stoppage Prohibition: </w:t>
      </w:r>
      <w:r>
        <w:rPr>
          <w:rFonts w:ascii="Times New Roman" w:cs="Times New Roman" w:eastAsia="Times New Roman" w:hAnsi="Times New Roman"/>
          <w:color w:val="000000"/>
          <w:sz w:val="22"/>
          <w:szCs w:val="22"/>
        </w:rPr>
        <w:t xml:space="preserve">Any coordinated withdrawal of labor or work stoppage by Inspectorate staff — defined as three or more staff members simultaneously ceasing assigned investigation duties — occurring during an active investigation, within 90 days of a scheduled election, or within 90 days of a pending Report publication may trigger disciplinary proceedings against the organizing parties under the civil service integrity framework of §2.2.d. An Inspector General facing a staffing emergency may request emergency secondment of civil servants from other departments through the Executive Inspectorate, which administers the secondment process. No department may refuse a secondment request without publishing a specific justification to the National Record System within 48 hours.</w:t>
      </w:r>
    </w:p>
    <w:p>
      <w:pPr>
        <w:spacing w:after="60" w:before="60" w:line="280" w:lineRule="auto"/>
        <w:jc w:val="both"/>
      </w:pPr>
      <w:r>
        <w:rPr>
          <w:rFonts w:ascii="Times New Roman" w:cs="Times New Roman" w:eastAsia="Times New Roman" w:hAnsi="Times New Roman"/>
          <w:b/>
          <w:bCs/>
          <w:color w:val="1B2A4A"/>
          <w:sz w:val="22"/>
          <w:szCs w:val="22"/>
        </w:rPr>
        <w:t xml:space="preserve">8.6.g Citizen Discrepancy Petition: </w:t>
      </w:r>
      <w:r>
        <w:rPr>
          <w:rFonts w:ascii="Times New Roman" w:cs="Times New Roman" w:eastAsia="Times New Roman" w:hAnsi="Times New Roman"/>
          <w:color w:val="000000"/>
          <w:sz w:val="22"/>
          <w:szCs w:val="22"/>
        </w:rPr>
        <w:t xml:space="preserve">Any citizen who identifies a factual discrepancy in a candidate disclosure record or Registry registration record published to the National Record System under any provision of this Constitution may petition their elected House member or Senator in writing. The elected representative may raise the matter through the relevant confirmation or election process, request a formal investigation through the applicable Inspectorate under §8.7, or publish a statement to the National Record System identifying the alleged discrepancy. No formal petition threshold, fee, or filing requirement may be imposed on this right. The elected representative's response — including a decision not to act — is their own constitutional judgment, subject to their accountability to their constituents.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8.7 — Triggered Investigations</w:t>
      </w:r>
    </w:p>
    <w:p>
      <w:pPr>
        <w:spacing w:after="60" w:before="60" w:line="280" w:lineRule="auto"/>
        <w:jc w:val="both"/>
      </w:pPr>
      <w:r>
        <w:rPr>
          <w:rFonts w:ascii="Times New Roman" w:cs="Times New Roman" w:eastAsia="Times New Roman" w:hAnsi="Times New Roman"/>
          <w:b/>
          <w:bCs/>
          <w:color w:val="1B2A4A"/>
          <w:sz w:val="22"/>
          <w:szCs w:val="22"/>
        </w:rPr>
        <w:t xml:space="preserve">8.7.a Official Trigger: </w:t>
      </w:r>
      <w:r>
        <w:rPr>
          <w:rFonts w:ascii="Times New Roman" w:cs="Times New Roman" w:eastAsia="Times New Roman" w:hAnsi="Times New Roman"/>
          <w:color w:val="000000"/>
          <w:sz w:val="22"/>
          <w:szCs w:val="22"/>
        </w:rPr>
        <w:t xml:space="preserve">Any elected or appointed official may request an investigation within their own branch's Inspectorate. A cross-branch investigation requires support from a minority of the relevant chamber, defined by House statute. the Legislature may by statute establish reasonable limits on the frequency of individual investigation requests to prevent abuse, provided those limits do not prevent the investigation of credible, specific concerns.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8.8 — The Annual State of the Republic Report</w:t>
      </w:r>
    </w:p>
    <w:p>
      <w:pPr>
        <w:spacing w:after="60" w:before="60" w:line="280" w:lineRule="auto"/>
        <w:jc w:val="both"/>
      </w:pPr>
      <w:r>
        <w:rPr>
          <w:rFonts w:ascii="Times New Roman" w:cs="Times New Roman" w:eastAsia="Times New Roman" w:hAnsi="Times New Roman"/>
          <w:color w:val="000000"/>
          <w:sz w:val="22"/>
          <w:szCs w:val="22"/>
        </w:rPr>
        <w:t xml:space="preserve">Each Inspectorate publishes one Annual State of the Republic Report covering its domain — automatically, every year, on a constitutionally fixed date, regardless of whether any official has requested it.</w:t>
      </w:r>
    </w:p>
    <w:p>
      <w:pPr>
        <w:spacing w:after="60" w:before="60" w:line="280" w:lineRule="auto"/>
        <w:jc w:val="both"/>
      </w:pPr>
      <w:r>
        <w:rPr>
          <w:rFonts w:ascii="Times New Roman" w:cs="Times New Roman" w:eastAsia="Times New Roman" w:hAnsi="Times New Roman"/>
          <w:b/>
          <w:bCs/>
          <w:color w:val="1B2A4A"/>
          <w:sz w:val="22"/>
          <w:szCs w:val="22"/>
        </w:rPr>
        <w:t xml:space="preserve">8.8.a Content: </w:t>
      </w:r>
      <w:r>
        <w:rPr>
          <w:rFonts w:ascii="Times New Roman" w:cs="Times New Roman" w:eastAsia="Times New Roman" w:hAnsi="Times New Roman"/>
          <w:color w:val="000000"/>
          <w:sz w:val="22"/>
          <w:szCs w:val="22"/>
        </w:rPr>
        <w:t xml:space="preserve">Each Annual Report must address: compliance rates for the relevant branch; a plain-language summary of all investigations and their outcomes; any constitutional provisions observed to be strained, circumvented, or untested during the year; and a forward-looking risk register of constitutional vulnerabilities.</w:t>
      </w:r>
    </w:p>
    <w:p>
      <w:pPr>
        <w:spacing w:after="60" w:before="60" w:line="280" w:lineRule="auto"/>
        <w:jc w:val="both"/>
      </w:pPr>
      <w:r>
        <w:rPr>
          <w:rFonts w:ascii="Times New Roman" w:cs="Times New Roman" w:eastAsia="Times New Roman" w:hAnsi="Times New Roman"/>
          <w:b/>
          <w:bCs/>
          <w:color w:val="1B2A4A"/>
          <w:sz w:val="22"/>
          <w:szCs w:val="22"/>
        </w:rPr>
        <w:t xml:space="preserve">8.8.b Publication: </w:t>
      </w:r>
      <w:r>
        <w:rPr>
          <w:rFonts w:ascii="Times New Roman" w:cs="Times New Roman" w:eastAsia="Times New Roman" w:hAnsi="Times New Roman"/>
          <w:color w:val="000000"/>
          <w:sz w:val="22"/>
          <w:szCs w:val="22"/>
        </w:rPr>
        <w:t xml:space="preserve">Published simultaneously to the National Record System and freely accessible to all Inhabitants. No official may alter the publication date or content.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8.9 — The State Designee Panel</w:t>
      </w:r>
    </w:p>
    <w:p>
      <w:pPr>
        <w:spacing w:after="60" w:before="60" w:line="280" w:lineRule="auto"/>
        <w:jc w:val="both"/>
      </w:pPr>
      <w:r>
        <w:rPr>
          <w:rFonts w:ascii="Times New Roman" w:cs="Times New Roman" w:eastAsia="Times New Roman" w:hAnsi="Times New Roman"/>
          <w:color w:val="000000"/>
          <w:sz w:val="22"/>
          <w:szCs w:val="22"/>
        </w:rPr>
        <w:t xml:space="preserve">The State Designee Panel is a standing pool of State and Territory-appointed representatives with the single constitutional function of verifying For-Cause IG removal grounds. Each State and Territory maintains one standing designee published to the National Record System. States and Territories appoint their designee by whatever mechanism they choose, subject to the federal constitutional floor: the designee must be a citizen of the Republic; must hold no current federal elected or appointed office; must not be a judicial officer at any level; and must not be currently employed by any federal Inspectorate or constitutional administrative body. At the start of each two-year election cycle, the Electoral Commission draws five panel members and two alternates by lot from the full pool of State and Territory designees; the draw is published to the NRS immediately. Alternates activate automatically and in order if a primary member cannot serve. The lot is binding — no State or Territory may decline to have their designee drawn. At the end of a two-year cycle, the sitting panel completes any proceeding already underway and may not accept new proceedings after its cycle ends; all in-progress work must be completed within one year of the cycle's end, with the panel remaining in session as needed. The incoming panel handles all new proceedings arising after the cycle ends. Panel members are compensated at rates determined by their appointing State or Territory; the federal budget reimburses compensation only during periods of active service — defined as the period from the date the panel convenes for a specific proceeding to the date the finding is published. No federal compensation is owed for standing readiness during cycles in which no proceeding arises.</w:t>
      </w:r>
    </w:p>
    <w:p>
      <w:pPr>
        <w:spacing w:after="60" w:before="60" w:line="280" w:lineRule="auto"/>
        <w:jc w:val="both"/>
      </w:pPr>
      <w:r>
        <w:rPr>
          <w:rFonts w:ascii="Times New Roman" w:cs="Times New Roman" w:eastAsia="Times New Roman" w:hAnsi="Times New Roman"/>
          <w:b/>
          <w:bCs/>
          <w:color w:val="1B2A4A"/>
          <w:sz w:val="22"/>
          <w:szCs w:val="22"/>
        </w:rPr>
        <w:t xml:space="preserve">8.9.a Single Mandate: </w:t>
      </w:r>
      <w:r>
        <w:rPr>
          <w:rFonts w:ascii="Times New Roman" w:cs="Times New Roman" w:eastAsia="Times New Roman" w:hAnsi="Times New Roman"/>
          <w:color w:val="000000"/>
          <w:sz w:val="22"/>
          <w:szCs w:val="22"/>
        </w:rPr>
        <w:t xml:space="preserve">The Panel's sole constitutional function is For-Cause IG removal verification. Upon receipt of a For-Cause removal motion from the Legislature, the Panel convenes, reviews the stated grounds, and publishes a binary finding to the National Record System within 30 days: grounds substantiated or grounds unsubstantiated. The Panel has no investigative authority, no enforcement power, no proactive role, no annual reporting function, and no other mandate. All functions previously held by oversight bodies preceding this Panel — pattern findings, mandatory IG response requirements, and annual oversight reporting — are absorbed by Legislature standing committees and existing IG annual reports.</w:t>
      </w:r>
    </w:p>
    <w:p>
      <w:pPr>
        <w:spacing w:after="60" w:before="60" w:line="280" w:lineRule="auto"/>
        <w:jc w:val="both"/>
      </w:pPr>
      <w:r>
        <w:rPr>
          <w:rFonts w:ascii="Times New Roman" w:cs="Times New Roman" w:eastAsia="Times New Roman" w:hAnsi="Times New Roman"/>
          <w:b/>
          <w:bCs/>
          <w:color w:val="1B2A4A"/>
          <w:sz w:val="22"/>
          <w:szCs w:val="22"/>
        </w:rPr>
        <w:t xml:space="preserve">8.9.b Appeals: </w:t>
      </w:r>
      <w:r>
        <w:rPr>
          <w:rFonts w:ascii="Times New Roman" w:cs="Times New Roman" w:eastAsia="Times New Roman" w:hAnsi="Times New Roman"/>
          <w:color w:val="000000"/>
          <w:sz w:val="22"/>
          <w:szCs w:val="22"/>
        </w:rPr>
        <w:t xml:space="preserve">An IG who disputes a Panel substantiation finding may petition the Supreme Court within 14 days of publication. The Supreme Court reviews only whether the Panel applied the correct legal standard — not the merits of the removal grounds themselves. This keeps the Supreme Court in its reactive role. The Panel's finding does not automatically determine the Legislature's vote — it is a prerequisite for the vote, not a determination of its outcome.</w:t>
      </w:r>
    </w:p>
    <w:p>
      <w:pPr>
        <w:spacing w:after="60" w:before="60" w:line="280" w:lineRule="auto"/>
        <w:jc w:val="both"/>
      </w:pPr>
      <w:r>
        <w:rPr>
          <w:rFonts w:ascii="Times New Roman" w:cs="Times New Roman" w:eastAsia="Times New Roman" w:hAnsi="Times New Roman"/>
          <w:b/>
          <w:bCs/>
          <w:color w:val="1B2A4A"/>
          <w:sz w:val="22"/>
          <w:szCs w:val="22"/>
        </w:rPr>
        <w:t xml:space="preserve">8.9.d Gatekeeping Appeal: </w:t>
      </w:r>
      <w:r>
        <w:rPr>
          <w:rFonts w:ascii="Times New Roman" w:cs="Times New Roman" w:eastAsia="Times New Roman" w:hAnsi="Times New Roman"/>
          <w:color w:val="000000"/>
          <w:sz w:val="22"/>
          <w:szCs w:val="22"/>
        </w:rPr>
        <w:t xml:space="preserve">Any party aggrieved by a Judicial Inspectorate gatekeeping determination — including a referendum ineligibility finding, an Electoral Commission candidate disqualification, or a Supreme Court nominee vetting outcome — may petition the Supreme Court for expedited technical review within 14 days of the determination. The Court reviews only whether the Judicial Inspectorate applied the constitutional criteria correctly. The Court may overturn a determination but may not substitute its own substantive judgment for that of the Judicial Inspectorate.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8.10 — Inspectorate Minimum Funding Guarantee</w:t>
      </w:r>
    </w:p>
    <w:p>
      <w:pPr>
        <w:spacing w:after="60" w:before="60" w:line="280" w:lineRule="auto"/>
        <w:jc w:val="both"/>
      </w:pPr>
      <w:r>
        <w:rPr>
          <w:rFonts w:ascii="Times New Roman" w:cs="Times New Roman" w:eastAsia="Times New Roman" w:hAnsi="Times New Roman"/>
          <w:color w:val="000000"/>
          <w:sz w:val="22"/>
          <w:szCs w:val="22"/>
        </w:rPr>
        <w:t xml:space="preserve">Each Inspectorate is guaranteed adequate annual funding to perform its constitutional mandate fully and independently. the Legislature may not reduce any Inspectorate's funding below the prior fiscal year's appropriation without a 2/3 vote of both chambers, and may never eliminate an Inspectorate's funding. the Legislature must by statute define a specific minimum funding formula indexed to national revenue; the Monetary Authority certifies annually whether that formula is adequate for each Inspectorate's mandate. Failure to appropriate the statutory minimum is a constitutional failure for the presiding officers of each chamber. During a certified Severe Contraction under §10.1.d, the minimum may be proportionally reduced but not eliminated. No parliamentary act, executive order, or budget mechanism may reclassify Inspectorate operating expenses in ways that reduce effective operational capacity below the constitutional funding floor, regardless of whether the nominal appropriated amount remains unchanged. The Monetary Authority certifies actual operational capacity annually, not merely nominal funding compliance, and publishes its certification to the National Record System. The operational capacity certification issued annually by the Monetary Authority is the MA Director's independent constitutional judgment. Neither executive may direct, modify, delay, or suppress the certification. Any acting Monetary Authority Director who issues an operational capacity certification under executive direction or pressure is constitutionally prohibited of the same kind as a confirmed Director, subject to the same constitutional accountability framework.</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8.11 — Constitutional Performance Assessment</w:t>
      </w:r>
    </w:p>
    <w:p>
      <w:pPr>
        <w:spacing w:after="60" w:before="60" w:line="280" w:lineRule="auto"/>
        <w:jc w:val="both"/>
      </w:pPr>
      <w:r>
        <w:rPr>
          <w:rFonts w:ascii="Times New Roman" w:cs="Times New Roman" w:eastAsia="Times New Roman" w:hAnsi="Times New Roman"/>
          <w:b/>
          <w:bCs/>
          <w:color w:val="1B2A4A"/>
          <w:sz w:val="22"/>
          <w:szCs w:val="22"/>
        </w:rPr>
        <w:t xml:space="preserve">8.11 Eighth-Year Assessment: </w:t>
      </w:r>
      <w:r>
        <w:rPr>
          <w:rFonts w:ascii="Times New Roman" w:cs="Times New Roman" w:eastAsia="Times New Roman" w:hAnsi="Times New Roman"/>
          <w:color w:val="000000"/>
          <w:sz w:val="22"/>
          <w:szCs w:val="22"/>
        </w:rPr>
        <w:t xml:space="preserve">The three Inspectorates must jointly publish a Constitutional Performance Assessment every eight years, beginning eight years after Phase 4 activation. The Assessment must evaluate: the compliance rate of all constitutional provisions across all branches and institutions; behavioural changes attributable to constitutional mechanisms; provisions that have produced unintended consequences or emerging gaps; and recommendations for legislative or constitutional action. The Assessment is published to the National Record System and transmitted to both chambers, both executives, and the Supreme Court simultaneously. the Legislature must by statute establish the assessment methodology within two years of Phase 4 activation; failure to do so is a constitutional failure for the presiding officers of each chamber, and the Inspectorates shall proceed with their own jointly agreed methodology pending parliamentary action. The Assessment includes a section on compact compliance covering all §19.1 accommodation compacts, §20 Associated Community compacts, and Article XIV indigenous compact obligations, and a specific evaluation of any Transitional Accountability Mechanism that has operated under §19.9. The Assessment carries no binding force — it is an institutional record of constitutional performance, not a directive to any branch.</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IX — THE NATIONAL RECORD SYSTEM</w:t>
      </w:r>
    </w:p>
    <w:p>
      <w:pPr>
        <w:spacing w:after="60" w:before="60" w:line="280" w:lineRule="auto"/>
        <w:jc w:val="both"/>
      </w:pPr>
      <w:r>
        <w:rPr>
          <w:rFonts w:ascii="Times New Roman" w:cs="Times New Roman" w:eastAsia="Times New Roman" w:hAnsi="Times New Roman"/>
          <w:color w:val="000000"/>
          <w:sz w:val="22"/>
          <w:szCs w:val="22"/>
        </w:rPr>
        <w:t xml:space="preserve">The National Record System is the Republic's permanent, tamper-evident, publicly accessible repository of all official government actions, laws, expenditures, and Inspectorate Reports. It serves no voting or electoral function, which is reserved exclusively to the National Voting System (Article XVI).</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9.1 — Core Properties</w:t>
      </w:r>
    </w:p>
    <w:p>
      <w:pPr>
        <w:spacing w:after="60" w:before="60" w:line="280" w:lineRule="auto"/>
        <w:jc w:val="both"/>
      </w:pPr>
      <w:r>
        <w:rPr>
          <w:rFonts w:ascii="Times New Roman" w:cs="Times New Roman" w:eastAsia="Times New Roman" w:hAnsi="Times New Roman"/>
          <w:b/>
          <w:bCs/>
          <w:color w:val="1B2A4A"/>
          <w:sz w:val="22"/>
          <w:szCs w:val="22"/>
        </w:rPr>
        <w:t xml:space="preserve">9.1.a Immutability: </w:t>
      </w:r>
      <w:r>
        <w:rPr>
          <w:rFonts w:ascii="Times New Roman" w:cs="Times New Roman" w:eastAsia="Times New Roman" w:hAnsi="Times New Roman"/>
          <w:color w:val="000000"/>
          <w:sz w:val="22"/>
          <w:szCs w:val="22"/>
        </w:rPr>
        <w:t xml:space="preserve">All entries are permanent. No entry may be deleted or altered after confirmation. Corrections are made by new entries that reference and supersede prior entries, with both permanently visible.</w:t>
      </w:r>
    </w:p>
    <w:p>
      <w:pPr>
        <w:spacing w:after="60" w:before="60" w:line="280" w:lineRule="auto"/>
        <w:jc w:val="both"/>
      </w:pPr>
      <w:r>
        <w:rPr>
          <w:rFonts w:ascii="Times New Roman" w:cs="Times New Roman" w:eastAsia="Times New Roman" w:hAnsi="Times New Roman"/>
          <w:b/>
          <w:bCs/>
          <w:color w:val="1B2A4A"/>
          <w:sz w:val="22"/>
          <w:szCs w:val="22"/>
        </w:rPr>
        <w:t xml:space="preserve">9.1.b Distributed Custody: </w:t>
      </w:r>
      <w:r>
        <w:rPr>
          <w:rFonts w:ascii="Times New Roman" w:cs="Times New Roman" w:eastAsia="Times New Roman" w:hAnsi="Times New Roman"/>
          <w:color w:val="000000"/>
          <w:sz w:val="22"/>
          <w:szCs w:val="22"/>
        </w:rPr>
        <w:t xml:space="preserve">The National Record System is maintained by a network of independent, constitutionally chartered node operators. No single entity — including the federal government — may operate a controlling majority of nodes. The minimum node categories and consensus threshold are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9.1.c Public Accessibility: </w:t>
      </w:r>
      <w:r>
        <w:rPr>
          <w:rFonts w:ascii="Times New Roman" w:cs="Times New Roman" w:eastAsia="Times New Roman" w:hAnsi="Times New Roman"/>
          <w:color w:val="000000"/>
          <w:sz w:val="22"/>
          <w:szCs w:val="22"/>
        </w:rPr>
        <w:t xml:space="preserve">All entries must be readable by any Inhabitant at no cost and without registration. Technical access means are defined by House statute and must include at least one non-digital pathway for Inhabitants without internet connectivity. the Legislature must by statute maintain redundant public access infrastructure for the National Record System, with minimum uptime requirements for public-facing access pathways. The continued operation of underlying nodes during access infrastructure disruptions satisfies the constitutional mandate for node operation but does not satisfy the accessibility guarantee — both properties are independently required.</w:t>
      </w:r>
    </w:p>
    <w:p>
      <w:pPr>
        <w:spacing w:after="60" w:before="60" w:line="280" w:lineRule="auto"/>
        <w:jc w:val="both"/>
      </w:pPr>
      <w:r>
        <w:rPr>
          <w:rFonts w:ascii="Times New Roman" w:cs="Times New Roman" w:eastAsia="Times New Roman" w:hAnsi="Times New Roman"/>
          <w:b/>
          <w:bCs/>
          <w:color w:val="1B2A4A"/>
          <w:sz w:val="22"/>
          <w:szCs w:val="22"/>
        </w:rPr>
        <w:t xml:space="preserve">9.1.d Cryptographic Signing: </w:t>
      </w:r>
      <w:r>
        <w:rPr>
          <w:rFonts w:ascii="Times New Roman" w:cs="Times New Roman" w:eastAsia="Times New Roman" w:hAnsi="Times New Roman"/>
          <w:color w:val="000000"/>
          <w:sz w:val="22"/>
          <w:szCs w:val="22"/>
        </w:rPr>
        <w:t xml:space="preserve">Every entry must be digitally signed by the issuing official or body. Any alteration is mathematically detectable. The signing standard is defined by statute and may be updated as technology evolves, provided backward compatibility of existing signatures is maintained.</w:t>
      </w:r>
    </w:p>
    <w:p>
      <w:pPr>
        <w:spacing w:after="60" w:before="60" w:line="280" w:lineRule="auto"/>
        <w:jc w:val="both"/>
      </w:pPr>
      <w:r>
        <w:rPr>
          <w:rFonts w:ascii="Times New Roman" w:cs="Times New Roman" w:eastAsia="Times New Roman" w:hAnsi="Times New Roman"/>
          <w:b/>
          <w:bCs/>
          <w:color w:val="1B2A4A"/>
          <w:sz w:val="22"/>
          <w:szCs w:val="22"/>
        </w:rPr>
        <w:t xml:space="preserve">9.1.e Technology Neutrality: </w:t>
      </w:r>
      <w:r>
        <w:rPr>
          <w:rFonts w:ascii="Times New Roman" w:cs="Times New Roman" w:eastAsia="Times New Roman" w:hAnsi="Times New Roman"/>
          <w:color w:val="000000"/>
          <w:sz w:val="22"/>
          <w:szCs w:val="22"/>
        </w:rPr>
        <w:t xml:space="preserve">No specific technology, protocol, or cryptographic standard is named in this Constitution. The House defines technical standards by statute, which may be updated provided the properties in this Article are maintained at all times.</w:t>
      </w:r>
    </w:p>
    <w:p>
      <w:pPr>
        <w:spacing w:after="60" w:before="60" w:line="280" w:lineRule="auto"/>
        <w:jc w:val="both"/>
      </w:pPr>
      <w:r>
        <w:rPr>
          <w:rFonts w:ascii="Times New Roman" w:cs="Times New Roman" w:eastAsia="Times New Roman" w:hAnsi="Times New Roman"/>
          <w:b/>
          <w:bCs/>
          <w:color w:val="1B2A4A"/>
          <w:sz w:val="22"/>
          <w:szCs w:val="22"/>
        </w:rPr>
        <w:t xml:space="preserve">9.1.f Migration Overlap Protocol: </w:t>
      </w:r>
      <w:r>
        <w:rPr>
          <w:rFonts w:ascii="Times New Roman" w:cs="Times New Roman" w:eastAsia="Times New Roman" w:hAnsi="Times New Roman"/>
          <w:color w:val="000000"/>
          <w:sz w:val="22"/>
          <w:szCs w:val="22"/>
        </w:rPr>
        <w:t xml:space="preserve">Technical standard migrations must run old and new systems in parallel with identical entries for a minimum overlap period the Legislature defines by statute before the old system is retired. Any divergence during this period must be immediately reported to the Legislative Inspectorate and the migration suspended pending investigation.</w:t>
      </w:r>
    </w:p>
    <w:p>
      <w:pPr>
        <w:spacing w:after="60" w:before="60" w:line="280" w:lineRule="auto"/>
        <w:jc w:val="both"/>
      </w:pPr>
      <w:r>
        <w:rPr>
          <w:rFonts w:ascii="Times New Roman" w:cs="Times New Roman" w:eastAsia="Times New Roman" w:hAnsi="Times New Roman"/>
          <w:b/>
          <w:bCs/>
          <w:color w:val="1B2A4A"/>
          <w:sz w:val="22"/>
          <w:szCs w:val="22"/>
        </w:rPr>
        <w:t xml:space="preserve">9.1.g NRS Self-Authentication: </w:t>
      </w:r>
      <w:r>
        <w:rPr>
          <w:rFonts w:ascii="Times New Roman" w:cs="Times New Roman" w:eastAsia="Times New Roman" w:hAnsi="Times New Roman"/>
          <w:color w:val="000000"/>
          <w:sz w:val="22"/>
          <w:szCs w:val="22"/>
        </w:rPr>
        <w:t xml:space="preserve">All records published to the National Record System pursuant to a constitutional mandate are self-authenticating in any constitutional or legal proceeding. No additional foundation laying, certification, apostille, or authentication process may be required for any NRS record in any proceeding before any court or tribunal within the Republic. the Legislature may not by statute impose authentication requirements on constitutionally mandated NRS records that would burden their use as evidence in constitutional proceedings.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9.2 — Node Operators</w:t>
      </w:r>
    </w:p>
    <w:p>
      <w:pPr>
        <w:spacing w:after="60" w:before="60" w:line="280" w:lineRule="auto"/>
        <w:jc w:val="both"/>
      </w:pPr>
      <w:r>
        <w:rPr>
          <w:rFonts w:ascii="Times New Roman" w:cs="Times New Roman" w:eastAsia="Times New Roman" w:hAnsi="Times New Roman"/>
          <w:b/>
          <w:bCs/>
          <w:color w:val="1B2A4A"/>
          <w:sz w:val="22"/>
          <w:szCs w:val="22"/>
        </w:rPr>
        <w:t xml:space="preserve">9.2 Node Operators: </w:t>
      </w:r>
      <w:r>
        <w:rPr>
          <w:rFonts w:ascii="Times New Roman" w:cs="Times New Roman" w:eastAsia="Times New Roman" w:hAnsi="Times New Roman"/>
          <w:color w:val="000000"/>
          <w:sz w:val="22"/>
          <w:szCs w:val="22"/>
        </w:rPr>
        <w:t xml:space="preserve">Each Inspectorate and each State must operate at least one independent node; the Legislature may charter additional operators by statute. Nodes must remain permanently active and are audited annually by the Executive Inspectorate. the Legislature must by statute establish a Record System Authority responsible for technical standards, node certification, and operational continuity. No record published to the National Record System holds priority over any other. Court rulings, Inspectorate findings, executive orders, legislative acts, and all other constitutionally required records are co-equal permanent entries. No government actor may characterise any NRS record as void, superseded, or non-authoritative by reason of another NRS record. Each record stands on its own constitutional basis. Where a constitutionally authorised body publishes a record that explicitly supersedes an earlier record, the NRS must display both records simultaneously with the supersession relationship clearly indicated. Supersession is notation, not deletion — both records remain permanently accessible. No NRS record may be deleted by any government actor. The supersession notation mechanism is the sole authorised method for indicating that a later finding has corrected an earlier one.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9.3 — RSA Director</w:t>
      </w:r>
    </w:p>
    <w:p>
      <w:pPr>
        <w:spacing w:after="60" w:before="60" w:line="280" w:lineRule="auto"/>
        <w:jc w:val="both"/>
      </w:pPr>
      <w:r>
        <w:rPr>
          <w:rFonts w:ascii="Times New Roman" w:cs="Times New Roman" w:eastAsia="Times New Roman" w:hAnsi="Times New Roman"/>
          <w:b/>
          <w:bCs/>
          <w:color w:val="1B2A4A"/>
          <w:sz w:val="22"/>
          <w:szCs w:val="22"/>
        </w:rPr>
        <w:t xml:space="preserve">9.3 RSA Director: </w:t>
      </w:r>
      <w:r>
        <w:rPr>
          <w:rFonts w:ascii="Times New Roman" w:cs="Times New Roman" w:eastAsia="Times New Roman" w:hAnsi="Times New Roman"/>
          <w:color w:val="000000"/>
          <w:sz w:val="22"/>
          <w:szCs w:val="22"/>
        </w:rPr>
        <w:t xml:space="preserve">The RSA Director is nominated by the Prime Minister from a Candidate Register. RSA Director Eligibility: Candidates must meet the following eligibility criteria, which constitute the constitutional floor for the Candidate Register the PM draws from: no currently held elected or appointed government position at any level; no current financial interest in any entity that operates, supplies, or seeks to operate or supply the National Record System's node infrastructure or technical standards; demonstrated expertise in at least one of — distributed systems or cryptographic infrastructure, public records management and archival systems, government information technology governance, or records system architecture and security; and no criminal conviction for conduct committed while holding federal office of federal service. The Legislature may by statute establish additional qualification requirements consistent with this floor. The PM may not nominate a candidate who does not meet this floor, and the EI publishes a finding if a submitted nominee falls below it before the Senate confirmation vote proceeds.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If the Senate fails to act on a nomination within the period the Legislature defines by statute, the nominee assumes acting status and performs all constitutional functions of the office. The acting officer escalation framework of §2.2.h applies from the date of assumption. Confirmation by the Senate at any time converts acting status to permanent appointment and the full term begins from the date of confirmation. The RSA Director serves a single non-renewable 7-year term. Removal of a permanently confirmed RSA Director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RSA technical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7-year non-renewable term from the date of confirmation.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9.4 — Emergency Mode</w:t>
      </w:r>
    </w:p>
    <w:p>
      <w:pPr>
        <w:spacing w:after="60" w:before="60" w:line="280" w:lineRule="auto"/>
        <w:jc w:val="both"/>
      </w:pPr>
      <w:r>
        <w:rPr>
          <w:rFonts w:ascii="Times New Roman" w:cs="Times New Roman" w:eastAsia="Times New Roman" w:hAnsi="Times New Roman"/>
          <w:color w:val="000000"/>
          <w:sz w:val="22"/>
          <w:szCs w:val="22"/>
        </w:rPr>
        <w:t xml:space="preserve">If the number of active nodes drops below the statutory consensus threshold, the National Record System enters read-only emergency mode automatically: existing entries remain fully accessible; no new entries are accepted; all pending writes are queued. Emergency mode automatically triggers the Emergency Governance Protocol (§2.8). The Record System Authority must publish a public notice of entry and recovery promptly.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9.5 — Classification Framework</w:t>
      </w:r>
    </w:p>
    <w:p>
      <w:pPr>
        <w:spacing w:after="60" w:before="60" w:line="280" w:lineRule="auto"/>
        <w:jc w:val="both"/>
      </w:pPr>
      <w:r>
        <w:rPr>
          <w:rFonts w:ascii="Times New Roman" w:cs="Times New Roman" w:eastAsia="Times New Roman" w:hAnsi="Times New Roman"/>
          <w:color w:val="000000"/>
          <w:sz w:val="22"/>
          <w:szCs w:val="22"/>
        </w:rPr>
        <w:t xml:space="preserve">All information created by government officials in their official capacity is public by default. Classification is an exception to transparency, not the rule — the burden lies with the classifying authority to justify classification, not with citizens to justify access. The National Record System is the permanent home of all unclassified official information; classified information enters the NRS upon automatic declassification.</w:t>
      </w:r>
    </w:p>
    <w:p>
      <w:pPr>
        <w:spacing w:after="60" w:before="60" w:line="280" w:lineRule="auto"/>
        <w:jc w:val="both"/>
      </w:pPr>
      <w:r>
        <w:rPr>
          <w:rFonts w:ascii="Times New Roman" w:cs="Times New Roman" w:eastAsia="Times New Roman" w:hAnsi="Times New Roman"/>
          <w:b/>
          <w:bCs/>
          <w:color w:val="1B2A4A"/>
          <w:sz w:val="22"/>
          <w:szCs w:val="22"/>
        </w:rPr>
        <w:t xml:space="preserve">9.5.a Classification Authority: </w:t>
      </w:r>
      <w:r>
        <w:rPr>
          <w:rFonts w:ascii="Times New Roman" w:cs="Times New Roman" w:eastAsia="Times New Roman" w:hAnsi="Times New Roman"/>
          <w:color w:val="000000"/>
          <w:sz w:val="22"/>
          <w:szCs w:val="22"/>
        </w:rPr>
        <w:t xml:space="preserve">Only the President may classify national defense and diplomatic operational information. Only the Prime Minister may classify domestic information with genuine national security implications. Neither executive may delegate classification authority below their respective Council level. No other official, body, or instrumentality may classify information — any purported classification by an unauthorized party is void. the Legislature may not independently classify information. the Legislature must by statute define the procedures for maintaining confidentiality of classified executive briefings provided for oversight purposes. The President must brief the Prime Minister on classified intelligence that bears materially on the Prime Minister's domestic functions, subject to security protocols the Legislature defines by statute. The briefing obligation operates independently of and does not limit the President's classification authority. A President who classifies information specifically to prevent the Prime Minister from performing domestic constitutional functions is constitutionally prohibited regardless of whether the underlying classification is otherwise valid.</w:t>
      </w:r>
    </w:p>
    <w:p>
      <w:pPr>
        <w:spacing w:after="60" w:before="60" w:line="280" w:lineRule="auto"/>
        <w:jc w:val="both"/>
      </w:pPr>
      <w:r>
        <w:rPr>
          <w:rFonts w:ascii="Times New Roman" w:cs="Times New Roman" w:eastAsia="Times New Roman" w:hAnsi="Times New Roman"/>
          <w:b/>
          <w:bCs/>
          <w:color w:val="1B2A4A"/>
          <w:sz w:val="22"/>
          <w:szCs w:val="22"/>
        </w:rPr>
        <w:t xml:space="preserve">9.5.b Classification Duration: </w:t>
      </w:r>
      <w:r>
        <w:rPr>
          <w:rFonts w:ascii="Times New Roman" w:cs="Times New Roman" w:eastAsia="Times New Roman" w:hAnsi="Times New Roman"/>
          <w:color w:val="000000"/>
          <w:sz w:val="22"/>
          <w:szCs w:val="22"/>
        </w:rPr>
        <w:t xml:space="preserve">Standard classification expires 10 years from creation and must be renewed or it lapses automatically. A classifying authority may extend classification once — for a period the Legislature defines by statute, not to exceed 5 years — by filing a written public justification on the National Record System before the original expiry date. No second extension is permitted. the Legislature may not authorize extensions beyond 5 years or multiple extensions by statute.</w:t>
      </w:r>
    </w:p>
    <w:p>
      <w:pPr>
        <w:spacing w:after="60" w:before="60" w:line="280" w:lineRule="auto"/>
        <w:jc w:val="both"/>
      </w:pPr>
      <w:r>
        <w:rPr>
          <w:rFonts w:ascii="Times New Roman" w:cs="Times New Roman" w:eastAsia="Times New Roman" w:hAnsi="Times New Roman"/>
          <w:b/>
          <w:bCs/>
          <w:color w:val="1B2A4A"/>
          <w:sz w:val="22"/>
          <w:szCs w:val="22"/>
        </w:rPr>
        <w:t xml:space="preserve">9.5.c Classification Registry: </w:t>
      </w:r>
      <w:r>
        <w:rPr>
          <w:rFonts w:ascii="Times New Roman" w:cs="Times New Roman" w:eastAsia="Times New Roman" w:hAnsi="Times New Roman"/>
          <w:color w:val="000000"/>
          <w:sz w:val="22"/>
          <w:szCs w:val="22"/>
        </w:rPr>
        <w:t xml:space="preserve">The existence of every classified document must be registered on the National Record System within 24 hours of classification — citizens know classified documents exist even if they cannot read them. The registration must include: the classifying authority; the date; a description in terms that do not reveal classified content; and the scheduled declassification date. Failure to register promptly is constitutionally required and the omission is reported to the NRS. the Legislature defines registration timelines and format by statute.</w:t>
      </w:r>
    </w:p>
    <w:p>
      <w:pPr>
        <w:spacing w:after="60" w:before="60" w:line="280" w:lineRule="auto"/>
        <w:jc w:val="both"/>
      </w:pPr>
      <w:r>
        <w:rPr>
          <w:rFonts w:ascii="Times New Roman" w:cs="Times New Roman" w:eastAsia="Times New Roman" w:hAnsi="Times New Roman"/>
          <w:b/>
          <w:bCs/>
          <w:color w:val="1B2A4A"/>
          <w:sz w:val="22"/>
          <w:szCs w:val="22"/>
        </w:rPr>
        <w:t xml:space="preserve">9.5.d Automatic Declassification: </w:t>
      </w:r>
      <w:r>
        <w:rPr>
          <w:rFonts w:ascii="Times New Roman" w:cs="Times New Roman" w:eastAsia="Times New Roman" w:hAnsi="Times New Roman"/>
          <w:color w:val="000000"/>
          <w:sz w:val="22"/>
          <w:szCs w:val="22"/>
        </w:rPr>
        <w:t xml:space="preserve">Upon expiration of classification without renewal, all affected documents transfer automatically to the National Record System and are published without any executive action. No executive or parliamentary action may prevent automatic declassification. the Legislature must by statute establish the technical mechanisms for timely NRS publication of declassified documents and the Executive Inspectorate's authority to compel publication where the primary mechanism fails.</w:t>
      </w:r>
    </w:p>
    <w:p>
      <w:pPr>
        <w:spacing w:after="60" w:before="60" w:line="280" w:lineRule="auto"/>
        <w:jc w:val="both"/>
      </w:pPr>
      <w:r>
        <w:rPr>
          <w:rFonts w:ascii="Times New Roman" w:cs="Times New Roman" w:eastAsia="Times New Roman" w:hAnsi="Times New Roman"/>
          <w:b/>
          <w:bCs/>
          <w:color w:val="1B2A4A"/>
          <w:sz w:val="22"/>
          <w:szCs w:val="22"/>
        </w:rPr>
        <w:t xml:space="preserve">9.5.e Improper Classification: </w:t>
      </w:r>
      <w:r>
        <w:rPr>
          <w:rFonts w:ascii="Times New Roman" w:cs="Times New Roman" w:eastAsia="Times New Roman" w:hAnsi="Times New Roman"/>
          <w:color w:val="000000"/>
          <w:sz w:val="22"/>
          <w:szCs w:val="22"/>
        </w:rPr>
        <w:t xml:space="preserve">Classification used to conceal a constitutional violation, illegal order, or policy decision — rather than genuinely sensitive operational material — is improper classification and is reported to the National Record System by the relevant Inspectorate. A court finding of improper classification triggers automatic declassification and immediate NRS publication. Any citizen or Inspectorate may petition the Supreme Court to review a classification decision; the burden is on the classifying authority to demonstrate the material is genuinely operationally sensitive.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 — PUBLIC FINANCE &amp; ETHICS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10.1 — Basic Needs Support (The Basic Needs Floor)</w:t>
      </w:r>
    </w:p>
    <w:p>
      <w:pPr>
        <w:spacing w:after="60" w:before="60" w:line="280" w:lineRule="auto"/>
        <w:jc w:val="both"/>
      </w:pPr>
      <w:r>
        <w:rPr>
          <w:rFonts w:ascii="Times New Roman" w:cs="Times New Roman" w:eastAsia="Times New Roman" w:hAnsi="Times New Roman"/>
          <w:color w:val="000000"/>
          <w:sz w:val="22"/>
          <w:szCs w:val="22"/>
        </w:rPr>
        <w:t xml:space="preserve">The Basic Needs Floor is a constitutionally guaranteed minimum of 5% of gross national revenue the government must spend on Basic Needs — it is not set annually by political decision. It applies to every Inhabitant as a floor of human dignity, not a ceiling on generosity. the Legislature may by statute set a higher percentage above the constitutional minimum of 5%; the components of Basic Needs it covers, and the geographic adjustment mechanism — within constitutional bounds that prevent elimination or politically motivated reduction. The Republic must actually provide these benefits; accounting manipulations that satisfy the formula while reducing real provision are prohibited.</w:t>
      </w:r>
    </w:p>
    <w:p>
      <w:pPr>
        <w:spacing w:after="60" w:before="60" w:line="280" w:lineRule="auto"/>
        <w:jc w:val="both"/>
      </w:pPr>
      <w:r>
        <w:rPr>
          <w:rFonts w:ascii="Times New Roman" w:cs="Times New Roman" w:eastAsia="Times New Roman" w:hAnsi="Times New Roman"/>
          <w:b/>
          <w:bCs/>
          <w:color w:val="1B2A4A"/>
          <w:sz w:val="22"/>
          <w:szCs w:val="22"/>
        </w:rPr>
        <w:t xml:space="preserve">10.1.a Anti-Evasion Principle: </w:t>
      </w:r>
      <w:r>
        <w:rPr>
          <w:rFonts w:ascii="Times New Roman" w:cs="Times New Roman" w:eastAsia="Times New Roman" w:hAnsi="Times New Roman"/>
          <w:color w:val="000000"/>
          <w:sz w:val="22"/>
          <w:szCs w:val="22"/>
        </w:rPr>
        <w:t xml:space="preserve">The Basic Needs Floor guarantees a minimum level of actual provision of the four specified social goods — it is not merely a formula that may be satisfied by manipulating its component definitions. No parliamentary act, executive order, or regulatory change may achieve a functionally equivalent reduction in BNF provision through modification of formula inputs, accounting definitions, or distribution mechanisms. An action that reduces effective provision of BNF-funded services below the level resulting from applying the current constitutional percentage to the Monetary Authority's standard gross national revenue calculation constitutes a violation of this section regardless of whether the nominal formula percentage remains unchanged. the Legislature may define BNF eligibility criteria by statute, provided such criteria do not discriminate among persons who qualify by financial need on the basis of any characteristic enumerated in §1.8. Eligibility restrictions that are not rationally connected to the assessment of financial need — including conditions based on employment status, duration of residency above the minimum required for citizenship, or documentation requirements that fall disproportionately on persons of particular national origins — constitute §1.8 discrimination within the meaning of this provision.</w:t>
      </w:r>
    </w:p>
    <w:p>
      <w:pPr>
        <w:spacing w:after="60" w:before="60" w:line="280" w:lineRule="auto"/>
        <w:jc w:val="both"/>
      </w:pPr>
      <w:r>
        <w:rPr>
          <w:rFonts w:ascii="Times New Roman" w:cs="Times New Roman" w:eastAsia="Times New Roman" w:hAnsi="Times New Roman"/>
          <w:color w:val="000000"/>
          <w:sz w:val="22"/>
          <w:szCs w:val="22"/>
        </w:rPr>
        <w:t xml:space="preserve">The Monetary Authority's annual revenue assessment must include a determination of whether the current statutory band meaningfully scales Basic Needs support with economic performance. If the Executive Inspectorate publishes a finding that the statutory band has been set in a manner that functionally eliminates scaling — effectively fixing the rate at or near the constitutional minimum regardless of economic conditions — the Legislature has 45 days from the date the finding is published to address the band by statute. The 45-day window begins on the NRS publication date and is tolled if the Legislature cannot convene due to caretaker period or emergency, with a maximum toll of 90 days. If the Legislature fails to act within 45 days (or the tolled period), the relevant statute automatically becomes eligible for referendum under Article XI without requiring a citizen petition.</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National Endowment reserve fund, administered by the Monetary Authority, to backstop Basic Needs funding in periods of revenue contraction. The fund must be established within the first two budget cycles following Phase 4 activation. The mechanics — including the contribution rate during growth years, the conditions for drawdown, and the minimum reserve threshold — are statutory matters the Legislature defines, provided the fund is accessible only during certified Severe Contractions under §10.1.d and any diverted funds are designated BNF reserves that supplement future BNF distributions rather than substitute for them.</w:t>
      </w:r>
    </w:p>
    <w:p>
      <w:pPr>
        <w:spacing w:after="40" w:before="160"/>
      </w:pPr>
      <w:r>
        <w:rPr>
          <w:rFonts w:ascii="Times New Roman" w:cs="Times New Roman" w:eastAsia="Times New Roman" w:hAnsi="Times New Roman"/>
          <w:b/>
          <w:bCs/>
          <w:color w:val="1B2A4A"/>
          <w:sz w:val="22"/>
          <w:szCs w:val="22"/>
        </w:rPr>
        <w:t xml:space="preserve">Severe Contraction Protocol (§10.1.d–§10.1.g)</w:t>
      </w:r>
    </w:p>
    <w:p>
      <w:pPr>
        <w:spacing w:after="60" w:before="60" w:line="280" w:lineRule="auto"/>
        <w:jc w:val="both"/>
      </w:pPr>
      <w:r>
        <w:rPr>
          <w:rFonts w:ascii="Times New Roman" w:cs="Times New Roman" w:eastAsia="Times New Roman" w:hAnsi="Times New Roman"/>
          <w:b/>
          <w:bCs/>
          <w:color w:val="1B2A4A"/>
          <w:sz w:val="22"/>
          <w:szCs w:val="22"/>
        </w:rPr>
        <w:t xml:space="preserve">10.1.d Severe Contraction Protocol — Activation: </w:t>
      </w:r>
      <w:r>
        <w:rPr>
          <w:rFonts w:ascii="Times New Roman" w:cs="Times New Roman" w:eastAsia="Times New Roman" w:hAnsi="Times New Roman"/>
          <w:color w:val="000000"/>
          <w:sz w:val="22"/>
          <w:szCs w:val="22"/>
        </w:rPr>
        <w:t xml:space="preserve">When the Monetary Authority certifies that current gross revenue in any fiscal year represents less than 60% of the 10-year revenue median — indicating a severe economic collapse rather than a normal cyclical contraction — the Severe Contraction Protocol activates for that fiscal year. The certification is published to the National Record System immediately upon determination.</w:t>
      </w:r>
    </w:p>
    <w:p>
      <w:pPr>
        <w:spacing w:after="60" w:before="60" w:line="280" w:lineRule="auto"/>
        <w:jc w:val="both"/>
      </w:pPr>
      <w:r>
        <w:rPr>
          <w:rFonts w:ascii="Times New Roman" w:cs="Times New Roman" w:eastAsia="Times New Roman" w:hAnsi="Times New Roman"/>
          <w:b/>
          <w:bCs/>
          <w:color w:val="1B2A4A"/>
          <w:sz w:val="22"/>
          <w:szCs w:val="22"/>
        </w:rPr>
        <w:t xml:space="preserve">10.1.e Severe Contraction Protocol — Effects: </w:t>
      </w:r>
      <w:r>
        <w:rPr>
          <w:rFonts w:ascii="Times New Roman" w:cs="Times New Roman" w:eastAsia="Times New Roman" w:hAnsi="Times New Roman"/>
          <w:color w:val="000000"/>
          <w:sz w:val="22"/>
          <w:szCs w:val="22"/>
        </w:rPr>
        <w:t xml:space="preserve">During a certified Severe Contraction, the Basic Needs Floor may be proportionally reduced in the same ratio as actual revenue to median revenue over the prior five years — but not eliminated. the Legislature must by statute define which BNF components may be reduced, in what order, and by how much, ensuring the most vulnerable residents are protected longest. Any reduction is published to the National Record System with the Monetary Authority's certification that the reduction ratio was correctly calculated.</w:t>
      </w:r>
    </w:p>
    <w:p>
      <w:pPr>
        <w:spacing w:after="60" w:before="60" w:line="280" w:lineRule="auto"/>
        <w:jc w:val="both"/>
      </w:pPr>
      <w:r>
        <w:rPr>
          <w:rFonts w:ascii="Times New Roman" w:cs="Times New Roman" w:eastAsia="Times New Roman" w:hAnsi="Times New Roman"/>
          <w:b/>
          <w:bCs/>
          <w:color w:val="1B2A4A"/>
          <w:sz w:val="22"/>
          <w:szCs w:val="22"/>
        </w:rPr>
        <w:t xml:space="preserve">10.1.f Severe Contraction Protocol — Legislative Review: </w:t>
      </w:r>
      <w:r>
        <w:rPr>
          <w:rFonts w:ascii="Times New Roman" w:cs="Times New Roman" w:eastAsia="Times New Roman" w:hAnsi="Times New Roman"/>
          <w:color w:val="000000"/>
          <w:sz w:val="22"/>
          <w:szCs w:val="22"/>
        </w:rPr>
        <w:t xml:space="preserve">The Legislative Inspectorate reviews the Severe Contraction certification within 30 days of publication. the Legislature may override the certification by a 2/3 vote of both chambers within that 30-day period if it finds the economic assessment unsupported by evidence. Any override must be accompanied by a published LI counter-assessment explaining the specific factual basis for rejection. The override vote and counter-assessment are permanently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10.1.g Federal Supplementation Obligation: </w:t>
      </w:r>
      <w:r>
        <w:rPr>
          <w:rFonts w:ascii="Times New Roman" w:cs="Times New Roman" w:eastAsia="Times New Roman" w:hAnsi="Times New Roman"/>
          <w:color w:val="000000"/>
          <w:sz w:val="22"/>
          <w:szCs w:val="22"/>
        </w:rPr>
        <w:t xml:space="preserve">Where the Monetary Authority certifies that a State's fiscal capacity is insufficient to meet the Severe Contraction reduced Basic Needs Floor, the Republic bears a constitutional obligation to provide supplemental federal transfers sufficient to restore the State to floor compliance. The Monetary Authority certifies the triggering conditions and the supplementation amount required. the Legislature must appropriate the supplementation within 60 days of MA certification. This obligation is constitutional, not discretionary. The supplementation obligation is triggered by MA certification independently of any parliamentary override under §10.1.f. If the Legislature overrides the Severe Contraction certification, the supplementation obligation continues until the MA certifies that the affected States' fiscal capacity has recovered to floor compliance without federal support.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10.2 — Taxation Authority</w:t>
      </w:r>
    </w:p>
    <w:p>
      <w:pPr>
        <w:spacing w:after="60" w:before="60" w:line="280" w:lineRule="auto"/>
        <w:jc w:val="both"/>
      </w:pPr>
      <w:r>
        <w:rPr>
          <w:rFonts w:ascii="Times New Roman" w:cs="Times New Roman" w:eastAsia="Times New Roman" w:hAnsi="Times New Roman"/>
          <w:color w:val="000000"/>
          <w:sz w:val="22"/>
          <w:szCs w:val="22"/>
        </w:rPr>
        <w:t xml:space="preserve">The House alone originates all tax legislation. No tax may be imposed, altered, or eliminated without a bill originating in the House and passing both chambers. The President has no taxation authority. Tax legislation follows the Fiscal Objection (§2.4) on solvency grounds only.</w:t>
      </w:r>
    </w:p>
    <w:p>
      <w:pPr>
        <w:spacing w:after="60" w:before="60" w:line="280" w:lineRule="auto"/>
        <w:jc w:val="both"/>
      </w:pPr>
      <w:r>
        <w:rPr>
          <w:rFonts w:ascii="Times New Roman" w:cs="Times New Roman" w:eastAsia="Times New Roman" w:hAnsi="Times New Roman"/>
          <w:color w:val="000000"/>
          <w:sz w:val="22"/>
          <w:szCs w:val="22"/>
        </w:rPr>
        <w:t xml:space="preserve">the Legislature must pass an annual budget before the commencement of each fiscal year. In the first fiscal year following Phase 4 activation, the budget must be passed within 6 months of Phase 4 activation rather than before the fiscal year begins — this one-time grace period allows the newly constituted the Legislature to organize, orient, and deliberate without the immediate pressure of the standard deadline. The fiscal year begins on a date fixed by House statute. If the Legislature fails to pass a budget before the fiscal year begins, spending automatically continues at the prior year's rate for a period defined by House statute — not to exceed 90 days — during which the Legislature must pass a budget or emergency appropriations. If no budget passes within the statutory continuation period, the Basic Needs Floor (§10.1) is funded at the constitutional minimum; all other discretionary spending is suspended until a budget is enacted. The Monetary Authority publishes a public finding when continuation spending is triggered.</w:t>
      </w:r>
    </w:p>
    <w:p>
      <w:pPr>
        <w:spacing w:after="60" w:before="60" w:line="280" w:lineRule="auto"/>
        <w:jc w:val="both"/>
      </w:pPr>
      <w:r>
        <w:rPr>
          <w:rFonts w:ascii="Times New Roman" w:cs="Times New Roman" w:eastAsia="Times New Roman" w:hAnsi="Times New Roman"/>
          <w:b/>
          <w:bCs/>
          <w:color w:val="1B2A4A"/>
          <w:sz w:val="22"/>
          <w:szCs w:val="22"/>
        </w:rPr>
        <w:t xml:space="preserve">10.2.a Legislative Pay Withholding During Budget Failure: </w:t>
      </w:r>
      <w:r>
        <w:rPr>
          <w:rFonts w:ascii="Times New Roman" w:cs="Times New Roman" w:eastAsia="Times New Roman" w:hAnsi="Times New Roman"/>
          <w:color w:val="000000"/>
          <w:sz w:val="22"/>
          <w:szCs w:val="22"/>
        </w:rPr>
        <w:t xml:space="preserve">Where the 90-day continuation period has expired and discretionary government spending has been suspended under §10.2, the pay of all members of both chambers of the Legislature is withheld from the same date on which government employee pay is withheld — no earlier and no later. Withheld legislator pay is held and released in full to each member within 14 days of the Legislature enacting a budget. Pay withheld under this provision is not forfeited — members are compensated for the full period once the budget is enacted, reflecting that legislators continue performing their duties during the impasse. No member may receive advance pay, loans from government sources, or any other compensation from public funds as a substitute for withheld pay during this period. The Monetary Authority publishes to the National Record System a running daily count of the number of days legislator pay has been withheld under this provision, alongside the corresponding count for general government employees. Both counts are publicly accessible from the date withholding begins.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10.3 — Deficit Controls</w:t>
      </w:r>
    </w:p>
    <w:p>
      <w:pPr>
        <w:spacing w:after="60" w:before="60" w:line="280" w:lineRule="auto"/>
        <w:jc w:val="both"/>
      </w:pPr>
      <w:r>
        <w:rPr>
          <w:rFonts w:ascii="Times New Roman" w:cs="Times New Roman" w:eastAsia="Times New Roman" w:hAnsi="Times New Roman"/>
          <w:b/>
          <w:bCs/>
          <w:color w:val="1B2A4A"/>
          <w:sz w:val="22"/>
          <w:szCs w:val="22"/>
        </w:rPr>
        <w:t xml:space="preserve">10.3.a Inherited Deficit Transition Threshold: </w:t>
      </w:r>
      <w:r>
        <w:rPr>
          <w:rFonts w:ascii="Times New Roman" w:cs="Times New Roman" w:eastAsia="Times New Roman" w:hAnsi="Times New Roman"/>
          <w:color w:val="000000"/>
          <w:sz w:val="22"/>
          <w:szCs w:val="22"/>
        </w:rPr>
        <w:t xml:space="preserve">During any fiscal year in which the Republic's debt-to-gross national revenue ratio, as certified by the Monetary Authority at the close of the preceding fiscal year, exceeds the ratio certified by the Monetary Authority as of Phase 4 activation, a 2/3 majority of the full membership of both chambers suffices to authorize deficit spending — provided that the authorized deficit does not exceed the inherited deficit baseline, defined as the difference between total federal revenue and total federal spending at Phase 4 activation as certified in the Debt Continuity Act required under §19.6.a. Where the Legislature seeks to authorize deficit spending exceeding the inherited deficit baseline, the 3/4 majority of this section applies to the excess above the baseline. When the Monetary Authority certifies that the Republic's debt-to-gross national revenue ratio has fallen below 100% for one completed fiscal year, this transition provision expires automatically from the following fiscal year. The expiration requires no parliamentary action and may not be reversed by parliamentary action. The Monetary Authority must publish the applicable deficit authorization threshold — 2/3 or 3/4 — as part of its annual fiscal health assessment under §10.4, providing the Legislature notice of which threshold governs the forthcoming budget cycle.</w:t>
      </w:r>
    </w:p>
    <w:p>
      <w:pPr>
        <w:spacing w:after="60" w:before="60" w:line="280" w:lineRule="auto"/>
        <w:jc w:val="both"/>
      </w:pPr>
      <w:r>
        <w:rPr>
          <w:rFonts w:ascii="Times New Roman" w:cs="Times New Roman" w:eastAsia="Times New Roman" w:hAnsi="Times New Roman"/>
          <w:color w:val="000000"/>
          <w:sz w:val="22"/>
          <w:szCs w:val="22"/>
        </w:rPr>
        <w:t xml:space="preserve">The Republic may not spend beyond projected revenue in any fiscal year without a 3/4 vote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10.3.b BNF and Contraction Exemptions: </w:t>
      </w:r>
      <w:r>
        <w:rPr>
          <w:rFonts w:ascii="Times New Roman" w:cs="Times New Roman" w:eastAsia="Times New Roman" w:hAnsi="Times New Roman"/>
          <w:color w:val="000000"/>
          <w:sz w:val="22"/>
          <w:szCs w:val="22"/>
        </w:rPr>
        <w:t xml:space="preserve">The Basic Needs Floor (§10.1) is exempted from deficit calculations during declared economic contractions verified and published by the Monetary Authority. During a certified Severe Contraction under §10.1, the §10.1.d/e/f Severe Contraction Protocol governs Basic Needs funding as the more specific provision; §10.3's general contraction exemption continues to apply to all other expenditure categories. Where both provisions address the same matter, §10.1 controls.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10.4 — The Monetary Authority</w:t>
      </w:r>
    </w:p>
    <w:p>
      <w:pPr>
        <w:spacing w:after="60" w:before="60" w:line="280" w:lineRule="auto"/>
        <w:jc w:val="both"/>
      </w:pPr>
      <w:r>
        <w:rPr>
          <w:rFonts w:ascii="Times New Roman" w:cs="Times New Roman" w:eastAsia="Times New Roman" w:hAnsi="Times New Roman"/>
          <w:b/>
          <w:bCs/>
          <w:color w:val="1B2A4A"/>
          <w:sz w:val="22"/>
          <w:szCs w:val="22"/>
        </w:rPr>
        <w:t xml:space="preserve">10.4.a Director Election and Board Composition: </w:t>
      </w:r>
      <w:r>
        <w:rPr>
          <w:rFonts w:ascii="Times New Roman" w:cs="Times New Roman" w:eastAsia="Times New Roman" w:hAnsi="Times New Roman"/>
          <w:color w:val="000000"/>
          <w:sz w:val="22"/>
          <w:szCs w:val="22"/>
        </w:rPr>
        <w:t xml:space="preserve">The Monetary Authority is governed by a Director and a board of five members. The Director is elected by national Ranked Choice Voting on National Election Day to a single non-renewable 7-year term, staggered from the board member appointment cycle.</w:t>
      </w:r>
    </w:p>
    <w:p>
      <w:pPr>
        <w:spacing w:after="60" w:before="60" w:line="280" w:lineRule="auto"/>
        <w:jc w:val="both"/>
      </w:pPr>
      <w:r>
        <w:rPr>
          <w:rFonts w:ascii="Times New Roman" w:cs="Times New Roman" w:eastAsia="Times New Roman" w:hAnsi="Times New Roman"/>
          <w:b/>
          <w:bCs/>
          <w:color w:val="1B2A4A"/>
          <w:sz w:val="22"/>
          <w:szCs w:val="22"/>
        </w:rPr>
        <w:t xml:space="preserve">MA Director Ballot Access — Narrow Disqualifiers: </w:t>
      </w:r>
      <w:r>
        <w:rPr>
          <w:rFonts w:ascii="Times New Roman" w:cs="Times New Roman" w:eastAsia="Times New Roman" w:hAnsi="Times New Roman"/>
          <w:color w:val="000000"/>
          <w:sz w:val="22"/>
          <w:szCs w:val="22"/>
        </w:rPr>
        <w:t xml:space="preserve">A candidate for the Director position is disqualified from appearing on the ballot if they: (1) currently hold any elected or appointed government position at any level — federal, State, or Territorial; (2) hold a current financial interest whose value is materially and directly affected by MA monetary policy decisions, including positions in instruments directly priced by interest rate decisions and significant ownership interests in entities subject to MA fiscal certification; (3) are not a Republic citizen; or (4) were convicted of a criminal offense committed while holding federal office during any prior period of federal service. These four criteria are the sole disqualifying circumstances. The electorate determines the qualification of candidates through the information environment established by this section — not through institutional gatekeeping beyond this narrow objective set.</w:t>
      </w:r>
    </w:p>
    <w:p>
      <w:pPr>
        <w:spacing w:after="60" w:before="60" w:line="280" w:lineRule="auto"/>
        <w:jc w:val="both"/>
      </w:pPr>
      <w:r>
        <w:rPr>
          <w:rFonts w:ascii="Times New Roman" w:cs="Times New Roman" w:eastAsia="Times New Roman" w:hAnsi="Times New Roman"/>
          <w:b/>
          <w:bCs/>
          <w:color w:val="1B2A4A"/>
          <w:sz w:val="22"/>
          <w:szCs w:val="22"/>
        </w:rPr>
        <w:t xml:space="preserve">MA Director Candidate Register and Disclosure: </w:t>
      </w:r>
      <w:r>
        <w:rPr>
          <w:rFonts w:ascii="Times New Roman" w:cs="Times New Roman" w:eastAsia="Times New Roman" w:hAnsi="Times New Roman"/>
          <w:color w:val="000000"/>
          <w:sz w:val="22"/>
          <w:szCs w:val="22"/>
        </w:rPr>
        <w:t xml:space="preserve">The Executive Inspectorate maintains a standing MA Director Candidate Register, continuously open and publicly accessible on the National Record System. Any citizen who intends to seek the Director position must register and submit a full disclosure record covering: professional history and any relevant expertise in monetary policy, public finance, macroeconomics, national income accounting, or related fields; all financial interests and holdings; all prior elected or appointed government positions; all prior party memberships and documented partisan political activity; and any prior constitutional constitutional violation findings. The disclosure record is published to the NRS in full upon submission. A registered candidate must notify the EI within 30 days of any material change in their circumstances, including the acquisition of a disqualifying financial interest or a government position. The Executive Inspectorate reviews each submitted disclosure record for factual accuracy only — it does not assess the quality, depth, or relevance of a candidate's expertise, nor does it evaluate whether the expertise disclosed is sufficient for the position. Where the EI identifies a material factual inaccuracy, it publishes a specific discrepancy finding to the NRS; the candidate may submit a corrected record within a Legislature-defined period, which the EI reviews and publishes alongside the original. Where a candidate's disclosure — accurate or corrected — reveals a disqualifying circumstance under the four criteria above, the EI removes the candidate from the ballot and publishes the specific grounds to the NRS. Where the disclosure is factually accurate and discloses no disqualifying circumstance, the candidate proceeds to the ballot regardless of the content of the disclosure — including where the disclosure reveals limited or no expertise in monetary economics. Removal from the ballot by the EI may be appealed to the Supreme Court within 14 days; the Court reviews only whether the disqualifying criterion is met, not the merits of any expertise assessment.</w:t>
      </w:r>
    </w:p>
    <w:p>
      <w:pPr>
        <w:spacing w:after="60" w:before="60" w:line="280" w:lineRule="auto"/>
        <w:jc w:val="both"/>
      </w:pPr>
      <w:r>
        <w:rPr>
          <w:rFonts w:ascii="Times New Roman" w:cs="Times New Roman" w:eastAsia="Times New Roman" w:hAnsi="Times New Roman"/>
          <w:b/>
          <w:bCs/>
          <w:color w:val="1B2A4A"/>
          <w:sz w:val="22"/>
          <w:szCs w:val="22"/>
        </w:rPr>
        <w:t xml:space="preserve">MA Director Advisory Assessment: </w:t>
      </w:r>
      <w:r>
        <w:rPr>
          <w:rFonts w:ascii="Times New Roman" w:cs="Times New Roman" w:eastAsia="Times New Roman" w:hAnsi="Times New Roman"/>
          <w:color w:val="000000"/>
          <w:sz w:val="22"/>
          <w:szCs w:val="22"/>
        </w:rPr>
        <w:t xml:space="preserve">Before each Director election, the MA Board publishes an advisory assessment of each registered candidate's publicly disclosed expertise relevant to the MA's constitutional mandate — price stability, fiscal solvency, and the GNR certification functions. The assessment is advisory only — it has no gatekeeping authority, does not affect ballot access, and does not bind the electorate. It is published to the NRS no later than 90 days before National Election Day, simultaneously with the EI's final disclosure review findings for that cycle. Each candidate may publish a response to the Board's assessment on the NRS within 30 days of publication. The Board's assessment must be grounded in the disclosed record — it may note the absence of disclosed expertise relevant to the MA's functions but may not characterize candidates' positions on policy matters beyond what their disclosed record establishes.</w:t>
      </w:r>
    </w:p>
    <w:p>
      <w:pPr>
        <w:spacing w:after="60" w:before="60" w:line="280" w:lineRule="auto"/>
        <w:jc w:val="both"/>
      </w:pPr>
      <w:r>
        <w:rPr>
          <w:rFonts w:ascii="Times New Roman" w:cs="Times New Roman" w:eastAsia="Times New Roman" w:hAnsi="Times New Roman"/>
          <w:b/>
          <w:bCs/>
          <w:color w:val="1B2A4A"/>
          <w:sz w:val="22"/>
          <w:szCs w:val="22"/>
        </w:rPr>
        <w:t xml:space="preserve">MA Board Member Eligibility: </w:t>
      </w:r>
      <w:r>
        <w:rPr>
          <w:rFonts w:ascii="Times New Roman" w:cs="Times New Roman" w:eastAsia="Times New Roman" w:hAnsi="Times New Roman"/>
          <w:color w:val="000000"/>
          <w:sz w:val="22"/>
          <w:szCs w:val="22"/>
        </w:rPr>
        <w:t xml:space="preserve">Candidates for the MA board must meet the following eligibility criteria, which constitute the constitutional floor for the Candidate Register the PM draws from: at least 5 years of professional experience in monetary policy, macroeconomics, public finance, fiscal policy, or a closely related field; no currently held elected or appointed government position; no current financial interest materially and directly affected by MA monetary policy decisions; and no criminal conviction for conduct committed while holding federal office of federal service. The Legislature may by statute establish additional qualification requirements consistent with this floor. The board Candidate Register is maintained by the Executive Inspectorate, is publicly accessible on the NRS, and is subject to the same disclosure and factual review requirements as the Director Candidate Register. These criteria are the constitutional eligibility floor — the PM may not nominate a candidate who does not meet them, and the EI publishes a finding if a submitted nominee falls below this floor before the Senate confirmation vote proceeds.</w:t>
      </w:r>
    </w:p>
    <w:p>
      <w:pPr>
        <w:spacing w:after="60" w:before="60" w:line="280" w:lineRule="auto"/>
        <w:jc w:val="both"/>
      </w:pPr>
      <w:r>
        <w:rPr>
          <w:rFonts w:ascii="Times New Roman" w:cs="Times New Roman" w:eastAsia="Times New Roman" w:hAnsi="Times New Roman"/>
          <w:b/>
          <w:bCs/>
          <w:color w:val="1B2A4A"/>
          <w:sz w:val="22"/>
          <w:szCs w:val="22"/>
        </w:rPr>
        <w:t xml:space="preserve">Board Appointment and Confirmation: </w:t>
      </w:r>
      <w:r>
        <w:rPr>
          <w:rFonts w:ascii="Times New Roman" w:cs="Times New Roman" w:eastAsia="Times New Roman" w:hAnsi="Times New Roman"/>
          <w:color w:val="000000"/>
          <w:sz w:val="22"/>
          <w:szCs w:val="22"/>
        </w:rPr>
        <w:t xml:space="preserve">Board members are nominated by the PM from a Candidate Register. The PM must submit a candidate disclosure record to the Executive Inspectorate before any nomination may proceed. The record must include professional background, relevant expertise, financial disclosures, and any prior government positions held. The EI reviews the submitted record for factual accuracy, applies eligibility criteria, and publishes the record together with its recommendation to the National Record System before the confirming chamber votes. Where the EI identifies a material factual inaccuracy, it publishes a specific discrepancy finding; the PM may submit a corrected record within a Legislature-defined period, which the EI reviews and publishes alongside the original. Both records remain permanently on the NRS. Any citizen who identifies a discrepancy may petition their elected representative. Board members are confirmed by the Senate and serve single non-renewable staggered terms the Legislature defines by statute, with no more than two board member terms beginning within the same 18-month window. No board member may hold any other government position during or within a period the Legislature defines by statute after their term. The Director may veto any board determination. The board may override the Director's veto by a vote of four of its five members. Both the Director's veto and the board's override reasoning must be published to the National Record System immediately upon issue — the constitutional record of every Director-board disagreement is permanent and public. The veto and override architecture applies to all board determinations, including BNF floor certifications, Severe Contraction Protocol certifications, deficit threshold calculations, Inspectorate funding adequacy certifications, and methodology determinations. If the Senate fails to act on a board member nomination within the period the Legislature defines by statute, the nominee assumes acting status and performs all constitutional functions of the office. The acting officer escalation framework of §2.2.h applies from the date of assumption.</w:t>
      </w:r>
    </w:p>
    <w:p>
      <w:pPr>
        <w:spacing w:after="60" w:before="60" w:line="280" w:lineRule="auto"/>
        <w:jc w:val="both"/>
      </w:pPr>
      <w:r>
        <w:rPr>
          <w:rFonts w:ascii="Times New Roman" w:cs="Times New Roman" w:eastAsia="Times New Roman" w:hAnsi="Times New Roman"/>
          <w:b/>
          <w:bCs/>
          <w:color w:val="1B2A4A"/>
          <w:sz w:val="22"/>
          <w:szCs w:val="22"/>
        </w:rPr>
        <w:t xml:space="preserve">Removal Protection: </w:t>
      </w:r>
      <w:r>
        <w:rPr>
          <w:rFonts w:ascii="Times New Roman" w:cs="Times New Roman" w:eastAsia="Times New Roman" w:hAnsi="Times New Roman"/>
          <w:color w:val="000000"/>
          <w:sz w:val="22"/>
          <w:szCs w:val="22"/>
        </w:rPr>
        <w:t xml:space="preserve">No-Cause removal is not available for the MA Director or for confirmed MA board members — they may only be removed through the For-Cause track requiring a documented EI dereliction finding. Removal of the confirmed MA Director or a confirmed board member requires a 2/3 vote of both chambers simultaneously and a documented finding of dereliction by the Executive Inspectorate published to the National Record System before the legislative vote may proceed.</w:t>
      </w:r>
    </w:p>
    <w:p>
      <w:pPr>
        <w:spacing w:after="60" w:before="60" w:line="280" w:lineRule="auto"/>
        <w:jc w:val="both"/>
      </w:pPr>
      <w:r>
        <w:rPr>
          <w:rFonts w:ascii="Times New Roman" w:cs="Times New Roman" w:eastAsia="Times New Roman" w:hAnsi="Times New Roman"/>
          <w:b/>
          <w:bCs/>
          <w:color w:val="1B2A4A"/>
          <w:sz w:val="22"/>
          <w:szCs w:val="22"/>
        </w:rPr>
        <w:t xml:space="preserve">Director Mid-Term Vacancy: </w:t>
      </w:r>
      <w:r>
        <w:rPr>
          <w:rFonts w:ascii="Times New Roman" w:cs="Times New Roman" w:eastAsia="Times New Roman" w:hAnsi="Times New Roman"/>
          <w:color w:val="000000"/>
          <w:sz w:val="22"/>
          <w:szCs w:val="22"/>
        </w:rPr>
        <w:t xml:space="preserve">Upon any mid-term vacancy in the Director role — through death, resignation, or removal — the most senior board member assumes acting Director status immediately; a special election to fill the Director vacancy is held within 90 days; the elected replacement serves a full new 7-year non-renewable term from the date of certification.</w:t>
      </w:r>
    </w:p>
    <w:p>
      <w:pPr>
        <w:spacing w:after="60" w:before="60" w:line="280" w:lineRule="auto"/>
        <w:jc w:val="both"/>
      </w:pPr>
      <w:r>
        <w:rPr>
          <w:rFonts w:ascii="Times New Roman" w:cs="Times New Roman" w:eastAsia="Times New Roman" w:hAnsi="Times New Roman"/>
          <w:b/>
          <w:bCs/>
          <w:color w:val="1B2A4A"/>
          <w:sz w:val="22"/>
          <w:szCs w:val="22"/>
        </w:rPr>
        <w:t xml:space="preserve">Board Member Mid-Term Vacancy: </w:t>
      </w:r>
      <w:r>
        <w:rPr>
          <w:rFonts w:ascii="Times New Roman" w:cs="Times New Roman" w:eastAsia="Times New Roman" w:hAnsi="Times New Roman"/>
          <w:color w:val="000000"/>
          <w:sz w:val="22"/>
          <w:szCs w:val="22"/>
        </w:rPr>
        <w:t xml:space="preserve">Upon any mid-term vacancy in a board member role, the PM nominates a replacement within 60 days and the acting officer escalation framework applies.</w:t>
      </w:r>
    </w:p>
    <w:p>
      <w:pPr>
        <w:spacing w:after="60" w:before="60" w:line="280" w:lineRule="auto"/>
        <w:jc w:val="both"/>
      </w:pPr>
      <w:r>
        <w:rPr>
          <w:rFonts w:ascii="Times New Roman" w:cs="Times New Roman" w:eastAsia="Times New Roman" w:hAnsi="Times New Roman"/>
          <w:b/>
          <w:bCs/>
          <w:color w:val="1B2A4A"/>
          <w:sz w:val="22"/>
          <w:szCs w:val="22"/>
        </w:rPr>
        <w:t xml:space="preserve">10.4.b Independence: </w:t>
      </w:r>
      <w:r>
        <w:rPr>
          <w:rFonts w:ascii="Times New Roman" w:cs="Times New Roman" w:eastAsia="Times New Roman" w:hAnsi="Times New Roman"/>
          <w:color w:val="000000"/>
          <w:sz w:val="22"/>
          <w:szCs w:val="22"/>
        </w:rPr>
        <w:t xml:space="preserve">The Monetary Authority may not be directed, overruled, or pressured by either executive or by the Legislature. Its mandate is price stability and fiscal solvency. The Director's veto and the board's override authority operate within this independence mandate — neither the veto nor the override may be exercised in response to political direction from any external actor. Any Director or board member who exercises their veto or override authority in response to political direction from either executive or the Legislature is constitutionally prohibited. All board determinations, Director vetoes, board overrides, and dissenting methodological assessments are published to the National Record System immediately upon issue, ensuring that any pattern of politically-directed decision-making is permanently documented.</w:t>
      </w:r>
    </w:p>
    <w:p>
      <w:pPr>
        <w:spacing w:after="60" w:before="60" w:line="280" w:lineRule="auto"/>
        <w:jc w:val="both"/>
      </w:pPr>
      <w:r>
        <w:rPr>
          <w:rFonts w:ascii="Times New Roman" w:cs="Times New Roman" w:eastAsia="Times New Roman" w:hAnsi="Times New Roman"/>
          <w:b/>
          <w:bCs/>
          <w:color w:val="1B2A4A"/>
          <w:sz w:val="22"/>
          <w:szCs w:val="22"/>
        </w:rPr>
        <w:t xml:space="preserve">10.4.c Transparency: </w:t>
      </w:r>
      <w:r>
        <w:rPr>
          <w:rFonts w:ascii="Times New Roman" w:cs="Times New Roman" w:eastAsia="Times New Roman" w:hAnsi="Times New Roman"/>
          <w:color w:val="000000"/>
          <w:sz w:val="22"/>
          <w:szCs w:val="22"/>
        </w:rPr>
        <w:t xml:space="preserve">The Monetary Authority must publish all decisions, models, and revenue assessments — including the annual band adequacy determination — to the National Record System promptly. Subject to annual audit by the Executive Inspectorate, published as part of the Annual State of the Republic Report.</w:t>
      </w:r>
    </w:p>
    <w:p>
      <w:pPr>
        <w:spacing w:after="60" w:before="60" w:line="280" w:lineRule="auto"/>
        <w:jc w:val="both"/>
      </w:pPr>
      <w:r>
        <w:rPr>
          <w:rFonts w:ascii="Times New Roman" w:cs="Times New Roman" w:eastAsia="Times New Roman" w:hAnsi="Times New Roman"/>
          <w:b/>
          <w:bCs/>
          <w:color w:val="1B2A4A"/>
          <w:sz w:val="22"/>
          <w:szCs w:val="22"/>
        </w:rPr>
        <w:t xml:space="preserve">10.4.d Methodology Integrity: </w:t>
      </w:r>
      <w:r>
        <w:rPr>
          <w:rFonts w:ascii="Times New Roman" w:cs="Times New Roman" w:eastAsia="Times New Roman" w:hAnsi="Times New Roman"/>
          <w:color w:val="000000"/>
          <w:sz w:val="22"/>
          <w:szCs w:val="22"/>
        </w:rPr>
        <w:t xml:space="preserve">The Monetary Authority's calculation methodology for all formula-based constitutional provisions — including the Basic Needs Floor (§10.1), the Inspectorate funding guarantee (§8.10), and the deficit thresholds (§10.3) — must employ a unified, internationally recognized national income accounting standard applied consistently across all calculations. the Legislature may by statute adopt or update the national income accounting standard the MA applies, provided the same standard is applied to all constitutional formula calculations simultaneously. the Legislature may not define separate or modified gross national revenue calculations for any subset of constitutional formula provisions. A statutory definition of gross national revenue that diverges from the unified standard for any constitutional formula calculation is void. A Director who vetoes a board certification on methodology grounds must simultaneously file a methodology challenge before the Supreme Court within 48 hours of the veto, or the veto lapses automatically and the board's certification stands. The board override proceeds regardless of any pending judicial challenge — the override and the judicial challenge are parallel tracks. The Director's removal protection under this section applies from the date the judicial challenge is filed, not from the date of the veto. During any period in which the MA's methodology or a directive affecting its calculations is under active judicial review, the Director may not be removed on any ground that is solely or primarily based on the Director's decision to suspend application of that directive pending judicial review.</w:t>
      </w:r>
    </w:p>
    <w:p>
      <w:pPr>
        <w:spacing w:after="60" w:before="60" w:line="280" w:lineRule="auto"/>
        <w:jc w:val="both"/>
      </w:pPr>
      <w:r>
        <w:rPr>
          <w:rFonts w:ascii="Times New Roman" w:cs="Times New Roman" w:eastAsia="Times New Roman" w:hAnsi="Times New Roman"/>
          <w:b/>
          <w:bCs/>
          <w:color w:val="1B2A4A"/>
          <w:sz w:val="22"/>
          <w:szCs w:val="22"/>
        </w:rPr>
        <w:t xml:space="preserve">10.4.e Uncertifiable Inherited Fiscal Position: </w:t>
      </w:r>
      <w:r>
        <w:rPr>
          <w:rFonts w:ascii="Times New Roman" w:cs="Times New Roman" w:eastAsia="Times New Roman" w:hAnsi="Times New Roman"/>
          <w:color w:val="000000"/>
          <w:sz w:val="22"/>
          <w:szCs w:val="22"/>
        </w:rPr>
        <w:t xml:space="preserve">Where the joint Inspectorate panel certifies during the transition that the inherited fiscal position cannot be determined with reasonable accuracy due to state collapse, conflict-related record destruction, or systematic prior government falsification of fiscal records, the first MA Director operates from a zero baseline pending a comprehensive fiscal assessment the Legislature must mandate by statute within the first two budget cycles. The Basic Needs Floor activates immediately at the constitutional minimum under §10.1. the Legislature may not use a zero baseline certification to defer deficit control obligations beyond the first comprehensive assessment.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10.5 — Official Ethics Provisions</w:t>
      </w:r>
    </w:p>
    <w:p>
      <w:pPr>
        <w:spacing w:after="60" w:before="60" w:line="280" w:lineRule="auto"/>
        <w:jc w:val="both"/>
      </w:pPr>
      <w:r>
        <w:rPr>
          <w:rFonts w:ascii="Times New Roman" w:cs="Times New Roman" w:eastAsia="Times New Roman" w:hAnsi="Times New Roman"/>
          <w:b/>
          <w:bCs/>
          <w:color w:val="1B2A4A"/>
          <w:sz w:val="22"/>
          <w:szCs w:val="22"/>
        </w:rPr>
        <w:t xml:space="preserve">10.5.a Official Benefits: </w:t>
      </w:r>
      <w:r>
        <w:rPr>
          <w:rFonts w:ascii="Times New Roman" w:cs="Times New Roman" w:eastAsia="Times New Roman" w:hAnsi="Times New Roman"/>
          <w:color w:val="000000"/>
          <w:sz w:val="22"/>
          <w:szCs w:val="22"/>
        </w:rPr>
        <w:t>The standard for all official benefits, allowances, and limitations is that of a civil service employee in a comparable role. Departure from this standard is permitted only where an official's constitutional responsibilities create a demonstrable operational need, and only to the minimum extent that need requires. This standard covers: housing in session — standardized, no luxury stipends; healthcare and retirement — the same systems as the citizens officials serve; and compensation, defined by House statute under §10.6.</w:t>
      </w:r>
    </w:p>
    <w:p>
      <w:pPr>
        <w:spacing w:after="60" w:before="60" w:line="280" w:lineRule="auto"/>
        <w:jc w:val="both"/>
      </w:pPr>
      <w:r>
        <w:rPr>
          <w:rFonts w:ascii="Times New Roman" w:cs="Times New Roman" w:eastAsia="Times New Roman" w:hAnsi="Times New Roman"/>
          <w:b/>
          <w:bCs/>
          <w:color w:val="1B2A4A"/>
          <w:sz w:val="22"/>
          <w:szCs w:val="22"/>
        </w:rPr>
        <w:t xml:space="preserve">10.5.b Financial Disclosure: </w:t>
      </w:r>
      <w:r>
        <w:rPr>
          <w:rFonts w:ascii="Times New Roman" w:cs="Times New Roman" w:eastAsia="Times New Roman" w:hAnsi="Times New Roman"/>
          <w:color w:val="000000"/>
          <w:sz w:val="22"/>
          <w:szCs w:val="22"/>
        </w:rPr>
        <w:t xml:space="preserve">Every elected and appointed official must file a complete public financial disclosure statement within 30 days of taking office and annually thereafter. The disclosure must include all assets, liabilities, income sources, business interests, and financial interests of the official and their immediate family members. Disclosures are published to the National Record System within 7 days of filing. Failure to file on time, material omission, or knowing misstatement is prohibited and reported to the NRS by the Executive Inspectorate. the Legislature defines by statute the specific content requirements, the de minimis thresholds, and the verification process, consistent with this section.</w:t>
      </w:r>
    </w:p>
    <w:p>
      <w:pPr>
        <w:spacing w:after="60" w:before="60" w:line="280" w:lineRule="auto"/>
        <w:jc w:val="both"/>
      </w:pPr>
      <w:r>
        <w:rPr>
          <w:rFonts w:ascii="Times New Roman" w:cs="Times New Roman" w:eastAsia="Times New Roman" w:hAnsi="Times New Roman"/>
          <w:b/>
          <w:bCs/>
          <w:color w:val="1B2A4A"/>
          <w:sz w:val="22"/>
          <w:szCs w:val="22"/>
        </w:rPr>
        <w:t xml:space="preserve">10.5.c Integrity Bans: </w:t>
      </w:r>
      <w:r>
        <w:rPr>
          <w:rFonts w:ascii="Times New Roman" w:cs="Times New Roman" w:eastAsia="Times New Roman" w:hAnsi="Times New Roman"/>
          <w:color w:val="000000"/>
          <w:sz w:val="22"/>
          <w:szCs w:val="22"/>
        </w:rPr>
        <w:t xml:space="preserve">Officials are subject to a post-service lobbying ban of not less than five years, as the Legislature may extend by statute. Violation triggers permanent forfeiture of all public pensions and benefits.</w:t>
      </w:r>
    </w:p>
    <w:p>
      <w:pPr>
        <w:spacing w:after="60" w:before="60" w:line="280" w:lineRule="auto"/>
        <w:jc w:val="both"/>
      </w:pPr>
      <w:r>
        <w:rPr>
          <w:rFonts w:ascii="Times New Roman" w:cs="Times New Roman" w:eastAsia="Times New Roman" w:hAnsi="Times New Roman"/>
          <w:b/>
          <w:bCs/>
          <w:color w:val="1B2A4A"/>
          <w:sz w:val="22"/>
          <w:szCs w:val="22"/>
        </w:rPr>
        <w:t xml:space="preserve">10.5.d Anti-Ego Provision: </w:t>
      </w:r>
      <w:r>
        <w:rPr>
          <w:rFonts w:ascii="Times New Roman" w:cs="Times New Roman" w:eastAsia="Times New Roman" w:hAnsi="Times New Roman"/>
          <w:color w:val="000000"/>
          <w:sz w:val="22"/>
          <w:szCs w:val="22"/>
        </w:rPr>
        <w:t xml:space="preserve">No public works, buildings, programs, or infrastructure may be named after any living official or any person who held public office within the ten years preceding the proposed naming. Exception: officials who die in service to the Republic may be honored by a 2/3 vote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10.5.e Official Records Belong to the Republic: </w:t>
      </w:r>
      <w:r>
        <w:rPr>
          <w:rFonts w:ascii="Times New Roman" w:cs="Times New Roman" w:eastAsia="Times New Roman" w:hAnsi="Times New Roman"/>
          <w:color w:val="000000"/>
          <w:sz w:val="22"/>
          <w:szCs w:val="22"/>
        </w:rPr>
        <w:t xml:space="preserve">All documents, communications, records, and data created by any official in their official capacity belong to the Republic, not to the official personally. Officials may not remove, destroy, retain, or transfer official records upon leaving office. All official records must be deposited with the National Record System or a constitutionally recognized archive within 30 days of an official's departure from office. Personal notes, private correspondence conducted outside official channels, and materials created entirely outside official capacity remain personal property. An official who removes, destroys, or retains official records is prohibited; recoverable records are subject to forfeiture to the Republic regardless of where they are found.</w:t>
      </w:r>
    </w:p>
    <w:p>
      <w:pPr>
        <w:spacing w:after="60" w:before="60" w:line="280" w:lineRule="auto"/>
        <w:jc w:val="both"/>
      </w:pPr>
      <w:r>
        <w:rPr>
          <w:rFonts w:ascii="Times New Roman" w:cs="Times New Roman" w:eastAsia="Times New Roman" w:hAnsi="Times New Roman"/>
          <w:b/>
          <w:bCs/>
          <w:color w:val="1B2A4A"/>
          <w:sz w:val="22"/>
          <w:szCs w:val="22"/>
        </w:rPr>
        <w:t xml:space="preserve">10.5.f Official Gifts: </w:t>
      </w:r>
      <w:r>
        <w:rPr>
          <w:rFonts w:ascii="Times New Roman" w:cs="Times New Roman" w:eastAsia="Times New Roman" w:hAnsi="Times New Roman"/>
          <w:color w:val="000000"/>
          <w:sz w:val="22"/>
          <w:szCs w:val="22"/>
        </w:rPr>
        <w:t xml:space="preserve">Gifts received by any official in their official capacity — from foreign governments, domestic entities, corporations, or private individuals — belong to the Republic. Officials may not retain gifts received in an official context. Gifts below a de minimis value defined by House statute may be returned to the giver or kept at the official's personal discretion. Gifts above that threshold must be catalogued and deposited with a national archive or museum, auctioned for the public benefit, or returned to the giver — at the Republic's election. Retention of an official gift above the threshold without disclosure and deposit is constitutionally prohibited.</w:t>
      </w:r>
    </w:p>
    <w:p>
      <w:pPr>
        <w:spacing w:after="60" w:before="60" w:line="280" w:lineRule="auto"/>
        <w:jc w:val="both"/>
      </w:pPr>
      <w:r>
        <w:rPr>
          <w:rFonts w:ascii="Times New Roman" w:cs="Times New Roman" w:eastAsia="Times New Roman" w:hAnsi="Times New Roman"/>
          <w:b/>
          <w:bCs/>
          <w:color w:val="1B2A4A"/>
          <w:sz w:val="22"/>
          <w:szCs w:val="22"/>
        </w:rPr>
        <w:t xml:space="preserve">10.5.g Official Intellectual Property: </w:t>
      </w:r>
      <w:r>
        <w:rPr>
          <w:rFonts w:ascii="Times New Roman" w:cs="Times New Roman" w:eastAsia="Times New Roman" w:hAnsi="Times New Roman"/>
          <w:color w:val="000000"/>
          <w:sz w:val="22"/>
          <w:szCs w:val="22"/>
        </w:rPr>
        <w:t xml:space="preserve">Works created by officials using government resources, government time, government information, or access derived from official position belong to the Republic. An official who commercially exploits official records, classified or sensitive information obtained through their position, or access derived from their role — including through post-service memoirs, speaking fees for disclosures of official matters, or consulting arrangements that monetize official information — is constitutionally prohibited. This provision does not prevent officials from writing or speaking about their public service using publicly available information after their service concludes. For purposes of this provision, information that was classified at any point during the official's service is not treated as publicly available for 5 years following its declassification, regardless of its formal classification status when publication.</w:t>
      </w:r>
    </w:p>
    <w:p>
      <w:pPr>
        <w:spacing w:after="60" w:before="60" w:line="280" w:lineRule="auto"/>
        <w:jc w:val="both"/>
      </w:pPr>
      <w:r>
        <w:rPr>
          <w:rFonts w:ascii="Times New Roman" w:cs="Times New Roman" w:eastAsia="Times New Roman" w:hAnsi="Times New Roman"/>
          <w:b/>
          <w:bCs/>
          <w:color w:val="1B2A4A"/>
          <w:sz w:val="22"/>
          <w:szCs w:val="22"/>
        </w:rPr>
        <w:t xml:space="preserve">10.5.h Oath of Office Requirement: </w:t>
      </w:r>
      <w:r>
        <w:rPr>
          <w:rFonts w:ascii="Times New Roman" w:cs="Times New Roman" w:eastAsia="Times New Roman" w:hAnsi="Times New Roman"/>
          <w:color w:val="000000"/>
          <w:sz w:val="22"/>
          <w:szCs w:val="22"/>
        </w:rPr>
        <w:t xml:space="preserve">Every official of the Federated Republic — elected, appointed, or career — must take a constitutionally prescribed oath or affirmation before exercising any authority of their office. The oath is recorded on the National Record System within 24 hours of administration. An official who exercises authority before taking their oath acts without constitutional authority. The constitutional oaths are: the Official Oath, taken by all elected and appointed federal officials; the Military Oath, taken by all persons entering military service; and the Naturalization Pledge, taken by all persons earning citizenship. The text of these oaths is established by the Legislature by statute and must be consistent with the obligations of each office as defined by this Constitution. the Legislature establishes by statute the oath or affirmation for civil servants and inferior court judges.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10.6 — Citizen Duties</w:t>
      </w:r>
    </w:p>
    <w:p>
      <w:pPr>
        <w:spacing w:after="60" w:before="60" w:line="280" w:lineRule="auto"/>
        <w:jc w:val="both"/>
      </w:pPr>
      <w:r>
        <w:rPr>
          <w:rFonts w:ascii="Times New Roman" w:cs="Times New Roman" w:eastAsia="Times New Roman" w:hAnsi="Times New Roman"/>
          <w:b/>
          <w:bCs/>
          <w:color w:val="1B2A4A"/>
          <w:sz w:val="22"/>
          <w:szCs w:val="22"/>
        </w:rPr>
        <w:t xml:space="preserve">10.6.a Jury Duty: </w:t>
      </w:r>
      <w:r>
        <w:rPr>
          <w:rFonts w:ascii="Times New Roman" w:cs="Times New Roman" w:eastAsia="Times New Roman" w:hAnsi="Times New Roman"/>
          <w:color w:val="000000"/>
          <w:sz w:val="22"/>
          <w:szCs w:val="22"/>
        </w:rPr>
        <w:t xml:space="preserve">Citizens must serve on juries when called, compensated at the national median daily income rate. Unexcused refusal triggers suspension of civic participation privileges as defined by statute. Jury service does not constitute forced labor under §1.3.</w:t>
      </w:r>
    </w:p>
    <w:p>
      <w:pPr>
        <w:spacing w:after="60" w:before="60" w:line="280" w:lineRule="auto"/>
        <w:jc w:val="both"/>
      </w:pPr>
      <w:r>
        <w:rPr>
          <w:rFonts w:ascii="Times New Roman" w:cs="Times New Roman" w:eastAsia="Times New Roman" w:hAnsi="Times New Roman"/>
          <w:b/>
          <w:bCs/>
          <w:color w:val="1B2A4A"/>
          <w:sz w:val="22"/>
          <w:szCs w:val="22"/>
        </w:rPr>
        <w:t xml:space="preserve">10.6.b Defense Readiness and Veterans Obligations: </w:t>
      </w:r>
      <w:r>
        <w:rPr>
          <w:rFonts w:ascii="Times New Roman" w:cs="Times New Roman" w:eastAsia="Times New Roman" w:hAnsi="Times New Roman"/>
          <w:color w:val="000000"/>
          <w:sz w:val="22"/>
          <w:szCs w:val="22"/>
        </w:rPr>
        <w:t xml:space="preserve">The Republic relies on a volunteer military. Emergency mobilization is governed by the military authorization framework of Article XII. The Republic acknowledges a special obligation to persons who have served in its military or national service — service creates a relationship of duty between the Republic and those who answered its call. the Legislature must by statute define veterans' benefits, healthcare access, disability compensation, and transition support. Pre-constitutional veterans obligations and the transition of prior government veterans programs into the Republic's framework are governed by §19.6.d.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10.7 — Compensation of Public Officials</w:t>
      </w:r>
    </w:p>
    <w:p>
      <w:pPr>
        <w:spacing w:after="60" w:before="60" w:line="280" w:lineRule="auto"/>
        <w:jc w:val="both"/>
      </w:pPr>
      <w:r>
        <w:rPr>
          <w:rFonts w:ascii="Times New Roman" w:cs="Times New Roman" w:eastAsia="Times New Roman" w:hAnsi="Times New Roman"/>
          <w:color w:val="000000"/>
          <w:sz w:val="22"/>
          <w:szCs w:val="22"/>
        </w:rPr>
        <w:t xml:space="preserve">No government official may set their own compensation or the compensation of their direct supervisors. All official compensation is set by House statute and is public record on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 — DIRECT DEMOCRACY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11.1 — The Optional Referendum</w:t>
      </w:r>
    </w:p>
    <w:p>
      <w:pPr>
        <w:spacing w:after="60" w:before="60" w:line="280" w:lineRule="auto"/>
        <w:jc w:val="both"/>
      </w:pPr>
      <w:r>
        <w:rPr>
          <w:rFonts w:ascii="Times New Roman" w:cs="Times New Roman" w:eastAsia="Times New Roman" w:hAnsi="Times New Roman"/>
          <w:b/>
          <w:bCs/>
          <w:color w:val="1B2A4A"/>
          <w:sz w:val="22"/>
          <w:szCs w:val="22"/>
        </w:rPr>
        <w:t xml:space="preserve">11.1.a Citizen Petition Right: </w:t>
      </w:r>
      <w:r>
        <w:rPr>
          <w:rFonts w:ascii="Times New Roman" w:cs="Times New Roman" w:eastAsia="Times New Roman" w:hAnsi="Times New Roman"/>
          <w:color w:val="000000"/>
          <w:sz w:val="22"/>
          <w:szCs w:val="22"/>
        </w:rPr>
        <w:t xml:space="preserve">Citizens may pause the implementation of any newly enacted law by submitting verified signatures from 5% of eligible voters through the National Voting System within 90 days of enactment. Implementation is automatically paused during collection and verification. The Electoral Commission verifies petitions within 30 days of submission. A verified petition triggers a national referendum.</w:t>
      </w:r>
    </w:p>
    <w:p>
      <w:pPr>
        <w:spacing w:after="60" w:before="60" w:line="280" w:lineRule="auto"/>
        <w:jc w:val="both"/>
      </w:pPr>
      <w:r>
        <w:rPr>
          <w:rFonts w:ascii="Times New Roman" w:cs="Times New Roman" w:eastAsia="Times New Roman" w:hAnsi="Times New Roman"/>
          <w:b/>
          <w:bCs/>
          <w:color w:val="1B2A4A"/>
          <w:sz w:val="22"/>
          <w:szCs w:val="22"/>
        </w:rPr>
        <w:t xml:space="preserve">11.1.b Eligibility Screen: </w:t>
      </w:r>
      <w:r>
        <w:rPr>
          <w:rFonts w:ascii="Times New Roman" w:cs="Times New Roman" w:eastAsia="Times New Roman" w:hAnsi="Times New Roman"/>
          <w:color w:val="000000"/>
          <w:sz w:val="22"/>
          <w:szCs w:val="22"/>
        </w:rPr>
        <w:t xml:space="preserve">Before certification, the Judicial Inspectorate screens the petition for eligibility. If the targeted law solely or primarily expands an Article I right, the petition is ineligible and returned with a written explanation. Citizens may appeal a JI finding to the Supreme Court within 14 days; the Court must rule within 14 days. All findings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11.1.c Referendum Thresholds and Finality: </w:t>
      </w:r>
      <w:r>
        <w:rPr>
          <w:rFonts w:ascii="Times New Roman" w:cs="Times New Roman" w:eastAsia="Times New Roman" w:hAnsi="Times New Roman"/>
          <w:color w:val="000000"/>
          <w:sz w:val="22"/>
          <w:szCs w:val="22"/>
        </w:rPr>
        <w:t xml:space="preserve">A referendum requires 50% participation to be valid. A simple majority affirmative vote overturns the law. A referendum result is final — the Legislature may not overturn it. The same law may not face a referendum within two years of a previous result on that law.</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11.2 — Subsidiarity and Local Government</w:t>
      </w:r>
    </w:p>
    <w:p>
      <w:pPr>
        <w:spacing w:after="60" w:before="60" w:line="280" w:lineRule="auto"/>
        <w:jc w:val="both"/>
      </w:pPr>
      <w:r>
        <w:rPr>
          <w:rFonts w:ascii="Times New Roman" w:cs="Times New Roman" w:eastAsia="Times New Roman" w:hAnsi="Times New Roman"/>
          <w:b/>
          <w:bCs/>
          <w:color w:val="1B2A4A"/>
          <w:sz w:val="22"/>
          <w:szCs w:val="22"/>
        </w:rPr>
        <w:t xml:space="preserve">11.2.a Subsidiarity Principle: </w:t>
      </w:r>
      <w:r>
        <w:rPr>
          <w:rFonts w:ascii="Times New Roman" w:cs="Times New Roman" w:eastAsia="Times New Roman" w:hAnsi="Times New Roman"/>
          <w:color w:val="000000"/>
          <w:sz w:val="22"/>
          <w:szCs w:val="22"/>
        </w:rPr>
        <w:t xml:space="preserve">Government makes decisions at the most local level capable of addressing the issue. The Federal government may not override a State's decision on matters of local governance — including zoning, local taxation, municipal services, and community standards — unless the decision violates Article I or a constitutionally mandated federal standard.</w:t>
      </w:r>
    </w:p>
    <w:p>
      <w:pPr>
        <w:spacing w:after="60" w:before="60" w:line="280" w:lineRule="auto"/>
        <w:jc w:val="both"/>
      </w:pPr>
      <w:r>
        <w:rPr>
          <w:rFonts w:ascii="Times New Roman" w:cs="Times New Roman" w:eastAsia="Times New Roman" w:hAnsi="Times New Roman"/>
          <w:b/>
          <w:bCs/>
          <w:color w:val="1B2A4A"/>
          <w:sz w:val="22"/>
          <w:szCs w:val="22"/>
        </w:rPr>
        <w:t xml:space="preserve">11.2.b Local Government: </w:t>
      </w:r>
      <w:r>
        <w:rPr>
          <w:rFonts w:ascii="Times New Roman" w:cs="Times New Roman" w:eastAsia="Times New Roman" w:hAnsi="Times New Roman"/>
          <w:color w:val="000000"/>
          <w:sz w:val="22"/>
          <w:szCs w:val="22"/>
        </w:rPr>
        <w:t xml:space="preserve">Local governments — cities, counties, municipalities, and other subdivisions recognized by State law — exist within and derive their authority from their State. They are not constitutionally independent entities. A State may grant broad or constrained home-rule authority to local governments. Federal constitutional protections apply to all residents regardless of local government structure.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XII — NATIONAL DEFENSE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12.1 — Authorized Purposes for Military Force</w:t>
      </w:r>
    </w:p>
    <w:p>
      <w:pPr>
        <w:spacing w:after="60" w:before="60" w:line="280" w:lineRule="auto"/>
        <w:jc w:val="both"/>
      </w:pPr>
      <w:r>
        <w:rPr>
          <w:rFonts w:ascii="Times New Roman" w:cs="Times New Roman" w:eastAsia="Times New Roman" w:hAnsi="Times New Roman"/>
          <w:color w:val="000000"/>
          <w:sz w:val="22"/>
          <w:szCs w:val="22"/>
        </w:rPr>
        <w:t xml:space="preserve">The Republic's defense posture prioritizes restraint, proportionality, and democratic authorization. Military force is authorized for: (1) border protection and territorial integrity; (2) defense of treaty allies; and (3) systemic intervention to prevent genocide or civilizational collapse at the scale of a World War II-type event. Military force is not authorized for nation-building, resource extraction, or ideological imposition.</w:t>
      </w:r>
    </w:p>
    <w:p>
      <w:pPr>
        <w:spacing w:after="60" w:before="60" w:line="280" w:lineRule="auto"/>
        <w:jc w:val="both"/>
      </w:pPr>
      <w:r>
        <w:rPr>
          <w:rFonts w:ascii="Times New Roman" w:cs="Times New Roman" w:eastAsia="Times New Roman" w:hAnsi="Times New Roman"/>
          <w:color w:val="000000"/>
          <w:sz w:val="22"/>
          <w:szCs w:val="22"/>
        </w:rPr>
        <w:t xml:space="preserve">The three authorized purposes describe the scope of what the Legislature may authorize under Tier 3 (§2.1.c) and what the Republic may commit to by treaty (§3.2.e). They do not expand Tier 1 Presidential authority, which is limited to immediate defensive response as defined in §2.1.a. The determination that a foreign situation constitutes genocide or civilizational collapse sufficient to justify intervention under §12.1(3) is a Legislative determination made through the Tier 3 Declaration process — not a Presidential determination made unilaterally. The President may not invoke Tier 1 authority on the basis of a claimed genocide or civilizational collapse; Tier 1 is defensive and requires an active attack on the Republic, its citizens, or its treaty allies.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12.2 — Military Authorization Tiers</w:t>
      </w:r>
    </w:p>
    <w:p>
      <w:pPr>
        <w:spacing w:after="60" w:before="60" w:line="280" w:lineRule="auto"/>
        <w:jc w:val="both"/>
      </w:pPr>
      <w:r>
        <w:rPr>
          <w:rFonts w:ascii="Times New Roman" w:cs="Times New Roman" w:eastAsia="Times New Roman" w:hAnsi="Times New Roman"/>
          <w:color w:val="000000"/>
          <w:sz w:val="22"/>
          <w:szCs w:val="22"/>
        </w:rPr>
        <w:t xml:space="preserve">All military operations are authorized under one of three tiers as defined in §2.1.a through §2.1.c. This section governs the Legislative Declaration of Defense — Tier 3, the highest level of military authorization, requiring a 2/3 majority of both chambers and used for operations extending beyond 30 days — and its duration, renewal, and limitations.</w:t>
      </w:r>
    </w:p>
    <w:p>
      <w:pPr>
        <w:spacing w:after="60" w:before="60" w:line="280" w:lineRule="auto"/>
        <w:jc w:val="both"/>
      </w:pPr>
      <w:r>
        <w:rPr>
          <w:rFonts w:ascii="Times New Roman" w:cs="Times New Roman" w:eastAsia="Times New Roman" w:hAnsi="Times New Roman"/>
          <w:b/>
          <w:bCs/>
          <w:color w:val="1B2A4A"/>
          <w:sz w:val="22"/>
          <w:szCs w:val="22"/>
        </w:rPr>
        <w:t xml:space="preserve">12.2.a Legislative Declaration of Defense: </w:t>
      </w:r>
      <w:r>
        <w:rPr>
          <w:rFonts w:ascii="Times New Roman" w:cs="Times New Roman" w:eastAsia="Times New Roman" w:hAnsi="Times New Roman"/>
          <w:color w:val="000000"/>
          <w:sz w:val="22"/>
          <w:szCs w:val="22"/>
        </w:rPr>
        <w:t xml:space="preserve">A Legislative Declaration of Defense — passed by a 2/3 concurrent majority of both chambers — authorizes extended military operations and triggers the Emergency Defense Allocation. The Declaration must be re-voted every 180 days. Failure to re-authorize automatically terminates the operation and the allocation. The Declaration may not be used to authorize domestic emergency powers not directly connected to the external military operation it covers.</w:t>
      </w:r>
    </w:p>
    <w:p>
      <w:pPr>
        <w:spacing w:after="60" w:before="60" w:line="280" w:lineRule="auto"/>
        <w:jc w:val="both"/>
      </w:pPr>
      <w:r>
        <w:rPr>
          <w:rFonts w:ascii="Times New Roman" w:cs="Times New Roman" w:eastAsia="Times New Roman" w:hAnsi="Times New Roman"/>
          <w:b/>
          <w:bCs/>
          <w:color w:val="1B2A4A"/>
          <w:sz w:val="22"/>
          <w:szCs w:val="22"/>
        </w:rPr>
        <w:t xml:space="preserve">12.2.b Five-Year Maximum: </w:t>
      </w:r>
      <w:r>
        <w:rPr>
          <w:rFonts w:ascii="Times New Roman" w:cs="Times New Roman" w:eastAsia="Times New Roman" w:hAnsi="Times New Roman"/>
          <w:color w:val="000000"/>
          <w:sz w:val="22"/>
          <w:szCs w:val="22"/>
        </w:rPr>
        <w:t xml:space="preserve">A Legislative Declaration of Defense may be renewed for a maximum of 10 consecutive 180-day periods — five years total — without a mandatory cessation. After five years of continuous Declaration, a 90-day full cessation is required before a new Declaration may be issued. During cessation, all emergency powers revert to normal constitutional operation. Tier 1 defensive authority remains available during cessation if a genuine immediate threat arises.</w:t>
      </w:r>
    </w:p>
    <w:p>
      <w:pPr>
        <w:spacing w:after="60" w:before="60" w:line="280" w:lineRule="auto"/>
        <w:jc w:val="both"/>
      </w:pPr>
      <w:r>
        <w:rPr>
          <w:rFonts w:ascii="Times New Roman" w:cs="Times New Roman" w:eastAsia="Times New Roman" w:hAnsi="Times New Roman"/>
          <w:b/>
          <w:bCs/>
          <w:color w:val="1B2A4A"/>
          <w:sz w:val="22"/>
          <w:szCs w:val="22"/>
        </w:rPr>
        <w:t xml:space="preserve">12.2.c Successive Declaration Standard: </w:t>
      </w:r>
      <w:r>
        <w:rPr>
          <w:rFonts w:ascii="Times New Roman" w:cs="Times New Roman" w:eastAsia="Times New Roman" w:hAnsi="Times New Roman"/>
          <w:color w:val="000000"/>
          <w:sz w:val="22"/>
          <w:szCs w:val="22"/>
        </w:rPr>
        <w:t xml:space="preserve">A new Legislative Declaration of Defense issued within 12 months of a mandatory cessation must be based on a materially different threat from that which justified the prior Declaration — meaning a distinct adversary, a different geographic theater, or a qualitatively different form of attack, not a resumption of the same conflict under a different pretext. The Legislative Inspectorate reviews any such Declaration within 15 days of passage and publishes a factual finding on whether the stated threat meets this standard. A finding that the threat does not meet the standard is published to the NRS and transmitted to the Legislature standing oversight committees; the Legislature may initiate proceedings within 60 days. This provision does not prevent genuine re-declarations where circumstances have materially changed.</w:t>
      </w:r>
    </w:p>
    <w:p>
      <w:pPr>
        <w:spacing w:after="60" w:before="60" w:line="280" w:lineRule="auto"/>
        <w:jc w:val="both"/>
      </w:pPr>
      <w:r>
        <w:rPr>
          <w:rFonts w:ascii="Times New Roman" w:cs="Times New Roman" w:eastAsia="Times New Roman" w:hAnsi="Times New Roman"/>
          <w:b/>
          <w:bCs/>
          <w:color w:val="1B2A4A"/>
          <w:sz w:val="22"/>
          <w:szCs w:val="22"/>
        </w:rPr>
        <w:t xml:space="preserve">12.2.d Senate Armed Services Committee: </w:t>
      </w:r>
      <w:r>
        <w:rPr>
          <w:rFonts w:ascii="Times New Roman" w:cs="Times New Roman" w:eastAsia="Times New Roman" w:hAnsi="Times New Roman"/>
          <w:color w:val="000000"/>
          <w:sz w:val="22"/>
          <w:szCs w:val="22"/>
        </w:rPr>
        <w:t xml:space="preserve">The Senate Armed Services Committee exercises the Tier 2 military authorization function of §2.1.b. Its composition and procedures are defined by Senate statute, subject to the following constitutional minimums: the Committee must include both majority and minority Senate representation; its composition may not be altered during any active Tier 2 or Tier 3 military authorization period; and it must be capable of convening within 48 hours at any time. Committee members hold their positions for the duration of their Senate terms. Authorization decisions are published to the National Record System within 24 hours of the vote. Where the Senate Speaker or other constitutional successor assumes presidential defense functions under §2.6.a, the Senate Armed Services Committee may review but may not unilaterally pause, modify, or terminate ongoing operations already authorized by a Legislative Declaration without a new Senate vote meeting the threshold that authorized the original Declaration. This provision protects the operational continuity of constitutionally authorized military commitments during presidential succession events. Where two or more persons simultaneously claim presidential authority and the Supreme Court has issued a ruling identifying the constitutional President, all military commands must recognize the Court-identified President as the lawful Commander-in-Chief within 6 hours of the ruling's publication to the National Record System. Failure to transfer military command recognition within 6 hours of a Supreme Court ruling on presidential succession constitutes insubordination under military law and a constitutional violation for any commissioned officer who issues or follows orders from the non-Court-identified claimant after that 6-hour period.</w:t>
      </w:r>
    </w:p>
    <w:p>
      <w:pPr>
        <w:spacing w:after="60" w:before="60" w:line="280" w:lineRule="auto"/>
        <w:jc w:val="both"/>
      </w:pPr>
      <w:r>
        <w:rPr>
          <w:rFonts w:ascii="Times New Roman" w:cs="Times New Roman" w:eastAsia="Times New Roman" w:hAnsi="Times New Roman"/>
          <w:b/>
          <w:bCs/>
          <w:color w:val="1B2A4A"/>
          <w:sz w:val="22"/>
          <w:szCs w:val="22"/>
        </w:rPr>
        <w:t xml:space="preserve">12.2.e Military Authority During Presidential Succession Vacuum: </w:t>
      </w:r>
      <w:r>
        <w:rPr>
          <w:rFonts w:ascii="Times New Roman" w:cs="Times New Roman" w:eastAsia="Times New Roman" w:hAnsi="Times New Roman"/>
          <w:color w:val="000000"/>
          <w:sz w:val="22"/>
          <w:szCs w:val="22"/>
        </w:rPr>
        <w:t xml:space="preserve">Where the presidential succession line under §2.6.a is fully exhausted and no living constitutional officer has presidential authority, the Chairman of the Joint Chiefs of Staff is constitutionally authorized to continue military operations already underway at the precise moment the succession vacuum begins, and to issue orders strictly necessary to protect Republic forces from active, immediate attack — meaning return fire and immediate defensive maneuvering only. The Chairman may not initiate, reposition, or escalate beyond ongoing operations. All orders issued under this provision are published to the National Record System within one hour of issuance and are subject to immediate Supreme Court review on petition. This authority terminates after 14 days. During this period, the Chairman may not initiate offensive operations, commit forces to new theaters, or conduct foreign diplomatic communications constituting treaty obligations. All actions taken under this provision are published to the National Record System as they occur and are subject to full legislative review upon reconstitution of civilian authority. This authority terminates immediately and automatically upon any constitutional successor assuming presidential authority under §2.6.a or by expedited §2.8 Senate emergency resolution.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12.3 — Intelligence Firewall</w:t>
      </w:r>
    </w:p>
    <w:p>
      <w:pPr>
        <w:spacing w:after="60" w:before="60" w:line="280" w:lineRule="auto"/>
        <w:jc w:val="both"/>
      </w:pPr>
      <w:r>
        <w:rPr>
          <w:rFonts w:ascii="Times New Roman" w:cs="Times New Roman" w:eastAsia="Times New Roman" w:hAnsi="Times New Roman"/>
          <w:color w:val="000000"/>
          <w:sz w:val="22"/>
          <w:szCs w:val="22"/>
        </w:rPr>
        <w:t xml:space="preserve">All domestic intelligence operations against Republic citizens are permanently prohibited. Any such order is reported to the National Record System by the relevant Inspectorate against the President and Director of Intelligence, triggering immediate suspension and a Senate trial within a period the Legislature defines by statute, not to exceed 7 days.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12.4 — Post-Conflict Obligations</w:t>
      </w:r>
    </w:p>
    <w:p>
      <w:pPr>
        <w:spacing w:after="60" w:before="60" w:line="280" w:lineRule="auto"/>
        <w:jc w:val="both"/>
      </w:pPr>
      <w:r>
        <w:rPr>
          <w:rFonts w:ascii="Times New Roman" w:cs="Times New Roman" w:eastAsia="Times New Roman" w:hAnsi="Times New Roman"/>
          <w:color w:val="000000"/>
          <w:sz w:val="22"/>
          <w:szCs w:val="22"/>
        </w:rPr>
        <w:t xml:space="preserve">Before any extended military engagement concludes, the Senate must approve a Transition Plan outlining the path to disengagement, including a sunset clause. Extended occupations — deployments lasting more than 10 years without a Senate-approved renewal — are unconstitutional and must be terminated within 90 days of that threshold. Inhabitants of any territory under Republic military occupation for more than one year may petition to join the Republic through the voluntary incorporation process of §13.6. The Republic may not use the prospect of Territory status as an inducement to consent to or extend a military occupation.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12.5 — Treaty-Triggered Military Obligations</w:t>
      </w:r>
    </w:p>
    <w:p>
      <w:pPr>
        <w:spacing w:after="60" w:before="60" w:line="280" w:lineRule="auto"/>
        <w:jc w:val="both"/>
      </w:pPr>
      <w:r>
        <w:rPr>
          <w:rFonts w:ascii="Times New Roman" w:cs="Times New Roman" w:eastAsia="Times New Roman" w:hAnsi="Times New Roman"/>
          <w:color w:val="000000"/>
          <w:sz w:val="22"/>
          <w:szCs w:val="22"/>
        </w:rPr>
        <w:t xml:space="preserve">When a ratified mutual defense treaty obligation is triggered by an attack on a treaty ally, the Republic's military response follows the Tier 1 through Tier 3 framework of §2.1. Treaty ratification does not bypass the authorization framework — it creates an obligation to respond, which must be fulfilled through constitutional means.</w:t>
      </w:r>
    </w:p>
    <w:p>
      <w:pPr>
        <w:spacing w:after="60" w:before="60" w:line="280" w:lineRule="auto"/>
        <w:jc w:val="both"/>
      </w:pPr>
      <w:r>
        <w:rPr>
          <w:rFonts w:ascii="Times New Roman" w:cs="Times New Roman" w:eastAsia="Times New Roman" w:hAnsi="Times New Roman"/>
          <w:b/>
          <w:bCs/>
          <w:color w:val="1B2A4A"/>
          <w:sz w:val="22"/>
          <w:szCs w:val="22"/>
        </w:rPr>
        <w:t xml:space="preserve">12.5.a Treaty Emergency Certification: </w:t>
      </w:r>
      <w:r>
        <w:rPr>
          <w:rFonts w:ascii="Times New Roman" w:cs="Times New Roman" w:eastAsia="Times New Roman" w:hAnsi="Times New Roman"/>
          <w:color w:val="000000"/>
          <w:sz w:val="22"/>
          <w:szCs w:val="22"/>
        </w:rPr>
        <w:t xml:space="preserve">When a ratified mutual defense treaty is triggered, the Prime Minister may issue a Treaty Emergency Certification of funds for treaty-obligated military operations, valid for 30 days, without prior parliamentary appropriation. This is available only where: a ratified mutual defense treaty is triggered; the President has invoked at least Tier 1 authority; and the Legislature is being convened for an emergency session. The PM must notify both chambers in writing within 12 hours of issuing the Certification. Within 14 days of issuance, the Legislative and Executive Inspectorates jointly review and publish a factual finding on whether the triggering incident is an attack on a treaty ally under the terms of the treaty. This finding is advisory and does not invalidate the Certification, but is published before the Legislature votes on ratification so the Legislature acts with full public information.</w:t>
      </w:r>
    </w:p>
    <w:p>
      <w:pPr>
        <w:spacing w:after="60" w:before="60" w:line="280" w:lineRule="auto"/>
        <w:jc w:val="both"/>
      </w:pPr>
      <w:r>
        <w:rPr>
          <w:rFonts w:ascii="Times New Roman" w:cs="Times New Roman" w:eastAsia="Times New Roman" w:hAnsi="Times New Roman"/>
          <w:b/>
          <w:bCs/>
          <w:color w:val="1B2A4A"/>
          <w:sz w:val="22"/>
          <w:szCs w:val="22"/>
        </w:rPr>
        <w:t xml:space="preserve">12.5.b Legislative Ratification: </w:t>
      </w:r>
      <w:r>
        <w:rPr>
          <w:rFonts w:ascii="Times New Roman" w:cs="Times New Roman" w:eastAsia="Times New Roman" w:hAnsi="Times New Roman"/>
          <w:color w:val="000000"/>
          <w:sz w:val="22"/>
          <w:szCs w:val="22"/>
        </w:rPr>
        <w:t xml:space="preserve">the Legislature must ratify the Treaty Emergency Certification by a simple majority of both chambers within a period the Legislature defines by statute, or the Certification expires. the Legislature may not schedule a ratification vote until the LI/EI joint review under §12.5.a has been published, or until the statutory waiting period has elapsed without publication. the Legislature may ratify before the review is published by an elevated majority the Legislature defines by statute, acknowledging it acts without the advisory review. Ratification of the Certification does not constitute a Legislative Declaration of Defense under §2.1.c; a separate Declaration is required if operations extend beyond 30 days. the Legislature must by statute establish the waiting period before ratification, the elevated majority for early ratification, and the content requirements for the ratification resolution. Constitutional Default: In the absence of a statute defining the ratification period, the Legislature may not vote on Treaty Emergency Certification ratification until the joint LI/EI review under §12.5.a has been published to the NRS, or 14 days have elapsed from the Certification filing date, whichever occurs first. This default applies automatically.</w:t>
      </w:r>
    </w:p>
    <w:p>
      <w:pPr>
        <w:spacing w:after="60" w:before="60" w:line="280" w:lineRule="auto"/>
        <w:jc w:val="both"/>
      </w:pPr>
      <w:r>
        <w:rPr>
          <w:rFonts w:ascii="Times New Roman" w:cs="Times New Roman" w:eastAsia="Times New Roman" w:hAnsi="Times New Roman"/>
          <w:b/>
          <w:bCs/>
          <w:color w:val="1B2A4A"/>
          <w:sz w:val="22"/>
          <w:szCs w:val="22"/>
        </w:rPr>
        <w:t xml:space="preserve">12.5.c No Blank Check: </w:t>
      </w:r>
      <w:r>
        <w:rPr>
          <w:rFonts w:ascii="Times New Roman" w:cs="Times New Roman" w:eastAsia="Times New Roman" w:hAnsi="Times New Roman"/>
          <w:color w:val="000000"/>
          <w:sz w:val="22"/>
          <w:szCs w:val="22"/>
        </w:rPr>
        <w:t xml:space="preserve">The Treaty Emergency Certification covers operational costs for the initial response period only. It may not be used to fund force structure changes, new weapons systems acquisition, or operations not directly connected to the specific treaty obligation that triggered it. The Executive Inspectorate audits all Treaty Emergency Certification expenditures and publishes findings within 60 days of the Certification's expiration or ratification.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12.6 — Offensive Military Operations</w:t>
      </w:r>
    </w:p>
    <w:p>
      <w:pPr>
        <w:spacing w:after="60" w:before="60" w:line="280" w:lineRule="auto"/>
        <w:jc w:val="both"/>
      </w:pPr>
      <w:r>
        <w:rPr>
          <w:rFonts w:ascii="Times New Roman" w:cs="Times New Roman" w:eastAsia="Times New Roman" w:hAnsi="Times New Roman"/>
          <w:b/>
          <w:bCs/>
          <w:color w:val="1B2A4A"/>
          <w:sz w:val="22"/>
          <w:szCs w:val="22"/>
        </w:rPr>
        <w:t xml:space="preserve">12.6.a Prohibition on Wars of Aggression: </w:t>
      </w:r>
      <w:r>
        <w:rPr>
          <w:rFonts w:ascii="Times New Roman" w:cs="Times New Roman" w:eastAsia="Times New Roman" w:hAnsi="Times New Roman"/>
          <w:color w:val="000000"/>
          <w:sz w:val="22"/>
          <w:szCs w:val="22"/>
        </w:rPr>
        <w:t xml:space="preserve">The Republic may not initiate or sustain offensive military operations for the purpose of territorial acquisition, resource extraction, political control over a foreign population, or ideological imposition. Any Legislative Declaration or executive order purporting to authorize an operation for a prohibited purpose is void. §12.1's three authorized purposes — border protection and territorial integrity, defense of treaty allies, and systemic intervention to prevent genocide or civilizational collapse — are the exhaustive grounds on which offensive operations may be authorized. Purposes not enumerated in §12.1 do not qualify.</w:t>
      </w:r>
    </w:p>
    <w:p>
      <w:pPr>
        <w:spacing w:after="60" w:before="60" w:line="280" w:lineRule="auto"/>
        <w:jc w:val="both"/>
      </w:pPr>
      <w:r>
        <w:rPr>
          <w:rFonts w:ascii="Times New Roman" w:cs="Times New Roman" w:eastAsia="Times New Roman" w:hAnsi="Times New Roman"/>
          <w:b/>
          <w:bCs/>
          <w:color w:val="1B2A4A"/>
          <w:sz w:val="22"/>
          <w:szCs w:val="22"/>
        </w:rPr>
        <w:t xml:space="preserve">12.6.b Definition — Offensive Operation: </w:t>
      </w:r>
      <w:r>
        <w:rPr>
          <w:rFonts w:ascii="Times New Roman" w:cs="Times New Roman" w:eastAsia="Times New Roman" w:hAnsi="Times New Roman"/>
          <w:color w:val="000000"/>
          <w:sz w:val="22"/>
          <w:szCs w:val="22"/>
        </w:rPr>
        <w:t xml:space="preserve">An offensive military operation is any sustained military operation in which Republic armed forces cross into foreign sovereign territory for purposes extending beyond the immediate repulsion of an active attack on Republic territory, Republic forces, or the territory of a treaty ally under §12.5. Hot-pursuit operations lasting less than 72 hours in response to an attack originating from foreign territory are not offensive operations for purposes of this section.</w:t>
      </w:r>
    </w:p>
    <w:p>
      <w:pPr>
        <w:spacing w:after="60" w:before="60" w:line="280" w:lineRule="auto"/>
        <w:jc w:val="both"/>
      </w:pPr>
      <w:r>
        <w:rPr>
          <w:rFonts w:ascii="Times New Roman" w:cs="Times New Roman" w:eastAsia="Times New Roman" w:hAnsi="Times New Roman"/>
          <w:b/>
          <w:bCs/>
          <w:color w:val="1B2A4A"/>
          <w:sz w:val="22"/>
          <w:szCs w:val="22"/>
        </w:rPr>
        <w:t xml:space="preserve">12.6.c Offensive Operations Declaration: </w:t>
      </w:r>
      <w:r>
        <w:rPr>
          <w:rFonts w:ascii="Times New Roman" w:cs="Times New Roman" w:eastAsia="Times New Roman" w:hAnsi="Times New Roman"/>
          <w:color w:val="000000"/>
          <w:sz w:val="22"/>
          <w:szCs w:val="22"/>
        </w:rPr>
        <w:t xml:space="preserve">Offensive military operations require an Offensive Operations Declaration — a Legislative Declaration passed by a 2/3 concurrent supermajority of both chambers. In addition to the requirements of §12.2.a, the Declaration must specify: (1) which of the three §12.1 purposes the operation serves, with supporting factual findings; (2) the specific foreign state or territory in which operations will be conducted and the geographic boundaries of the authorized theater; (3) the operational objectives whose achievement constitutes the primary condition for cessation; (4) the conditions under which the Republic will accept a negotiated resolution short of full operational objectives; (5) a maximum authorized duration not exceeding 3 years — shorter than the defensive war maximum of 5 years under §12.2.b, reflecting the higher constitutional burden of offensive action; and (6) a preliminary transition plan as required by §12.4, even where planning is necessarily incomplete. The Declaration is renewed every 180 days under §12.2.a. Failure to renew terminates offensive operations; Republic forces must withdraw to defensive positions within Republic or treaty-ally territory within 30 days of termination.</w:t>
      </w:r>
    </w:p>
    <w:p>
      <w:pPr>
        <w:spacing w:after="60" w:before="60" w:line="280" w:lineRule="auto"/>
        <w:jc w:val="both"/>
      </w:pPr>
      <w:r>
        <w:rPr>
          <w:rFonts w:ascii="Times New Roman" w:cs="Times New Roman" w:eastAsia="Times New Roman" w:hAnsi="Times New Roman"/>
          <w:b/>
          <w:bCs/>
          <w:color w:val="1B2A4A"/>
          <w:sz w:val="22"/>
          <w:szCs w:val="22"/>
        </w:rPr>
        <w:t xml:space="preserve">12.6.d Inspectorate Review: </w:t>
      </w:r>
      <w:r>
        <w:rPr>
          <w:rFonts w:ascii="Times New Roman" w:cs="Times New Roman" w:eastAsia="Times New Roman" w:hAnsi="Times New Roman"/>
          <w:color w:val="000000"/>
          <w:sz w:val="22"/>
          <w:szCs w:val="22"/>
        </w:rPr>
        <w:t xml:space="preserve">Within 21 days of an Offensive Operations Declaration's passage, the Legislative Inspectorate publishes a factual assessment addressing: whether the stated operational objectives are consistent with the §12.1 purpose declared; whether the geographic scope is proportionate to those objectives; and whether the preliminary transition plan is adequate under §12.4. The assessment is advisory — it does not invalidate the Declaration — but is published before the first 180-day renewal vote, ensuring the Legislature renews with full public information. Where the LI finds the declared purpose is not supported by the available factual record, that finding is published to the National Record System and transmitted to the Legislature's standing oversight committees, who may initiate proceedings within 30 days.</w:t>
      </w:r>
    </w:p>
    <w:p>
      <w:pPr>
        <w:spacing w:after="60" w:before="60" w:line="280" w:lineRule="auto"/>
        <w:jc w:val="both"/>
      </w:pPr>
      <w:r>
        <w:rPr>
          <w:rFonts w:ascii="Times New Roman" w:cs="Times New Roman" w:eastAsia="Times New Roman" w:hAnsi="Times New Roman"/>
          <w:b/>
          <w:bCs/>
          <w:color w:val="1B2A4A"/>
          <w:sz w:val="22"/>
          <w:szCs w:val="22"/>
        </w:rPr>
        <w:t xml:space="preserve">12.6.e Preemptive Operations — Interim Authority: </w:t>
      </w:r>
      <w:r>
        <w:rPr>
          <w:rFonts w:ascii="Times New Roman" w:cs="Times New Roman" w:eastAsia="Times New Roman" w:hAnsi="Times New Roman"/>
          <w:color w:val="000000"/>
          <w:sz w:val="22"/>
          <w:szCs w:val="22"/>
        </w:rPr>
        <w:t xml:space="preserve">Where the President has reasonable grounds, supported by intelligence shared in full with the Senate Armed Services Committee, to believe that a foreign state is in active preparation for an imminent attack on the Republic and the operational window for effective defensive response will close within 14 days, the President may invoke Tier 2 authority under §2.1.b for preemptive offensive operations. The Senate Armed Services Committee must convene within 24 hours of invocation. Preemptive authority under this provision lasts a maximum of 14 days. If an Offensive Operations Declaration has not been enacted within that period, all offensive operations beyond Republic territory must cease and forces must return to defensive posture. This authority may not be invoked on the basis of intelligence withheld from the Committee, and the President's intelligence certification is published to the National Record System within 48 hours of invocation.</w:t>
      </w:r>
    </w:p>
    <w:p>
      <w:pPr>
        <w:spacing w:after="60" w:before="60" w:line="280" w:lineRule="auto"/>
        <w:jc w:val="both"/>
      </w:pPr>
      <w:r>
        <w:rPr>
          <w:rFonts w:ascii="Times New Roman" w:cs="Times New Roman" w:eastAsia="Times New Roman" w:hAnsi="Times New Roman"/>
          <w:b/>
          <w:bCs/>
          <w:color w:val="1B2A4A"/>
          <w:sz w:val="22"/>
          <w:szCs w:val="22"/>
        </w:rPr>
        <w:t xml:space="preserve">12.6.f NRS Accountability: </w:t>
      </w:r>
      <w:r>
        <w:rPr>
          <w:rFonts w:ascii="Times New Roman" w:cs="Times New Roman" w:eastAsia="Times New Roman" w:hAnsi="Times New Roman"/>
          <w:color w:val="000000"/>
          <w:sz w:val="22"/>
          <w:szCs w:val="22"/>
        </w:rPr>
        <w:t xml:space="preserve">All Offensive Operations Declarations, fund certifications, 180-day renewal votes, operational objective assessments, stand-down orders, and transition plan submissions are published to the National Record System within 24 hours of their occurrence. The Executive Inspectorate's annual military constitutional compliance assessment includes a dedicated section on offensive operations: whether ongoing operations are conducted within the declared geographic scope; whether fund certifications correspond to authorized operational purposes; and whether the non-aggression prohibition of §12.6.a is being observed. Any EI finding that operations have exceeded their authorized scope or purpose constitutes a published to the National Record System by the relevant Inspectorate.</w:t>
      </w:r>
    </w:p>
    <w:p>
      <w:pPr>
        <w:spacing w:after="60" w:before="60" w:line="280" w:lineRule="auto"/>
        <w:jc w:val="both"/>
      </w:pPr>
      <w:r>
        <w:rPr>
          <w:rFonts w:ascii="Times New Roman" w:cs="Times New Roman" w:eastAsia="Times New Roman" w:hAnsi="Times New Roman"/>
          <w:b/>
          <w:bCs/>
          <w:color w:val="1B2A4A"/>
          <w:sz w:val="22"/>
          <w:szCs w:val="22"/>
        </w:rPr>
        <w:t xml:space="preserve">12.6.g Relationship to §12.1: </w:t>
      </w:r>
      <w:r>
        <w:rPr>
          <w:rFonts w:ascii="Times New Roman" w:cs="Times New Roman" w:eastAsia="Times New Roman" w:hAnsi="Times New Roman"/>
          <w:color w:val="000000"/>
          <w:sz w:val="22"/>
          <w:szCs w:val="22"/>
        </w:rPr>
        <w:t xml:space="preserve">§12.1's three authorized purposes define the substantive grounds for military force; §12.6 defines the procedural authorization required when those purposes require offensive operations in foreign territory. A Legislature may not invoke §12.1's purposes to authorize offensive operations without the specific findings and enhanced threshold of §12.6.c — the purpose authorization and the operational authorization are both constitutionally required. §12.1 is amended to add at its conclusion: Where §12.1 purposes require offensive military operations as defined in §12.6.b, the authorization mechanism of §12.6 applies.</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XIII — NATIONAL EXPANSION AND STATE DEVOLUTION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13.1 — Territorial Compact</w:t>
      </w:r>
    </w:p>
    <w:p>
      <w:pPr>
        <w:spacing w:after="60" w:before="60" w:line="280" w:lineRule="auto"/>
        <w:jc w:val="both"/>
      </w:pPr>
      <w:r>
        <w:rPr>
          <w:rFonts w:ascii="Times New Roman" w:cs="Times New Roman" w:eastAsia="Times New Roman" w:hAnsi="Times New Roman"/>
          <w:color w:val="000000"/>
          <w:sz w:val="22"/>
          <w:szCs w:val="22"/>
        </w:rPr>
        <w:t xml:space="preserve">Territories hold all Individual Sovereignty Floor (Article I) rights. A population seeking Territory status petitions the Senate, which votes by simple majority. Article I protections are immediate upon petition filing regardless of the vote outcome. Tax treatment and Basic Needs Floor eligibility during Territory status depend on how Territory status was acquired: new territories seeking initial entry are exempt from federal income tax and ineligible for Basic Needs Floor distributions until Statehood; mandatory and voluntary devolution territories retain BNF distributions and pay federal income tax at a reduced rate the Legislature defines by statute, as provided in §13.3.d and §13.4.d respectively.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13.2 — Requirements for Statehood</w:t>
      </w:r>
    </w:p>
    <w:p>
      <w:pPr>
        <w:spacing w:after="60" w:before="60" w:line="280" w:lineRule="auto"/>
        <w:jc w:val="both"/>
      </w:pPr>
      <w:r>
        <w:rPr>
          <w:rFonts w:ascii="Times New Roman" w:cs="Times New Roman" w:eastAsia="Times New Roman" w:hAnsi="Times New Roman"/>
          <w:color w:val="000000"/>
          <w:sz w:val="22"/>
          <w:szCs w:val="22"/>
        </w:rPr>
        <w:t xml:space="preserve">A territory seeking Statehood must pass a comprehensive Statehood Audit conducted by the Inspectorates, verifying the following criteria:</w:t>
      </w:r>
    </w:p>
    <w:p>
      <w:pPr>
        <w:spacing w:after="60" w:before="60" w:line="280" w:lineRule="auto"/>
        <w:jc w:val="both"/>
      </w:pPr>
      <w:r>
        <w:rPr>
          <w:rFonts w:ascii="Times New Roman" w:cs="Times New Roman" w:eastAsia="Times New Roman" w:hAnsi="Times New Roman"/>
          <w:b/>
          <w:bCs/>
          <w:color w:val="1B2A4A"/>
          <w:sz w:val="22"/>
          <w:szCs w:val="22"/>
        </w:rPr>
        <w:t xml:space="preserve">13.2.a Fiscal Integrity: </w:t>
      </w:r>
      <w:r>
        <w:rPr>
          <w:rFonts w:ascii="Times New Roman" w:cs="Times New Roman" w:eastAsia="Times New Roman" w:hAnsi="Times New Roman"/>
          <w:color w:val="000000"/>
          <w:sz w:val="22"/>
          <w:szCs w:val="22"/>
        </w:rPr>
        <w:t xml:space="preserve">Infrastructure capable of connecting to the National Record System and a projected revenue ratio demonstrating the Territory can sustain its fiscal obligations without requiring federal assistance beyond the Basic Needs Floor. The Monetary Authority certifies whether the revenue ratio meets this standard as part of the Statehood Audit and publishes its assessment to the NRS.</w:t>
      </w:r>
    </w:p>
    <w:p>
      <w:pPr>
        <w:spacing w:after="60" w:before="60" w:line="280" w:lineRule="auto"/>
        <w:jc w:val="both"/>
      </w:pPr>
      <w:r>
        <w:rPr>
          <w:rFonts w:ascii="Times New Roman" w:cs="Times New Roman" w:eastAsia="Times New Roman" w:hAnsi="Times New Roman"/>
          <w:b/>
          <w:bCs/>
          <w:color w:val="1B2A4A"/>
          <w:sz w:val="22"/>
          <w:szCs w:val="22"/>
        </w:rPr>
        <w:t xml:space="preserve">13.2.b Legal Sync: </w:t>
      </w:r>
      <w:r>
        <w:rPr>
          <w:rFonts w:ascii="Times New Roman" w:cs="Times New Roman" w:eastAsia="Times New Roman" w:hAnsi="Times New Roman"/>
          <w:color w:val="000000"/>
          <w:sz w:val="22"/>
          <w:szCs w:val="22"/>
        </w:rPr>
        <w:t xml:space="preserve">All local statutes must be audited for compliance with the Fundamental Rights of Article I. The Legislative Inspectorate conducts this audit and publishes its findings to the National Record System before the Provisional Membership Period may begin.</w:t>
      </w:r>
    </w:p>
    <w:p>
      <w:pPr>
        <w:spacing w:after="60" w:before="60" w:line="280" w:lineRule="auto"/>
        <w:jc w:val="both"/>
      </w:pPr>
      <w:r>
        <w:rPr>
          <w:rFonts w:ascii="Times New Roman" w:cs="Times New Roman" w:eastAsia="Times New Roman" w:hAnsi="Times New Roman"/>
          <w:b/>
          <w:bCs/>
          <w:color w:val="1B2A4A"/>
          <w:sz w:val="22"/>
          <w:szCs w:val="22"/>
        </w:rPr>
        <w:t xml:space="preserve">13.2.c The Provisional Membership Period: </w:t>
      </w:r>
      <w:r>
        <w:rPr>
          <w:rFonts w:ascii="Times New Roman" w:cs="Times New Roman" w:eastAsia="Times New Roman" w:hAnsi="Times New Roman"/>
          <w:color w:val="000000"/>
          <w:sz w:val="22"/>
          <w:szCs w:val="22"/>
        </w:rPr>
        <w:t xml:space="preserve">Upon passing the Statehood Audit, the territory enters a Provisional Membership Period — the duration set by the Legislature by statute, not to exceed 900 days — with full House representation but without Senate seats or participation in constitutional amendment votes. Statehood is automatic at the end of the period upon a clean audit. No parliamentary vote is required. Acceleration: if the territory passes a clean Statehood Audit before the statutory period expires — demonstrating that both criteria of §13.2.a and §13.2.b are met on the earlier date — the Legislative Inspectorate may certify early Statehood upon the territory's application. The minimum Provisional Membership Period is 365 days; no territory may achieve accelerated Statehood before one year regardless of audit results.</w:t>
      </w:r>
    </w:p>
    <w:p>
      <w:pPr>
        <w:spacing w:after="60" w:before="60" w:line="280" w:lineRule="auto"/>
        <w:jc w:val="both"/>
      </w:pPr>
      <w:r>
        <w:rPr>
          <w:rFonts w:ascii="Times New Roman" w:cs="Times New Roman" w:eastAsia="Times New Roman" w:hAnsi="Times New Roman"/>
          <w:b/>
          <w:bCs/>
          <w:color w:val="1B2A4A"/>
          <w:sz w:val="22"/>
          <w:szCs w:val="22"/>
        </w:rPr>
        <w:t xml:space="preserve">13.2.d Partial Territory Statehood: </w:t>
      </w:r>
      <w:r>
        <w:rPr>
          <w:rFonts w:ascii="Times New Roman" w:cs="Times New Roman" w:eastAsia="Times New Roman" w:hAnsi="Times New Roman"/>
          <w:color w:val="000000"/>
          <w:sz w:val="22"/>
          <w:szCs w:val="22"/>
        </w:rPr>
        <w:t xml:space="preserve">A defined geographic subdivision of an existing Territory — including a Territory created by State Devolution under §13.3 — may petition for Statehood independently of the remainder of that Territory, subject to the following requirements. First, the petitioning subdivision must itself meet both Statehood Audit criteria of §13.2.a through §13.2.b when assessed as a standalone entity. Second, at least 60% of eligible voters within the proposed subdivision must affirmatively support the petition, as verified by NVS referendum. Third, the Domestic Affairs Council must certify that the remaining territory retains viable governance capacity — meaning sufficient population, fiscal resources, and administrative infrastructure to sustain basic government functions and continue pursuing Statehood independently. Fourth, the Legislative Inspectorate must certify that the proposed subdivision's boundaries are geographically contiguous and administratively coherent — they must correspond to existing county, municipal, or natural boundaries rather than being drawn to capture favorable demographics. Fifth, the subdivision of a territory may not leave the remaining territory below the population threshold required to maintain at least one House seat under §3.1.b. The remaining territory retains all Article I rights, all Basic Needs Floor protections, and continues under PM domestic oversight and LI compliance review, pursuing its own path to Statehood. The partial petition process follows the standard Statehood Audit and Provisional Membership Period; the original territory's audit failures do not transfer to the petitioning subdivision if that subdivision meets the criteria independently. Conditional viability certification: the LI may certify viability conditionally where specific, time-limited measures must support the remaining territory through the transition. A conditional certification is valid and satisfies the third requirement of this section; the conditions must be published to the National Record System and their fulfillment is audited annually LI audit. Legislative review of the conditions is triggered only if the petitioning subdivision formally contests them within 14 days of publication, not by objection from the remaining territory alone.</w:t>
      </w:r>
    </w:p>
    <w:p>
      <w:pPr>
        <w:spacing w:after="60" w:before="60" w:line="280" w:lineRule="auto"/>
        <w:jc w:val="both"/>
      </w:pPr>
      <w:r>
        <w:rPr>
          <w:rFonts w:ascii="Times New Roman" w:cs="Times New Roman" w:eastAsia="Times New Roman" w:hAnsi="Times New Roman"/>
          <w:b/>
          <w:bCs/>
          <w:color w:val="1B2A4A"/>
          <w:sz w:val="22"/>
          <w:szCs w:val="22"/>
        </w:rPr>
        <w:t xml:space="preserve">13.2.e Minimum Democratic Legitimacy: </w:t>
      </w:r>
      <w:r>
        <w:rPr>
          <w:rFonts w:ascii="Times New Roman" w:cs="Times New Roman" w:eastAsia="Times New Roman" w:hAnsi="Times New Roman"/>
          <w:color w:val="000000"/>
          <w:sz w:val="22"/>
          <w:szCs w:val="22"/>
        </w:rPr>
        <w:t xml:space="preserve">Every State must functionally maintain three conditions, assessed through the annual Statehood Audit: (1) Electoral Accountability — legislative and executive authority derived from citizens through elections the Electoral Commission certifies as technically free and fair, and that the Legislative Inspectorate assesses as conducted under conditions of genuine political competition — including candidate access, campaigning freedom, district structure, and press freedom in electoral contexts. The EC certifies technical electoral integrity; the LI assesses the political conditions that make that integrity meaningful. Both assessments are required. (2) Judicial Independence — an institutional judicial function structurally separate from the executive, accessible to citizens for challenging executive action, with tenure protection adequate to permit rulings against the executive without institutional retaliation. The LI assesses both current judicial structure and changes to judicial tenure or composition made in the prior audit period. (3) Public Law — governance through published, accessible law rather than discretionary executive action alone; retroactive publication does not satisfy this requirement; the standard applies during State-level emergencies without exception. Failure on any condition triggers Early Warning on the same timeline as fiscal failure under §13.3.b. These requirements apply to State governance within the State's own jurisdiction. Within indigenous territories operating under Article XIV compacts or §19.1 accommodation compacts, the indigenous nation's governance structure governs internal affairs. The State is not required to impose these requirements on indigenous governance structures within its territory, and may not claim the indigenous carve-out for its own institutions operating within indigenous territory.</w:t>
      </w:r>
    </w:p>
    <w:p>
      <w:pPr>
        <w:spacing w:after="60" w:before="60" w:line="280" w:lineRule="auto"/>
        <w:jc w:val="both"/>
      </w:pPr>
      <w:r>
        <w:rPr>
          <w:rFonts w:ascii="Times New Roman" w:cs="Times New Roman" w:eastAsia="Times New Roman" w:hAnsi="Times New Roman"/>
          <w:b/>
          <w:bCs/>
          <w:color w:val="1B2A4A"/>
          <w:sz w:val="22"/>
          <w:szCs w:val="22"/>
        </w:rPr>
        <w:t xml:space="preserve">13.2.f Territorial Minimum Institutional Floor: </w:t>
      </w:r>
      <w:r>
        <w:rPr>
          <w:rFonts w:ascii="Times New Roman" w:cs="Times New Roman" w:eastAsia="Times New Roman" w:hAnsi="Times New Roman"/>
          <w:color w:val="000000"/>
          <w:sz w:val="22"/>
          <w:szCs w:val="22"/>
        </w:rPr>
        <w:t xml:space="preserve">Every Territory must maintain: (1) a governance council with defined membership and published authority; (2) resident access to federal judicial review of executive action; and (3) direct enforcement of Article I rights for all Territorial residents by federal courts where no Territorial judicial structure yet exists. These requirements apply during the Territory period and are assessed annually by the Legislative Inspectorate. Failure to maintain the minimum floor triggers the Early Warning mechanism under §13.3.b adapted for the Territory context. These requirements do not apply to Associated Communities, which are governed by their compact terms.</w:t>
      </w:r>
    </w:p>
    <w:p>
      <w:pPr>
        <w:spacing w:after="60" w:before="60" w:line="280" w:lineRule="auto"/>
        <w:jc w:val="both"/>
      </w:pPr>
      <w:r>
        <w:rPr>
          <w:rFonts w:ascii="Times New Roman" w:cs="Times New Roman" w:eastAsia="Times New Roman" w:hAnsi="Times New Roman"/>
          <w:b/>
          <w:bCs/>
          <w:color w:val="1B2A4A"/>
          <w:sz w:val="22"/>
          <w:szCs w:val="22"/>
        </w:rPr>
        <w:t xml:space="preserve">13.2.g Conflict-Affected State Provisional Status: </w:t>
      </w:r>
      <w:r>
        <w:rPr>
          <w:rFonts w:ascii="Times New Roman" w:cs="Times New Roman" w:eastAsia="Times New Roman" w:hAnsi="Times New Roman"/>
          <w:color w:val="000000"/>
          <w:sz w:val="22"/>
          <w:szCs w:val="22"/>
        </w:rPr>
        <w:t xml:space="preserve">Where the Legislative Inspectorate certifies that active conflict or security conditions prevent completion of the annual Statehood Audit in a significant portion of a State's territory through circumstances materially beyond the State government's control, the State is granted provisional status for that audit cycle.</w:t>
      </w:r>
    </w:p>
    <w:p>
      <w:pPr>
        <w:spacing w:after="60" w:before="60" w:line="280" w:lineRule="auto"/>
        <w:jc w:val="both"/>
      </w:pPr>
      <w:r>
        <w:rPr>
          <w:rFonts w:ascii="Times New Roman" w:cs="Times New Roman" w:eastAsia="Times New Roman" w:hAnsi="Times New Roman"/>
          <w:color w:val="000000"/>
          <w:sz w:val="22"/>
          <w:szCs w:val="22"/>
        </w:rPr>
        <w:t xml:space="preserve">Definition — 'Significant Portion': For this provision, significant portion means territory containing more than 25% of the State's population or territory in which State-level fiscal operations cannot be verified from accessible areas. Where conflict affects less than a significant portion, the Statehood Audit proceeds on available evidence with geographic limitations noted in the findings. Provisional status preserves State constitutional standing, BNF protections, and federal support obligations pending security normalisation. Provisional status is not counted as an audit failure for purposes of Section 13.3.a's consecutive failure trigger. The Inspectorate reviews provisional status annually.</w:t>
      </w:r>
    </w:p>
    <w:p>
      <w:pPr>
        <w:spacing w:after="60" w:before="60" w:line="280" w:lineRule="auto"/>
        <w:jc w:val="both"/>
      </w:pPr>
      <w:r>
        <w:rPr>
          <w:rFonts w:ascii="Times New Roman" w:cs="Times New Roman" w:eastAsia="Times New Roman" w:hAnsi="Times New Roman"/>
          <w:b/>
          <w:bCs/>
          <w:color w:val="1B2A4A"/>
          <w:sz w:val="22"/>
          <w:szCs w:val="22"/>
        </w:rPr>
        <w:t xml:space="preserve">Governance Contribution Standard: </w:t>
      </w:r>
      <w:r>
        <w:rPr>
          <w:rFonts w:ascii="Times New Roman" w:cs="Times New Roman" w:eastAsia="Times New Roman" w:hAnsi="Times New Roman"/>
          <w:color w:val="000000"/>
          <w:sz w:val="22"/>
          <w:szCs w:val="22"/>
        </w:rPr>
        <w:t xml:space="preserve">The governance contribution standard is materially contributed or failed to take reasonable steps to prevent — a State government that knew or should have known about conditions producing conflict and took no reasonable action to prevent or disrupt those conditions fails this standard even where direct contribution cannot be established. Where the joint assessment of all three Inspectorates finds that State governance failures meet this standard, provisional status is not available and the audit proceeds on available evidence.</w:t>
      </w:r>
    </w:p>
    <w:p>
      <w:pPr>
        <w:spacing w:after="60" w:before="60" w:line="280" w:lineRule="auto"/>
        <w:jc w:val="both"/>
      </w:pPr>
      <w:r>
        <w:rPr>
          <w:rFonts w:ascii="Times New Roman" w:cs="Times New Roman" w:eastAsia="Times New Roman" w:hAnsi="Times New Roman"/>
          <w:b/>
          <w:bCs/>
          <w:color w:val="1B2A4A"/>
          <w:sz w:val="22"/>
          <w:szCs w:val="22"/>
        </w:rPr>
        <w:t xml:space="preserve">Certification Requirements: </w:t>
      </w:r>
      <w:r>
        <w:rPr>
          <w:rFonts w:ascii="Times New Roman" w:cs="Times New Roman" w:eastAsia="Times New Roman" w:hAnsi="Times New Roman"/>
          <w:color w:val="000000"/>
          <w:sz w:val="22"/>
          <w:szCs w:val="22"/>
        </w:rPr>
        <w:t xml:space="preserve">Provisional status certification requires a joint assessment by all three Inspectorates; no single Inspectorate's finding is sufficient to grant or deny provisional status.</w:t>
      </w:r>
    </w:p>
    <w:p>
      <w:pPr>
        <w:spacing w:after="60" w:before="60" w:line="280" w:lineRule="auto"/>
        <w:jc w:val="both"/>
      </w:pPr>
      <w:r>
        <w:rPr>
          <w:rFonts w:ascii="Times New Roman" w:cs="Times New Roman" w:eastAsia="Times New Roman" w:hAnsi="Times New Roman"/>
          <w:b/>
          <w:bCs/>
          <w:color w:val="1B2A4A"/>
          <w:sz w:val="22"/>
          <w:szCs w:val="22"/>
        </w:rPr>
        <w:t xml:space="preserve">Prior Provisional Status — Renewal Conditions: </w:t>
      </w:r>
      <w:r>
        <w:rPr>
          <w:rFonts w:ascii="Times New Roman" w:cs="Times New Roman" w:eastAsia="Times New Roman" w:hAnsi="Times New Roman"/>
          <w:color w:val="000000"/>
          <w:sz w:val="22"/>
          <w:szCs w:val="22"/>
        </w:rPr>
        <w:t xml:space="preserve">Where a State has previously held provisional status, a new petition requires the joint Inspectorate assessment to certify both that the new conflict is genuinely distinct from the prior episode and that the State has passed at least one complete Statehood Audit cycle since the prior provisional status ended.</w:t>
      </w:r>
    </w:p>
    <w:p>
      <w:pPr>
        <w:spacing w:after="60" w:before="60" w:line="280" w:lineRule="auto"/>
        <w:jc w:val="both"/>
      </w:pPr>
      <w:r>
        <w:rPr>
          <w:rFonts w:ascii="Times New Roman" w:cs="Times New Roman" w:eastAsia="Times New Roman" w:hAnsi="Times New Roman"/>
          <w:b/>
          <w:bCs/>
          <w:color w:val="1B2A4A"/>
          <w:sz w:val="22"/>
          <w:szCs w:val="22"/>
        </w:rPr>
        <w:t xml:space="preserve">Maximum Provisional Period and Default Mechanism: </w:t>
      </w:r>
      <w:r>
        <w:rPr>
          <w:rFonts w:ascii="Times New Roman" w:cs="Times New Roman" w:eastAsia="Times New Roman" w:hAnsi="Times New Roman"/>
          <w:color w:val="000000"/>
          <w:sz w:val="22"/>
          <w:szCs w:val="22"/>
        </w:rPr>
        <w:t xml:space="preserve">Provisional status may not continue indefinitely; the Legislature must by statute define the maximum provisional period, not to exceed five years, after which an alternative resolution mechanism activates. Where the Legislature has not enacted an alternative resolution statute within the maximum provisional period, a default mechanism activates automatically: the State is placed under joint federal-State administration within the PM's domestic domain, with full State constitutional rights preserved and State executive functions supervised by a joint commission until security conditions allow audit completion or the Legislature enacts a specific alternative mechanism. Joint administration is not devolution — it preserves the State's constitutional status while ensuring its functions are performed.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13.3 — Mandatory State Devolution</w:t>
      </w:r>
    </w:p>
    <w:p>
      <w:pPr>
        <w:spacing w:after="60" w:before="60" w:line="280" w:lineRule="auto"/>
        <w:jc w:val="both"/>
      </w:pPr>
      <w:r>
        <w:rPr>
          <w:rFonts w:ascii="Times New Roman" w:cs="Times New Roman" w:eastAsia="Times New Roman" w:hAnsi="Times New Roman"/>
          <w:color w:val="000000"/>
          <w:sz w:val="22"/>
          <w:szCs w:val="22"/>
        </w:rPr>
        <w:t xml:space="preserve">Mandatory devolution is a remedial process — it applies to States that have failed to meet the Republic's minimum governance standards over a sustained period and need a structured path to restructure their relationship with the federal government. It is not punishment; it is a constitutional alternative to indefinite dysfunction. The path back to full Statehood is always available.</w:t>
      </w:r>
    </w:p>
    <w:p>
      <w:pPr>
        <w:spacing w:after="60" w:before="60" w:line="280" w:lineRule="auto"/>
        <w:jc w:val="both"/>
      </w:pPr>
      <w:r>
        <w:rPr>
          <w:rFonts w:ascii="Times New Roman" w:cs="Times New Roman" w:eastAsia="Times New Roman" w:hAnsi="Times New Roman"/>
          <w:b/>
          <w:bCs/>
          <w:color w:val="1B2A4A"/>
          <w:sz w:val="22"/>
          <w:szCs w:val="22"/>
        </w:rPr>
        <w:t xml:space="preserve">13.3.a Devolution Triggers: </w:t>
      </w:r>
      <w:r>
        <w:rPr>
          <w:rFonts w:ascii="Times New Roman" w:cs="Times New Roman" w:eastAsia="Times New Roman" w:hAnsi="Times New Roman"/>
          <w:color w:val="000000"/>
          <w:sz w:val="22"/>
          <w:szCs w:val="22"/>
        </w:rPr>
        <w:t xml:space="preserve">A State enters Mandatory Devolution if it fails the annual Statehood Audit for three consecutive years. Consecutive means the countdown resets to zero if the State passes its audit in any intervening year. Triggers include: chronic fiscal insolvency; verified failure to enforce Article I protections; or a verified pattern of State executive non-enforcement of federal constitutional law. A pattern of non-enforcement is established by three or more documented incidents of a State executive branch refusing to apply or enforce federal constitutional obligations within any 12-month period, certified by the Executive Inspectorate through its standard factual-finding process. Each incident need not individually constitute a constitutional violation; the pattern as a whole must demonstrate a systemic executive posture of defiance rather than isolated administrative error.</w:t>
      </w:r>
    </w:p>
    <w:p>
      <w:pPr>
        <w:spacing w:after="60" w:before="60" w:line="280" w:lineRule="auto"/>
        <w:jc w:val="both"/>
      </w:pPr>
      <w:r>
        <w:rPr>
          <w:rFonts w:ascii="Times New Roman" w:cs="Times New Roman" w:eastAsia="Times New Roman" w:hAnsi="Times New Roman"/>
          <w:b/>
          <w:bCs/>
          <w:color w:val="1B2A4A"/>
          <w:sz w:val="22"/>
          <w:szCs w:val="22"/>
        </w:rPr>
        <w:t xml:space="preserve">13.3.b Early Warning — Years 1 and 2: </w:t>
      </w:r>
      <w:r>
        <w:rPr>
          <w:rFonts w:ascii="Times New Roman" w:cs="Times New Roman" w:eastAsia="Times New Roman" w:hAnsi="Times New Roman"/>
          <w:color w:val="000000"/>
          <w:sz w:val="22"/>
          <w:szCs w:val="22"/>
        </w:rPr>
        <w:t xml:space="preserve">Upon a first consecutive audit failure, the Legislative Inspectorate publishes an Early Warning Report to the National Record System, distributed to all eligible voters within that State. The State government and the Domestic Affairs Council must jointly publish a Remediation Plan addressing each audit failure within a period defined by House statute. The Legislative Inspectorate reviews the Plan and publishes a factual finding on its adequacy. If the LI finds the Plan inadequate and the Prime Minister takes no action within a period defined by House statute, withholding of discretionary federal grants and transfers activates automatically. Basic Needs Floor distributions to State residents may not be withheld under any circumstance — the Monetary Authority determines which appropriations constitute Basic Needs Floor funding and publishes that classification. Upon a second consecutive failure, withholding continues until the LI determines sufficient improvement.</w:t>
      </w:r>
    </w:p>
    <w:p>
      <w:pPr>
        <w:spacing w:after="60" w:before="60" w:line="280" w:lineRule="auto"/>
        <w:jc w:val="both"/>
      </w:pPr>
      <w:r>
        <w:rPr>
          <w:rFonts w:ascii="Times New Roman" w:cs="Times New Roman" w:eastAsia="Times New Roman" w:hAnsi="Times New Roman"/>
          <w:b/>
          <w:bCs/>
          <w:color w:val="1B2A4A"/>
          <w:sz w:val="22"/>
          <w:szCs w:val="22"/>
        </w:rPr>
        <w:t xml:space="preserve">13.3.c Devolution Vote — Year 3: </w:t>
      </w:r>
      <w:r>
        <w:rPr>
          <w:rFonts w:ascii="Times New Roman" w:cs="Times New Roman" w:eastAsia="Times New Roman" w:hAnsi="Times New Roman"/>
          <w:color w:val="000000"/>
          <w:sz w:val="22"/>
          <w:szCs w:val="22"/>
        </w:rPr>
        <w:t xml:space="preserve">Upon the third consecutive failure, the Senate votes on a Motion of Devolution requiring a 3/4 supermajority of the full Senate membership — not merely those present on the day of the vote.</w:t>
      </w:r>
    </w:p>
    <w:p>
      <w:pPr>
        <w:spacing w:after="60" w:before="60" w:line="280" w:lineRule="auto"/>
        <w:jc w:val="both"/>
      </w:pPr>
      <w:r>
        <w:rPr>
          <w:rFonts w:ascii="Times New Roman" w:cs="Times New Roman" w:eastAsia="Times New Roman" w:hAnsi="Times New Roman"/>
          <w:b/>
          <w:bCs/>
          <w:color w:val="1B2A4A"/>
          <w:sz w:val="22"/>
          <w:szCs w:val="22"/>
        </w:rPr>
        <w:t xml:space="preserve">13.3.d Effect of Mandatory Devolution: </w:t>
      </w:r>
      <w:r>
        <w:rPr>
          <w:rFonts w:ascii="Times New Roman" w:cs="Times New Roman" w:eastAsia="Times New Roman" w:hAnsi="Times New Roman"/>
          <w:color w:val="000000"/>
          <w:sz w:val="22"/>
          <w:szCs w:val="22"/>
        </w:rPr>
        <w:t xml:space="preserve">A devolved State loses its Senate seats on the date the Senate Motion of Devolution takes effect and returns to administrative oversight of the Domestic Affairs Council. The following consequences apply immediately and remain in effect throughout the Territory period: (1) Legislative representation — the two Senate seats are vacated with no special election; existing House members continue their terms; (2) House reapportionment — House seats are recalculated based on population under §3.1.b at the next census cycle; the Territory retains current House representation until then; (3) Taxation — the Territory is exempt from federal income tax throughout the mandatory Territory period, effective at the start of the next fiscal year; this exemption is remedial and expires automatically when the Territory passes the Statehood Audit and enters the Provisional Membership Period, at which point federal income tax obligations resume at the standard rate; (4) Basic Needs Floor — distributions to Territory residents continue without interruption under §13.3.b and §13.1 as applicable; (5) Article I rights — all Individual Sovereignty Floor protections remain fully in force and are enforced by federal courts with no reduction in scope; (6) State-level governance — elected officials continue their terms and govern under State law; the Domestic Affairs Council exercises oversight without replacing State government; Article I-compliant State laws remain operative; (7) Statehood Audit — the LI assesses the Territory annually; criteria are measured from the current baseline, not the failed-State baseline; (8) Path to restoration — full Statehood is restored automatically upon passing the Statehood Audit and completing the Provisional Membership Period; the process follows §13.2 without additional parliamentary vote. No additional powers may be stripped from the Territory beyond those listed above.</w:t>
      </w:r>
    </w:p>
    <w:p>
      <w:pPr>
        <w:spacing w:after="60" w:before="60" w:line="280" w:lineRule="auto"/>
        <w:jc w:val="both"/>
      </w:pPr>
      <w:r>
        <w:rPr>
          <w:rFonts w:ascii="Times New Roman" w:cs="Times New Roman" w:eastAsia="Times New Roman" w:hAnsi="Times New Roman"/>
          <w:b/>
          <w:bCs/>
          <w:color w:val="1B2A4A"/>
          <w:sz w:val="22"/>
          <w:szCs w:val="22"/>
        </w:rPr>
        <w:t xml:space="preserve">13.3.e Constitutional Challenge to Devolution: </w:t>
      </w:r>
      <w:r>
        <w:rPr>
          <w:rFonts w:ascii="Times New Roman" w:cs="Times New Roman" w:eastAsia="Times New Roman" w:hAnsi="Times New Roman"/>
          <w:color w:val="000000"/>
          <w:sz w:val="22"/>
          <w:szCs w:val="22"/>
        </w:rPr>
        <w:t xml:space="preserve">Within 30 days of a Senate Devolution vote, the affected State may petition the Supreme Court for expedited review on a single, narrow ground: whether the Legislative Inspectorate's published audit findings, as a factual matter, meet the constitutional trigger standards of §13.3.a. The Court reviews the factual basis of the audit findings — not the Senate's political judgment, not the policy merits of Devolution, and not the State's economic circumstances. The Court may overturn a Devolution vote only if it finds, by clear and convincing evidence, that the LI's findings are factually insufficient to establish one or more of the three triggers. A finding that the triggers were correctly established but that the State disagrees with the outcome is not grounds for reversal. The petition does not stay the Senate vote or delay Devolution unless the Court orders a temporary stay pending its ruling. The Court must rule within 14 days of the petition being filed.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13.4 — Voluntary Devolution</w:t>
      </w:r>
    </w:p>
    <w:p>
      <w:pPr>
        <w:spacing w:after="60" w:before="60" w:line="280" w:lineRule="auto"/>
        <w:jc w:val="both"/>
      </w:pPr>
      <w:r>
        <w:rPr>
          <w:rFonts w:ascii="Times New Roman" w:cs="Times New Roman" w:eastAsia="Times New Roman" w:hAnsi="Times New Roman"/>
          <w:color w:val="000000"/>
          <w:sz w:val="22"/>
          <w:szCs w:val="22"/>
        </w:rPr>
        <w:t xml:space="preserve">Voluntary devolution is a political process — it applies to States whose citizens have freely chosen a different constitutional relationship with the Republic. It is not failure or remediation; it is a constitutionally legitimate alternative to full Statehood, available when a sustained supermajority of long-tenured residents prefer it. The Republic acknowledges that a unified federal system benefits from flexibility: states with genuinely different interests, fiscal circumstances, or political cultures may find Territory status a better fit than Statehood at certain points in their history. The path back to full Statehood is always available, and the voluntary choice to devolve carries no stigma in this Constitution.</w:t>
      </w:r>
    </w:p>
    <w:p>
      <w:pPr>
        <w:spacing w:after="60" w:before="60" w:line="280" w:lineRule="auto"/>
        <w:jc w:val="both"/>
      </w:pPr>
      <w:r>
        <w:rPr>
          <w:rFonts w:ascii="Times New Roman" w:cs="Times New Roman" w:eastAsia="Times New Roman" w:hAnsi="Times New Roman"/>
          <w:b/>
          <w:bCs/>
          <w:color w:val="1B2A4A"/>
          <w:sz w:val="22"/>
          <w:szCs w:val="22"/>
        </w:rPr>
        <w:t xml:space="preserve">13.4.a Voluntary Devolution Vote: </w:t>
      </w:r>
      <w:r>
        <w:rPr>
          <w:rFonts w:ascii="Times New Roman" w:cs="Times New Roman" w:eastAsia="Times New Roman" w:hAnsi="Times New Roman"/>
          <w:color w:val="000000"/>
          <w:sz w:val="22"/>
          <w:szCs w:val="22"/>
        </w:rPr>
        <w:t xml:space="preserve">A State may voluntarily return to Territory status by a two-thirds vote of residents who have held a Citizen Voting Credential for a minimum of 10 years. This threshold reflects the seriousness of the choice — voluntary devolution changes the State's constitutional relationship with the Republic and must represent a genuine, durable supermajority preference, not a momentary political majority. The vote is conducted through the National Voting System and certified by the Electoral Commission.</w:t>
      </w:r>
    </w:p>
    <w:p>
      <w:pPr>
        <w:spacing w:after="60" w:before="60" w:line="280" w:lineRule="auto"/>
        <w:jc w:val="both"/>
      </w:pPr>
      <w:r>
        <w:rPr>
          <w:rFonts w:ascii="Times New Roman" w:cs="Times New Roman" w:eastAsia="Times New Roman" w:hAnsi="Times New Roman"/>
          <w:b/>
          <w:bCs/>
          <w:color w:val="1B2A4A"/>
          <w:sz w:val="22"/>
          <w:szCs w:val="22"/>
        </w:rPr>
        <w:t xml:space="preserve">13.4.b Fiscal Transparency Requirement: </w:t>
      </w:r>
      <w:r>
        <w:rPr>
          <w:rFonts w:ascii="Times New Roman" w:cs="Times New Roman" w:eastAsia="Times New Roman" w:hAnsi="Times New Roman"/>
          <w:color w:val="000000"/>
          <w:sz w:val="22"/>
          <w:szCs w:val="22"/>
        </w:rPr>
        <w:t xml:space="preserve">Before a voluntary devolution vote may be held, the Monetary Authority must publish a Fiscal Incidence Study for the proposing State, assessing: the estimated annual value of federal income tax reduction to State residents at the statutory reduced rate; the estimated annual value of federal programs and transfers received above the Basic Needs Floor; the net fiscal position of the State as a contributor to or recipient of federal redistribution; and the projected effect of the State's devolution on the Republic-wide revenue base available to fund the Basic Needs Floor. the Legislature defines by statute the timeline for MA publication, the pre-vote period running from publication, the remedy where the MA fails to publish within the statutory timeline, and the accessibility requirements for the study. The study must be made accessible to every eligible voter in the State before the vote. A vote held without a published Fiscal Incidence Study is void.</w:t>
      </w:r>
    </w:p>
    <w:p>
      <w:pPr>
        <w:spacing w:after="60" w:before="60" w:line="280" w:lineRule="auto"/>
        <w:jc w:val="both"/>
      </w:pPr>
      <w:r>
        <w:rPr>
          <w:rFonts w:ascii="Times New Roman" w:cs="Times New Roman" w:eastAsia="Times New Roman" w:hAnsi="Times New Roman"/>
          <w:b/>
          <w:bCs/>
          <w:color w:val="1B2A4A"/>
          <w:sz w:val="22"/>
          <w:szCs w:val="22"/>
        </w:rPr>
        <w:t xml:space="preserve">13.4.c Net-Contributor Transparency: </w:t>
      </w:r>
      <w:r>
        <w:rPr>
          <w:rFonts w:ascii="Times New Roman" w:cs="Times New Roman" w:eastAsia="Times New Roman" w:hAnsi="Times New Roman"/>
          <w:color w:val="000000"/>
          <w:sz w:val="22"/>
          <w:szCs w:val="22"/>
        </w:rPr>
        <w:t xml:space="preserve">Where the Monetary Authority's Fiscal Incidence Study finds that the State is a net contributor to federal redistribution — meaning its residents' federal tax payments exceed the federal benefits they receive above the Basic Needs Floor — the ballot must include a plain-language statement of this finding, the current statutory reduced tax rate that will apply, and the projected net effect on BNF sustainability nationally at that rate. This is a disclosure requirement, not a prohibition: net-contributor States may still voluntarily devolve. The Monetary Authority certifies the accuracy of the ballot statement.</w:t>
      </w:r>
    </w:p>
    <w:p>
      <w:pPr>
        <w:spacing w:after="60" w:before="60" w:line="280" w:lineRule="auto"/>
        <w:jc w:val="both"/>
      </w:pPr>
      <w:r>
        <w:rPr>
          <w:rFonts w:ascii="Times New Roman" w:cs="Times New Roman" w:eastAsia="Times New Roman" w:hAnsi="Times New Roman"/>
          <w:b/>
          <w:bCs/>
          <w:color w:val="1B2A4A"/>
          <w:sz w:val="22"/>
          <w:szCs w:val="22"/>
        </w:rPr>
        <w:t xml:space="preserve">13.4.d Effect of Voluntary Devolution: </w:t>
      </w:r>
      <w:r>
        <w:rPr>
          <w:rFonts w:ascii="Times New Roman" w:cs="Times New Roman" w:eastAsia="Times New Roman" w:hAnsi="Times New Roman"/>
          <w:color w:val="000000"/>
          <w:sz w:val="22"/>
          <w:szCs w:val="22"/>
        </w:rPr>
        <w:t xml:space="preserve">Voluntary devolution produces these effects: Senate seats are vacated; House seats are retained proportionally; Basic Needs Floor distributions continue without interruption; Article I rights remain fully in force; and the annual Statehood Audit path to restoration is available immediately. Voluntary devolution carries no penalty, no remediation requirement, and no waiting period before the State may begin pursuing Statehood restoration. Tax treatment differs from mandatory devolution: a voluntarily devolved Territory does not receive a full federal income tax exemption. Instead, Territory residents pay federal income tax at a reduced rate the Legislature defines by statute. The reduced rate must be meaningfully lower than the standard rate — the Legislature may not set it at or above the standard rate — but the Territory continues contributing to the federal system that provides it with Article I protections, BNF distributions, military defense, and judicial infrastructure. the Legislature may adjust the rate by statute as the Republic's fiscal position evolves. A State that voluntarily devolves and subsequently passes the Statehood Audit follows the standard §13.2 Provisional Membership Period.</w:t>
      </w:r>
    </w:p>
    <w:p>
      <w:pPr>
        <w:spacing w:after="60" w:before="60" w:line="280" w:lineRule="auto"/>
        <w:jc w:val="both"/>
      </w:pPr>
      <w:r>
        <w:rPr>
          <w:rFonts w:ascii="Times New Roman" w:cs="Times New Roman" w:eastAsia="Times New Roman" w:hAnsi="Times New Roman"/>
          <w:b/>
          <w:bCs/>
          <w:color w:val="1B2A4A"/>
          <w:sz w:val="22"/>
          <w:szCs w:val="22"/>
        </w:rPr>
        <w:t xml:space="preserve">13.4.e Negotiated Devolution Pathway: </w:t>
      </w:r>
      <w:r>
        <w:rPr>
          <w:rFonts w:ascii="Times New Roman" w:cs="Times New Roman" w:eastAsia="Times New Roman" w:hAnsi="Times New Roman"/>
          <w:color w:val="000000"/>
          <w:sz w:val="22"/>
          <w:szCs w:val="22"/>
        </w:rPr>
        <w:t xml:space="preserve">A State contemplating voluntary devolution may request a formal negotiated devolution agreement with the Republic before the vote. The agreement defines: any statutory commitments the Republic makes regarding Provisional Membership Period duration; the PM's technical assistance obligations during the Territory period; infrastructure and shared-service continuity arrangements; and any transition period for federal program unwinding. The negotiated agreement is published to the NRS and voted upon simultaneously with the devolution vote — residents approve or reject both the devolution and its negotiated terms together. A negotiated agreement may not reduce the two-thirds vote threshold or waive the Fiscal Incidence Study requirement.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13.5 — Associated Community Cross-Reference</w:t>
      </w:r>
    </w:p>
    <w:p>
      <w:pPr>
        <w:spacing w:after="60" w:before="60" w:line="280" w:lineRule="auto"/>
        <w:jc w:val="both"/>
      </w:pPr>
      <w:r>
        <w:rPr>
          <w:rFonts w:ascii="Times New Roman" w:cs="Times New Roman" w:eastAsia="Times New Roman" w:hAnsi="Times New Roman"/>
          <w:b/>
          <w:bCs/>
          <w:color w:val="1B2A4A"/>
          <w:sz w:val="22"/>
          <w:szCs w:val="22"/>
        </w:rPr>
        <w:t xml:space="preserve">13.5 Associated Community Relationships: </w:t>
      </w:r>
      <w:r>
        <w:rPr>
          <w:rFonts w:ascii="Times New Roman" w:cs="Times New Roman" w:eastAsia="Times New Roman" w:hAnsi="Times New Roman"/>
          <w:color w:val="000000"/>
          <w:sz w:val="22"/>
          <w:szCs w:val="22"/>
        </w:rPr>
        <w:t xml:space="preserve">Associated Community status — the constitutional framework governing compact relationships between the Republic and sovereign entities — is established in Article XX of this Constitution. §13.5 is reserved for the Article XX cross-reference. See Article XX for all provisions governing the establishment, terms, conditions, and termination of Associated Community compacts.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13.6 — Voluntary Incorporation</w:t>
      </w:r>
    </w:p>
    <w:p>
      <w:pPr>
        <w:spacing w:after="60" w:before="60" w:line="280" w:lineRule="auto"/>
        <w:jc w:val="both"/>
      </w:pPr>
      <w:r>
        <w:rPr>
          <w:rFonts w:ascii="Times New Roman" w:cs="Times New Roman" w:eastAsia="Times New Roman" w:hAnsi="Times New Roman"/>
          <w:b/>
          <w:bCs/>
          <w:color w:val="1B2A4A"/>
          <w:sz w:val="22"/>
          <w:szCs w:val="22"/>
        </w:rPr>
        <w:t xml:space="preserve">13.6 Voluntary Incorporation: </w:t>
      </w:r>
      <w:r>
        <w:rPr>
          <w:rFonts w:ascii="Times New Roman" w:cs="Times New Roman" w:eastAsia="Times New Roman" w:hAnsi="Times New Roman"/>
          <w:color w:val="000000"/>
          <w:sz w:val="22"/>
          <w:szCs w:val="22"/>
        </w:rPr>
        <w:t xml:space="preserve">A sovereign entity may petition to join the Republic's constitutional framework as a Territory. The process requires: a petition resolution adopted by the petitioning entity's own legislature or assembly by a 2/3 majority, confirmed by a citizen referendum achieving simple majority approval on a minimum 50% participation threshold — both are required; the Judicial Inspectorate's assessment of whether the entity systematically violates any unamendable Article I provision, published to the NRS within 90 days of petition receipt; and acceptance by the Legislature by a 2/3 majority of both chambers. If the Legislature declines it must publish its reasons to the NRS within 30 days. An accepted petition produces an incorporation agreement specifying a transition period not exceeding 48 months, the institutional adjustments required to meet §13.2.f, and the federal support framework. The incorporated entity immediately holds all Territory protections. The Republic may not compel, incentivise, or pressure any sovereign entity to initiate this process — initiation must be an unencumbered democratic act of the petitioning entity's own governance. An indigenous nation recognized under Article XIV that wishes to pursue territorial incorporation must first make a status election through §14.6 before this section applies; the sovereign entity requirement of this section is satisfied by that prior election and the nation proceeds through the §14.5.d Associated Community pathway before applying here.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XIV — THE INDIGENOUS NATION COMPACT</w:t>
      </w:r>
    </w:p>
    <w:p>
      <w:pPr>
        <w:spacing w:after="60" w:before="60" w:line="280" w:lineRule="auto"/>
        <w:jc w:val="both"/>
      </w:pPr>
      <w:r>
        <w:rPr>
          <w:rFonts w:ascii="Times New Roman" w:cs="Times New Roman" w:eastAsia="Times New Roman" w:hAnsi="Times New Roman"/>
          <w:color w:val="000000"/>
          <w:sz w:val="22"/>
          <w:szCs w:val="22"/>
        </w:rPr>
        <w:t xml:space="preserve">Indigenous nations are not creations of the Republic. Their sovereignty predates the Republic itself. The Republic exists on lands over which indigenous nations held sovereign authority before this Constitution was ratified. The rights of indigenous nations under this Article derive from that prior sovereignty — they are acknowledged by the Republic, not granted by it. This Article governs the constitutional relationship between the Republic and indigenous nations in a manner distinct from the Statehood, Territorial, and devolution frameworks of Article XIII, which apply to communities seeking entry into the Republic's political structure. Indigenous nations are sovereign nations in a government-to-government relationship with the Republic.</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14.1 — Acknowledgment of Prior Sovereignty</w:t>
      </w:r>
    </w:p>
    <w:p>
      <w:pPr>
        <w:spacing w:after="60" w:before="60" w:line="280" w:lineRule="auto"/>
        <w:jc w:val="both"/>
      </w:pPr>
      <w:r>
        <w:rPr>
          <w:rFonts w:ascii="Times New Roman" w:cs="Times New Roman" w:eastAsia="Times New Roman" w:hAnsi="Times New Roman"/>
          <w:color w:val="000000"/>
          <w:sz w:val="22"/>
          <w:szCs w:val="22"/>
        </w:rPr>
        <w:t xml:space="preserve">The Republic acknowledges that indigenous nations held sovereign authority over their ancestral lands before the formation of the Republic. This acknowledgment is not a grant of sovereignty — it is a recognition of sovereignty that already exists. The sovereignty of indigenous nations is inherent and predates this Constitution. No provision of this Constitution diminishes or extinguishes any indigenous nation's sovereignty except as specifically negotiated in a treaty ratified under §3.2.e.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14.2 — Treaty Supremacy and Continuity</w:t>
      </w:r>
    </w:p>
    <w:p>
      <w:pPr>
        <w:spacing w:after="60" w:before="60" w:line="280" w:lineRule="auto"/>
        <w:jc w:val="both"/>
      </w:pPr>
      <w:r>
        <w:rPr>
          <w:rFonts w:ascii="Times New Roman" w:cs="Times New Roman" w:eastAsia="Times New Roman" w:hAnsi="Times New Roman"/>
          <w:color w:val="000000"/>
          <w:sz w:val="22"/>
          <w:szCs w:val="22"/>
        </w:rPr>
        <w:t xml:space="preserve">All treaties entered into by governments that previously exercised sovereign authority over the Republic's territory — including all predecessor states regardless of how many governments preceded the Republic's formation — with indigenous nations are binding obligations of the Republic. These treaties survive the Republic's formation and are honored without requiring re-ratification. The Senate's treaty ratification power under §3.2.e governs new treaties with indigenous nations; existing treaties are not subject to modification, abrogation, or expiration by unilateral Republic action. Any dispute over the interpretation or application of an existing treaty is resolved by the Supreme Court on petition from the relevant indigenous nation, applying the terms of the treaty and the principle of prior sovereignty. Timeline for Sovereignty Determinations: The Judicial Inspectorate must publish a §14.1 prior sovereignty determination within 90 days of receiving a formal petition from an indigenous nation, a State government, or a federal body requesting such determination. A single 90-day extension is permitted where the JI certifies additional review is required; the extension certification must be published to the National Record System before the initial 90-day period expires. Any constitutional proceeding formally stayed pending a §14.1 determination is suspended for the duration of the determination process and any certified extension.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14.3 — Government-to-Government Relationship</w:t>
      </w:r>
    </w:p>
    <w:p>
      <w:pPr>
        <w:spacing w:after="60" w:before="60" w:line="280" w:lineRule="auto"/>
        <w:jc w:val="both"/>
      </w:pPr>
      <w:r>
        <w:rPr>
          <w:rFonts w:ascii="Times New Roman" w:cs="Times New Roman" w:eastAsia="Times New Roman" w:hAnsi="Times New Roman"/>
          <w:color w:val="000000"/>
          <w:sz w:val="22"/>
          <w:szCs w:val="22"/>
        </w:rPr>
        <w:t xml:space="preserve">The Republic conducts its relationship with each indigenous nation on a government-to-government basis. Indigenous nations are not subject to the legislative jurisdiction of States in matters of their internal governance. Federal legislative authority over indigenous nations is exercised only where expressly provided by ratified treaty or by legislation enacted with the free, prior, and informed consent of the affected indigenous nation or nations.</w:t>
      </w:r>
    </w:p>
    <w:p>
      <w:pPr>
        <w:spacing w:after="60" w:before="60" w:line="280" w:lineRule="auto"/>
        <w:jc w:val="both"/>
      </w:pPr>
      <w:r>
        <w:rPr>
          <w:rFonts w:ascii="Times New Roman" w:cs="Times New Roman" w:eastAsia="Times New Roman" w:hAnsi="Times New Roman"/>
          <w:b/>
          <w:bCs/>
          <w:color w:val="1B2A4A"/>
          <w:sz w:val="22"/>
          <w:szCs w:val="22"/>
        </w:rPr>
        <w:t xml:space="preserve">14.3.a Free, Prior, and Informed Consent: </w:t>
      </w:r>
      <w:r>
        <w:rPr>
          <w:rFonts w:ascii="Times New Roman" w:cs="Times New Roman" w:eastAsia="Times New Roman" w:hAnsi="Times New Roman"/>
          <w:color w:val="000000"/>
          <w:sz w:val="22"/>
          <w:szCs w:val="22"/>
        </w:rPr>
        <w:t xml:space="preserve">The Republic may not take any legislative or executive action that materially affects indigenous lands, sovereignty, or treaty rights without the free, prior, and informed consent of the relevant indigenous nation or nations. Free, prior, and informed consent means consent that is freely given without coercion or economic inducement, obtained before any action is taken, and based on full information about the proposed action and its consequences. This requirement applies to: new federal legislation affecting indigenous jurisdictions; changes to treaty terms or obligations; designation of indigenous lands under any federal property framework; and military or law enforcement operations within indigenous jurisdictions except as provided in §14.3.c. The Supreme Court may enjoin any action that proceeds without the required consent on petition from the relevant indigenous nation. A process that produces objection from the indigenous nation does not produce consent, regardless of the process's duration or the government's good faith. Where an indigenous nation withholds consent, the government's recourse is to propose a modified action the nation may consent to, to seek an alternative that does not require the nation's consent, or to accept that the proposed action will not proceed. No court, parliamentary act, or executive action may substitute for an indigenous nation's consent under this section.</w:t>
      </w:r>
    </w:p>
    <w:p>
      <w:pPr>
        <w:spacing w:after="60" w:before="60" w:line="280" w:lineRule="auto"/>
        <w:jc w:val="both"/>
      </w:pPr>
      <w:r>
        <w:rPr>
          <w:rFonts w:ascii="Times New Roman" w:cs="Times New Roman" w:eastAsia="Times New Roman" w:hAnsi="Times New Roman"/>
          <w:b/>
          <w:bCs/>
          <w:color w:val="1B2A4A"/>
          <w:sz w:val="22"/>
          <w:szCs w:val="22"/>
        </w:rPr>
        <w:t xml:space="preserve">14.3.b Unamendable Rights Override: </w:t>
      </w:r>
      <w:r>
        <w:rPr>
          <w:rFonts w:ascii="Times New Roman" w:cs="Times New Roman" w:eastAsia="Times New Roman" w:hAnsi="Times New Roman"/>
          <w:color w:val="000000"/>
          <w:sz w:val="22"/>
          <w:szCs w:val="22"/>
        </w:rPr>
        <w:t xml:space="preserve">The Free, Prior, and Informed Consent requirement of §14.3.a does not apply to federal action taken solely and specifically to enforce the permanently unamendable provisions of §1.2 (torture), §1.3 (slavery and forced labor), §1.13 (First Appearance and Habeas Corpus), §1.17 (right to a public trial), and §1.18 (prohibition on retroactive criminal laws) against an identified, specific violation within an indigenous jurisdiction. These provisions are permanently unamendable — they override every other provision of this Constitution, including this Article. Federal action under this carve-out is strictly limited to the minimum action necessary to remedy the specific, identified violation; it does not authorize general law enforcement operations and expires when the specific violation is remedied.</w:t>
      </w:r>
    </w:p>
    <w:p>
      <w:pPr>
        <w:spacing w:after="60" w:before="60" w:line="280" w:lineRule="auto"/>
        <w:jc w:val="both"/>
      </w:pPr>
      <w:r>
        <w:rPr>
          <w:rFonts w:ascii="Times New Roman" w:cs="Times New Roman" w:eastAsia="Times New Roman" w:hAnsi="Times New Roman"/>
          <w:b/>
          <w:bCs/>
          <w:color w:val="1B2A4A"/>
          <w:sz w:val="22"/>
          <w:szCs w:val="22"/>
        </w:rPr>
        <w:t xml:space="preserve">14.3.c Emergency Rights Writ and Conflict Resolution Protocol: </w:t>
      </w:r>
      <w:r>
        <w:rPr>
          <w:rFonts w:ascii="Times New Roman" w:cs="Times New Roman" w:eastAsia="Times New Roman" w:hAnsi="Times New Roman"/>
          <w:color w:val="000000"/>
          <w:sz w:val="22"/>
          <w:szCs w:val="22"/>
        </w:rPr>
        <w:t xml:space="preserve">Any individual within an indigenous jurisdiction who alleges a specific, ongoing violation of their Article I rights may petition the Supreme Court directly for an Emergency Rights Writ. The Court must rule within 14 days of the petition. Where a jurisdictional consent dispute arises — where the indigenous nation asserts the action is authorized by FPIC consent and the individual asserts a rights violation — the Court resolves the consent question as a threshold matter before ruling on the Writ. A granted Writ is targeted to the specific violation and expires when the violation is remedied; it does not authorize general law enforcement operations within the indigenous jurisdiction. An Emergency Rights Writ may not be used to circumvent the FPIC requirement of §14.3.a for prospective government action.</w:t>
      </w:r>
    </w:p>
    <w:p>
      <w:pPr>
        <w:spacing w:after="60" w:before="60" w:line="280" w:lineRule="auto"/>
        <w:jc w:val="both"/>
      </w:pPr>
      <w:r>
        <w:rPr>
          <w:rFonts w:ascii="Times New Roman" w:cs="Times New Roman" w:eastAsia="Times New Roman" w:hAnsi="Times New Roman"/>
          <w:b/>
          <w:bCs/>
          <w:color w:val="1B2A4A"/>
          <w:sz w:val="22"/>
          <w:szCs w:val="22"/>
        </w:rPr>
        <w:t xml:space="preserve">14.3.d Internal Enforcement Encouragement: </w:t>
      </w:r>
      <w:r>
        <w:rPr>
          <w:rFonts w:ascii="Times New Roman" w:cs="Times New Roman" w:eastAsia="Times New Roman" w:hAnsi="Times New Roman"/>
          <w:color w:val="000000"/>
          <w:sz w:val="22"/>
          <w:szCs w:val="22"/>
        </w:rPr>
        <w:t xml:space="preserve">The Republic may, with the consent of the relevant indigenous nation, provide technical or financial support for the development of internal rights enforcement mechanisms within the nation's own legal traditions.</w:t>
      </w:r>
    </w:p>
    <w:p>
      <w:pPr>
        <w:spacing w:after="60" w:before="60" w:line="280" w:lineRule="auto"/>
        <w:jc w:val="both"/>
      </w:pPr>
      <w:r>
        <w:rPr>
          <w:rFonts w:ascii="Times New Roman" w:cs="Times New Roman" w:eastAsia="Times New Roman" w:hAnsi="Times New Roman"/>
          <w:b/>
          <w:bCs/>
          <w:color w:val="1B2A4A"/>
          <w:sz w:val="22"/>
          <w:szCs w:val="22"/>
        </w:rPr>
        <w:t xml:space="preserve">14.3.e Inspectorate Jurisdiction: </w:t>
      </w:r>
      <w:r>
        <w:rPr>
          <w:rFonts w:ascii="Times New Roman" w:cs="Times New Roman" w:eastAsia="Times New Roman" w:hAnsi="Times New Roman"/>
          <w:color w:val="000000"/>
          <w:sz w:val="22"/>
          <w:szCs w:val="22"/>
        </w:rPr>
        <w:t xml:space="preserve">The Inspectorates' audit and reporting jurisdiction does not extend to the internal governance of indigenous nations except where a specific allegation of violation of the permanently unamendable provisions (permanently unamendable provisions listed in §15.3.a) against individual members is made. The Supreme Court has jurisdiction to hear such allegations on petition from the individual concerned.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14.4 — Indigenous Lands</w:t>
      </w:r>
    </w:p>
    <w:p>
      <w:pPr>
        <w:spacing w:after="60" w:before="60" w:line="280" w:lineRule="auto"/>
        <w:jc w:val="both"/>
      </w:pPr>
      <w:r>
        <w:rPr>
          <w:rFonts w:ascii="Times New Roman" w:cs="Times New Roman" w:eastAsia="Times New Roman" w:hAnsi="Times New Roman"/>
          <w:color w:val="000000"/>
          <w:sz w:val="22"/>
          <w:szCs w:val="22"/>
        </w:rPr>
        <w:t xml:space="preserve">Indigenous lands held under treaty, traditional use recognized by law, or prior legal recognition before this Constitution's ratification are not subject to the federal property use-rights framework of Article XVII. They are not federal Operational Use Rights, not Conservation Trust lands, and not State lands. They are held under indigenous sovereign authority.</w:t>
      </w:r>
    </w:p>
    <w:p>
      <w:pPr>
        <w:spacing w:after="60" w:before="60" w:line="280" w:lineRule="auto"/>
        <w:jc w:val="both"/>
      </w:pPr>
      <w:r>
        <w:rPr>
          <w:rFonts w:ascii="Times New Roman" w:cs="Times New Roman" w:eastAsia="Times New Roman" w:hAnsi="Times New Roman"/>
          <w:b/>
          <w:bCs/>
          <w:color w:val="1B2A4A"/>
          <w:sz w:val="22"/>
          <w:szCs w:val="22"/>
        </w:rPr>
        <w:t xml:space="preserve">14.4.a Eminent Domain Prohibition: </w:t>
      </w:r>
      <w:r>
        <w:rPr>
          <w:rFonts w:ascii="Times New Roman" w:cs="Times New Roman" w:eastAsia="Times New Roman" w:hAnsi="Times New Roman"/>
          <w:color w:val="000000"/>
          <w:sz w:val="22"/>
          <w:szCs w:val="22"/>
        </w:rPr>
        <w:t xml:space="preserve">The Republic may not acquire indigenous lands by eminent domain or any other mechanism of involuntary acquisition. Any transfer of indigenous lands to the Republic or any State requires the free, prior, and informed consent of the relevant indigenous nation and negotiated terms acceptable to that nation.</w:t>
      </w:r>
    </w:p>
    <w:p>
      <w:pPr>
        <w:spacing w:after="60" w:before="60" w:line="280" w:lineRule="auto"/>
        <w:jc w:val="both"/>
      </w:pPr>
      <w:r>
        <w:rPr>
          <w:rFonts w:ascii="Times New Roman" w:cs="Times New Roman" w:eastAsia="Times New Roman" w:hAnsi="Times New Roman"/>
          <w:b/>
          <w:bCs/>
          <w:color w:val="1B2A4A"/>
          <w:sz w:val="22"/>
          <w:szCs w:val="22"/>
        </w:rPr>
        <w:t xml:space="preserve">14.4.b Conservation Trust: </w:t>
      </w:r>
      <w:r>
        <w:rPr>
          <w:rFonts w:ascii="Times New Roman" w:cs="Times New Roman" w:eastAsia="Times New Roman" w:hAnsi="Times New Roman"/>
          <w:color w:val="000000"/>
          <w:sz w:val="22"/>
          <w:szCs w:val="22"/>
        </w:rPr>
        <w:t xml:space="preserve">The Republic may not designate indigenous lands as Conservation Trust lands under Article XVII without the explicit, free, prior, and informed consent of the relevant indigenous nation. Where an indigenous nation consents to Conservation Trust designation, the nation retains co-management authority that is not subject to reduction under §17.4.c.</w:t>
      </w:r>
    </w:p>
    <w:p>
      <w:pPr>
        <w:spacing w:after="60" w:before="60" w:line="280" w:lineRule="auto"/>
        <w:jc w:val="both"/>
      </w:pPr>
      <w:r>
        <w:rPr>
          <w:rFonts w:ascii="Times New Roman" w:cs="Times New Roman" w:eastAsia="Times New Roman" w:hAnsi="Times New Roman"/>
          <w:b/>
          <w:bCs/>
          <w:color w:val="1B2A4A"/>
          <w:sz w:val="22"/>
          <w:szCs w:val="22"/>
        </w:rPr>
        <w:t xml:space="preserve">14.4.c National Record System: </w:t>
      </w:r>
      <w:r>
        <w:rPr>
          <w:rFonts w:ascii="Times New Roman" w:cs="Times New Roman" w:eastAsia="Times New Roman" w:hAnsi="Times New Roman"/>
          <w:color w:val="000000"/>
          <w:sz w:val="22"/>
          <w:szCs w:val="22"/>
        </w:rPr>
        <w:t xml:space="preserve">Indigenous nations may voluntarily register their land boundaries and governance documents on the National Record System. Registration is not compelled and does not alter the basis of indigenous land rights, which derive from prior sovereignty and treaty, not from NRS registration.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14.5 — Individual Rights and Dual Citizenship</w:t>
      </w:r>
    </w:p>
    <w:p>
      <w:pPr>
        <w:spacing w:after="60" w:before="60" w:line="280" w:lineRule="auto"/>
        <w:jc w:val="both"/>
      </w:pPr>
      <w:r>
        <w:rPr>
          <w:rFonts w:ascii="Times New Roman" w:cs="Times New Roman" w:eastAsia="Times New Roman" w:hAnsi="Times New Roman"/>
          <w:b/>
          <w:bCs/>
          <w:color w:val="1B2A4A"/>
          <w:sz w:val="22"/>
          <w:szCs w:val="22"/>
        </w:rPr>
        <w:t xml:space="preserve">14.5.a Article I Rights: </w:t>
      </w:r>
      <w:r>
        <w:rPr>
          <w:rFonts w:ascii="Times New Roman" w:cs="Times New Roman" w:eastAsia="Times New Roman" w:hAnsi="Times New Roman"/>
          <w:color w:val="000000"/>
          <w:sz w:val="22"/>
          <w:szCs w:val="22"/>
        </w:rPr>
        <w:t xml:space="preserve">Every individual member of an indigenous nation is an Inhabitant of the Republic and holds the full protections of Article I. The prohibitions on torture (§1.2), slavery (§1.3), the right to First Appearance and Habeas Corpus (§1.13), and non-refoulement (§1.27) apply within indigenous jurisdictions as they apply throughout the Republic — they are absolute rights of persons, permanently unamendable, and may not be abrogated by any indigenous nation's internal governance in the name of sovereignty. For these permanently unamendable rights, federal enforcement does not require Free, Prior, and Informed Consent under §14.3.b. For all other Article I rights, the Conflict Resolution Protocol of §14.3.c provides the enforcement pathway where a jurisdictional dispute arises.</w:t>
      </w:r>
    </w:p>
    <w:p>
      <w:pPr>
        <w:spacing w:after="60" w:before="60" w:line="280" w:lineRule="auto"/>
        <w:jc w:val="both"/>
      </w:pPr>
      <w:r>
        <w:rPr>
          <w:rFonts w:ascii="Times New Roman" w:cs="Times New Roman" w:eastAsia="Times New Roman" w:hAnsi="Times New Roman"/>
          <w:b/>
          <w:bCs/>
          <w:color w:val="1B2A4A"/>
          <w:sz w:val="22"/>
          <w:szCs w:val="22"/>
        </w:rPr>
        <w:t xml:space="preserve">14.5.b Dual Citizenship: </w:t>
      </w:r>
      <w:r>
        <w:rPr>
          <w:rFonts w:ascii="Times New Roman" w:cs="Times New Roman" w:eastAsia="Times New Roman" w:hAnsi="Times New Roman"/>
          <w:color w:val="000000"/>
          <w:sz w:val="22"/>
          <w:szCs w:val="22"/>
        </w:rPr>
        <w:t xml:space="preserve">Members of indigenous nations may hold both indigenous national citizenship and Republic citizenship simultaneously. One status does not supersede the other. A Republic citizen who is also a member of an indigenous nation holds full voting rights in Republic elections under §7.2 and full Article I protections. An individual who holds indigenous national citizenship but not Republic citizenship is an Inhabitant of the Republic with full Article I protections.</w:t>
      </w:r>
    </w:p>
    <w:p>
      <w:pPr>
        <w:spacing w:after="60" w:before="60" w:line="280" w:lineRule="auto"/>
        <w:jc w:val="both"/>
      </w:pPr>
      <w:r>
        <w:rPr>
          <w:rFonts w:ascii="Times New Roman" w:cs="Times New Roman" w:eastAsia="Times New Roman" w:hAnsi="Times New Roman"/>
          <w:b/>
          <w:bCs/>
          <w:color w:val="1B2A4A"/>
          <w:sz w:val="22"/>
          <w:szCs w:val="22"/>
        </w:rPr>
        <w:t xml:space="preserve">14.5.c National Voting System: </w:t>
      </w:r>
      <w:r>
        <w:rPr>
          <w:rFonts w:ascii="Times New Roman" w:cs="Times New Roman" w:eastAsia="Times New Roman" w:hAnsi="Times New Roman"/>
          <w:color w:val="000000"/>
          <w:sz w:val="22"/>
          <w:szCs w:val="22"/>
        </w:rPr>
        <w:t xml:space="preserve">Indigenous nations may voluntarily connect to the National Voting System for the purpose of their members' participation in Republic-level elections. Connection is not compelled. The electoral infrastructure of indigenous nations for their own internal governance is a matter of indigenous sovereign authority.</w:t>
      </w:r>
    </w:p>
    <w:p>
      <w:pPr>
        <w:spacing w:after="60" w:before="60" w:line="280" w:lineRule="auto"/>
        <w:jc w:val="both"/>
      </w:pPr>
      <w:r>
        <w:rPr>
          <w:rFonts w:ascii="Times New Roman" w:cs="Times New Roman" w:eastAsia="Times New Roman" w:hAnsi="Times New Roman"/>
          <w:b/>
          <w:bCs/>
          <w:color w:val="1B2A4A"/>
          <w:sz w:val="22"/>
          <w:szCs w:val="22"/>
        </w:rPr>
        <w:t xml:space="preserve">14.5.d Associated Community Pathway for Recognised Sovereign Nations: </w:t>
      </w:r>
      <w:r>
        <w:rPr>
          <w:rFonts w:ascii="Times New Roman" w:cs="Times New Roman" w:eastAsia="Times New Roman" w:hAnsi="Times New Roman"/>
          <w:color w:val="000000"/>
          <w:sz w:val="22"/>
          <w:szCs w:val="22"/>
        </w:rPr>
        <w:t xml:space="preserve">An indigenous nation whose sovereignty is constitutionally recognised through the Article XIV framework, through a §19.1 accommodation compact, or through prior treaty relationship with the Republic — and whose sovereignty therefore predates the Republic rather than being produced by the Republic's independence process — may elect Associated Community status directly under §20, without completing the §15.4 independence process, by its own democratic or traditional governance process. The Republic's recognition of pre-existing sovereignty is constitutionally equivalent to the independence process for the purpose of Associated Community eligibility. Election of Associated Community status by an indigenous nation does not terminate Article XIV's recognition of prior sovereignty, treaty continuity, or land protections. Article XIV obligations continue alongside the compact relationship. Where Article XIV and the compact provide different protections, the more protective standard applies. A nation that has elected Associated Community status under this section retains the right to pursue territorial incorporation under §13.6 by its own subsequent democratic or traditional governance process. The election of Associated Community status does not foreclose any subsequent status election available under §14.6.</w:t>
      </w:r>
    </w:p>
    <w:p>
      <w:pPr>
        <w:spacing w:after="60" w:before="60" w:line="280" w:lineRule="auto"/>
        <w:jc w:val="both"/>
      </w:pPr>
      <w:r>
        <w:rPr>
          <w:rFonts w:ascii="Times New Roman" w:cs="Times New Roman" w:eastAsia="Times New Roman" w:hAnsi="Times New Roman"/>
          <w:b/>
          <w:bCs/>
          <w:color w:val="1B2A4A"/>
          <w:sz w:val="22"/>
          <w:szCs w:val="22"/>
        </w:rPr>
        <w:t xml:space="preserve">14.6 Indigenous Nation Status Elections: </w:t>
      </w:r>
      <w:r>
        <w:rPr>
          <w:rFonts w:ascii="Times New Roman" w:cs="Times New Roman" w:eastAsia="Times New Roman" w:hAnsi="Times New Roman"/>
          <w:color w:val="000000"/>
          <w:sz w:val="22"/>
          <w:szCs w:val="22"/>
        </w:rPr>
        <w:t xml:space="preserve">Indigenous nations with sovereignty recognized under this Article hold the constitutional right to initiate a status change process at the time of ratification and at any subsequent time through their own democratic or traditional governance process. The right to initiate is continuous; the change itself takes effect only when the constitutional process for the relevant status transition is complete — not at the moment of governance decision. No status change requires Republic consent to initiate — but each transition follows the constitutional requirements of the destination framework and proceeds at the pace those requirements demand. The Republic may not use procedural delay as a means of blocking or discouraging an election. The Republic may not prefer, discourage, or offer inducements toward any status option. It may provide factual information about each status upon a nation's request.</w:t>
      </w:r>
    </w:p>
    <w:p>
      <w:pPr>
        <w:spacing w:after="60" w:before="60" w:line="280" w:lineRule="auto"/>
        <w:jc w:val="both"/>
      </w:pPr>
      <w:r>
        <w:rPr>
          <w:rFonts w:ascii="Times New Roman" w:cs="Times New Roman" w:eastAsia="Times New Roman" w:hAnsi="Times New Roman"/>
          <w:color w:val="000000"/>
          <w:sz w:val="22"/>
          <w:szCs w:val="22"/>
        </w:rPr>
        <w:t xml:space="preserve">Four status options are available:</w:t>
      </w:r>
    </w:p>
    <w:p>
      <w:pPr>
        <w:spacing w:after="60" w:before="60" w:line="280" w:lineRule="auto"/>
        <w:jc w:val="both"/>
      </w:pPr>
      <w:r>
        <w:rPr>
          <w:rFonts w:ascii="Times New Roman" w:cs="Times New Roman" w:eastAsia="Times New Roman" w:hAnsi="Times New Roman"/>
          <w:color w:val="000000"/>
          <w:sz w:val="22"/>
          <w:szCs w:val="22"/>
        </w:rPr>
        <w:t xml:space="preserve">(a) Indigenous Compact (default): Continued participation in the Article XIV government-to-government relationship. No election is required — this status continues unless affirmatively changed. All Article XIV rights, land protections, and FPIC requirements remain in full force indefinitely.</w:t>
      </w:r>
    </w:p>
    <w:p>
      <w:pPr>
        <w:spacing w:after="60" w:before="60" w:line="280" w:lineRule="auto"/>
        <w:jc w:val="both"/>
      </w:pPr>
      <w:r>
        <w:rPr>
          <w:rFonts w:ascii="Times New Roman" w:cs="Times New Roman" w:eastAsia="Times New Roman" w:hAnsi="Times New Roman"/>
          <w:color w:val="000000"/>
          <w:sz w:val="22"/>
          <w:szCs w:val="22"/>
        </w:rPr>
        <w:t xml:space="preserve">(b) Associated Community Status: Election to Associated Community status under Article XX, available directly without completing the §15.4 independence process as provided in §14.5.d. The Article XIV compact relationship transitions to an Article XX compact relationship. Article XIV land protections survive as compact terms unless the nation elects otherwise.</w:t>
      </w:r>
    </w:p>
    <w:p>
      <w:pPr>
        <w:spacing w:after="60" w:before="60" w:line="280" w:lineRule="auto"/>
        <w:jc w:val="both"/>
      </w:pPr>
      <w:r>
        <w:rPr>
          <w:rFonts w:ascii="Times New Roman" w:cs="Times New Roman" w:eastAsia="Times New Roman" w:hAnsi="Times New Roman"/>
          <w:color w:val="000000"/>
          <w:sz w:val="22"/>
          <w:szCs w:val="22"/>
        </w:rPr>
        <w:t xml:space="preserve">(c) Territorial Integration: Election to pursue territorial incorporation through the two-step pathway — §14.5.d election of Associated Community status followed by territorial incorporation under §13.6. The integration agreement must specifically address the indigenous character of the nation's lands within the Territory framework, including co-management rights and the survival of prior treaty obligations as statutory obligations of the Republic.</w:t>
      </w:r>
    </w:p>
    <w:p>
      <w:pPr>
        <w:spacing w:after="60" w:before="60" w:line="280" w:lineRule="auto"/>
        <w:jc w:val="both"/>
      </w:pPr>
      <w:r>
        <w:rPr>
          <w:rFonts w:ascii="Times New Roman" w:cs="Times New Roman" w:eastAsia="Times New Roman" w:hAnsi="Times New Roman"/>
          <w:color w:val="000000"/>
          <w:sz w:val="22"/>
          <w:szCs w:val="22"/>
        </w:rPr>
        <w:t xml:space="preserve">(d) Full Sovereign Independence: An indigenous nation may elect to exist entirely outside the Republic's constitutional framework as a fully independent sovereign nation. The Republic acknowledges this sovereignty. Where a nation elects independence under this section: the Republic must within 24 months negotiate and conclude a treaty governing transit and border arrangements, economic and trade relationships, the status of nation members who simultaneously hold Republic citizenship, infrastructure and utility access, and any other matters the nation identifies as essential to its independent governance. The Republic may not use treaty negotiation delays to pressure the nation to reverse its independence election. Geographic position within Republic territory does not affect the right to independence under this section — it affects only the practical arrangements that the treaty must address. A nation that elects independence may subsequently enter Associated Community status under Article XX or pursue territorial incorporation as a sovereign entity without returning to Article XIV status.</w:t>
      </w:r>
    </w:p>
    <w:p>
      <w:pPr>
        <w:spacing w:after="60" w:before="60" w:line="280" w:lineRule="auto"/>
        <w:jc w:val="both"/>
      </w:pPr>
      <w:r>
        <w:rPr>
          <w:rFonts w:ascii="Times New Roman" w:cs="Times New Roman" w:eastAsia="Times New Roman" w:hAnsi="Times New Roman"/>
          <w:b/>
          <w:bCs/>
          <w:color w:val="1B2A4A"/>
          <w:sz w:val="22"/>
          <w:szCs w:val="22"/>
        </w:rPr>
        <w:t xml:space="preserve">Process: </w:t>
      </w:r>
      <w:r>
        <w:rPr>
          <w:rFonts w:ascii="Times New Roman" w:cs="Times New Roman" w:eastAsia="Times New Roman" w:hAnsi="Times New Roman"/>
          <w:color w:val="000000"/>
          <w:sz w:val="22"/>
          <w:szCs w:val="22"/>
        </w:rPr>
        <w:t xml:space="preserve">Status elections require: (1) a decision by the nation's own democratic or traditional governance process, meeting the standards the nation itself defines for major governance decisions; (2) publication of the election to the National Record System within 30 days of the governance decision. Return path after independence: a nation that has completed a transition to full sovereign independence under option (d) may not subsequently re-elect Article XIV compact status. Having formally exited the Article XIV framework as a sovereign nation, the nation holds general sovereign status and must use the pathways available to sovereign nations: Associated Community status under §20 or territorial incorporation under §13.6 as a sovereign entity. The Article XIV framework was a founding-moment constitutional acknowledgment of prior sovereignty held within the Republic's jurisdiction — once a nation has formally departed that framework, re-entry follows the general sovereign pathways, not Article XIV. The Republic must facilitate all transitions in good faith and without procedural delay designed to discourage any option. At the time of ratification, the Republic must formally notify all indigenous nations recognized under Article XIV of their rights under this section, in their own languages where practicable, within Phase 1 of the transition period.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 — AMENDING THE CONSTITUTION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15.1 — Amendment Paths</w:t>
      </w:r>
    </w:p>
    <w:p>
      <w:pPr>
        <w:spacing w:after="60" w:before="60" w:line="280" w:lineRule="auto"/>
        <w:jc w:val="both"/>
      </w:pPr>
      <w:r>
        <w:rPr>
          <w:rFonts w:ascii="Times New Roman" w:cs="Times New Roman" w:eastAsia="Times New Roman" w:hAnsi="Times New Roman"/>
          <w:b/>
          <w:bCs/>
          <w:color w:val="1B2A4A"/>
          <w:sz w:val="22"/>
          <w:szCs w:val="22"/>
        </w:rPr>
        <w:t xml:space="preserve">15.1.a Legislative Path: </w:t>
      </w:r>
      <w:r>
        <w:rPr>
          <w:rFonts w:ascii="Times New Roman" w:cs="Times New Roman" w:eastAsia="Times New Roman" w:hAnsi="Times New Roman"/>
          <w:color w:val="000000"/>
          <w:sz w:val="22"/>
          <w:szCs w:val="22"/>
        </w:rPr>
        <w:t xml:space="preserve">Ratification by a three-quarters supermajority of the full seated membership of both chambers simultaneously. The vote must be a recorded vote with individual member positions published to the National Record System within 24 hours. An amendment adopted through this path takes effect upon certification by the Legislative Inspectorate and publication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15.1.b Legislative and Popular Path: </w:t>
      </w:r>
      <w:r>
        <w:rPr>
          <w:rFonts w:ascii="Times New Roman" w:cs="Times New Roman" w:eastAsia="Times New Roman" w:hAnsi="Times New Roman"/>
          <w:color w:val="000000"/>
          <w:sz w:val="22"/>
          <w:szCs w:val="22"/>
        </w:rPr>
        <w:t xml:space="preserve">A two-thirds supermajority of the full seated membership of both chambers simultaneously, followed by a national popular vote achieving 55% affirmative support with at least 55% citizen participation. The popular vote must be held within 180 days of the parliamentary vote. An amendment that passes both stages is certified by the Electoral Commission and Legislative Inspectorate jointly and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15.1.c Citizen-Led Path: </w:t>
      </w:r>
      <w:r>
        <w:rPr>
          <w:rFonts w:ascii="Times New Roman" w:cs="Times New Roman" w:eastAsia="Times New Roman" w:hAnsi="Times New Roman"/>
          <w:color w:val="000000"/>
          <w:sz w:val="22"/>
          <w:szCs w:val="22"/>
        </w:rPr>
        <w:t xml:space="preserve">A national vote conducted through the National Voting System achieving 70% affirmative support with at least 65% citizen participation. If participation exceeds 60% but falls short of 65% and the affirmative vote exceeds 75%, the Judicial Inspectorate may certify the amendment as presumptively valid subject to Supreme Court review within 30 days. The Electoral Commission certifies the result to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15.2 — No Executive Veto</w:t>
      </w:r>
    </w:p>
    <w:p>
      <w:pPr>
        <w:spacing w:after="60" w:before="60" w:line="280" w:lineRule="auto"/>
        <w:jc w:val="both"/>
      </w:pPr>
      <w:r>
        <w:rPr>
          <w:rFonts w:ascii="Times New Roman" w:cs="Times New Roman" w:eastAsia="Times New Roman" w:hAnsi="Times New Roman"/>
          <w:b/>
          <w:bCs/>
          <w:color w:val="1B2A4A"/>
          <w:sz w:val="22"/>
          <w:szCs w:val="22"/>
        </w:rPr>
        <w:t xml:space="preserve">15.2.a No Executive Veto: </w:t>
      </w:r>
      <w:r>
        <w:rPr>
          <w:rFonts w:ascii="Times New Roman" w:cs="Times New Roman" w:eastAsia="Times New Roman" w:hAnsi="Times New Roman"/>
          <w:color w:val="000000"/>
          <w:sz w:val="22"/>
          <w:szCs w:val="22"/>
        </w:rPr>
        <w:t xml:space="preserve">Neither the President nor the Prime Minister holds veto authority over constitutional amendments. Amendments take immediate effect when the Inspectorates certify ratification and record the amendment on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15.3 — Unamendable Provisions</w:t>
      </w:r>
    </w:p>
    <w:p>
      <w:pPr>
        <w:spacing w:after="60" w:before="60" w:line="280" w:lineRule="auto"/>
        <w:jc w:val="both"/>
      </w:pPr>
      <w:r>
        <w:rPr>
          <w:rFonts w:ascii="Times New Roman" w:cs="Times New Roman" w:eastAsia="Times New Roman" w:hAnsi="Times New Roman"/>
          <w:b/>
          <w:bCs/>
          <w:color w:val="1B2A4A"/>
          <w:sz w:val="22"/>
          <w:szCs w:val="22"/>
        </w:rPr>
        <w:t xml:space="preserve">15.3.a Unamendable Provisions: </w:t>
      </w:r>
      <w:r>
        <w:rPr>
          <w:rFonts w:ascii="Times New Roman" w:cs="Times New Roman" w:eastAsia="Times New Roman" w:hAnsi="Times New Roman"/>
          <w:color w:val="000000"/>
          <w:sz w:val="22"/>
          <w:szCs w:val="22"/>
        </w:rPr>
        <w:t xml:space="preserve">The Individual Sovereignty Floor (Article I) may be expanded but never contracted by amendment. No amendment may reduce any right below the floor established here. The prohibitions on torture (§1.2), slavery and forced labor (§1.3), the right to First Appearance and Habeas Corpus (§1.13), the right to a public trial (§1.17), and the prohibition on retroactive criminal laws (§1.18) are permanently unamendable — they may not be altered, qualified, or removed by any process. §1.27 (non-refoulement) is also unamendable — it is an absolute prohibition on return to persecution of the same character as the prohibitions on torture and slavery, and may not be amended, suspended, or qualified by any constitutional amendment process.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15.4 — Territorial Integrity</w:t>
      </w:r>
    </w:p>
    <w:p>
      <w:pPr>
        <w:spacing w:after="60" w:before="60" w:line="280" w:lineRule="auto"/>
        <w:jc w:val="both"/>
      </w:pPr>
      <w:r>
        <w:rPr>
          <w:rFonts w:ascii="Times New Roman" w:cs="Times New Roman" w:eastAsia="Times New Roman" w:hAnsi="Times New Roman"/>
          <w:b/>
          <w:bCs/>
          <w:color w:val="1B2A4A"/>
          <w:sz w:val="22"/>
          <w:szCs w:val="22"/>
        </w:rPr>
        <w:t xml:space="preserve">15.4.a Territorial Integrity: </w:t>
      </w:r>
      <w:r>
        <w:rPr>
          <w:rFonts w:ascii="Times New Roman" w:cs="Times New Roman" w:eastAsia="Times New Roman" w:hAnsi="Times New Roman"/>
          <w:color w:val="000000"/>
          <w:sz w:val="22"/>
          <w:szCs w:val="22"/>
        </w:rPr>
        <w:t xml:space="preserve">The territorial integrity of the Republic is not subject to unilateral dissolution by any State, Territory, or subdivision. Voluntary Devolution (§13.4) does not constitute or authorize independence from the Republic. The independence transition framework of §15.5 applies only to independence recognized under this section — not to voluntary devolution under §13.4, which remains a change of constitutional status within the Republic. Any formal claim of independence may only be recognized by a 70% affirmative national popular vote via the National Voting System with at least 65% participation. No executive, legislative act, or judicial ruling may authorize independence absent this vote.</w:t>
      </w:r>
    </w:p>
    <w:p>
      <w:pPr>
        <w:spacing w:after="60" w:before="60" w:line="280" w:lineRule="auto"/>
        <w:jc w:val="both"/>
      </w:pPr>
      <w:r>
        <w:rPr>
          <w:rFonts w:ascii="Times New Roman" w:cs="Times New Roman" w:eastAsia="Times New Roman" w:hAnsi="Times New Roman"/>
          <w:b/>
          <w:bCs/>
          <w:color w:val="1B2A4A"/>
          <w:sz w:val="22"/>
          <w:szCs w:val="22"/>
        </w:rPr>
        <w:t xml:space="preserve">15.4.b Advisory Referenda: </w:t>
      </w:r>
      <w:r>
        <w:rPr>
          <w:rFonts w:ascii="Times New Roman" w:cs="Times New Roman" w:eastAsia="Times New Roman" w:hAnsi="Times New Roman"/>
          <w:color w:val="000000"/>
          <w:sz w:val="22"/>
          <w:szCs w:val="22"/>
        </w:rPr>
        <w:t xml:space="preserve">States may conduct advisory referenda on political questions including the question of independence, provided such referenda are explicitly labeled non-binding and do not purport to have legal effect. Advisory results are political expression protected under §1.4 and §1.7; they do not constitute steps toward independence recognition under this section, and no State action premised solely on an advisory referendum result satisfies the constitutional conditions for independence recognition.</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define the initiation process for a §15.4 independence referendum, including: the citizen petition threshold required to compel a referendum; the campaign period; ballot language neutrality requirements subject to Judicial Inspectorate review; administration through the National Voting System; joint certification of results by the Electoral Commission and the Legislative Inspectorate; and a minimum interval between successive referenda on the same independence question. Any statutory procedure must preserve the constitutional right to petition for a referendum and may not make the process so burdensome as to prevent a genuine citizen movement from pursuing it. The transition process following a successful §15.4 referendum is governed by §15.5. the Legislature must certify a qualifying independence petition within 60 days of the Legislative Inspectorate's verification that the petition has met its threshold. Failure to certify within 60 days constitutes automatic certification by constitutional operation on day 61; the Monetary Authority assessment clock and the framework agreement negotiation period begin automatically on that date regardless of parliamentary action or inaction.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15.5 — Independence Transition Framework</w:t>
      </w:r>
    </w:p>
    <w:p>
      <w:pPr>
        <w:spacing w:after="60" w:before="60" w:line="280" w:lineRule="auto"/>
        <w:jc w:val="both"/>
      </w:pPr>
      <w:r>
        <w:rPr>
          <w:rFonts w:ascii="Times New Roman" w:cs="Times New Roman" w:eastAsia="Times New Roman" w:hAnsi="Times New Roman"/>
          <w:color w:val="000000"/>
          <w:sz w:val="22"/>
          <w:szCs w:val="22"/>
        </w:rPr>
        <w:t xml:space="preserve">The democratic authorization of independence under §15.4 creates a constitutional obligation to manage the transition responsibly, lawfully, and transparently. This section governs the transition process that follows §15.4 recognition.</w:t>
      </w:r>
    </w:p>
    <w:p>
      <w:pPr>
        <w:spacing w:after="60" w:before="60" w:line="280" w:lineRule="auto"/>
        <w:jc w:val="both"/>
      </w:pPr>
      <w:r>
        <w:rPr>
          <w:rFonts w:ascii="Times New Roman" w:cs="Times New Roman" w:eastAsia="Times New Roman" w:hAnsi="Times New Roman"/>
          <w:b/>
          <w:bCs/>
          <w:color w:val="1B2A4A"/>
          <w:sz w:val="22"/>
          <w:szCs w:val="22"/>
        </w:rPr>
        <w:t xml:space="preserve">15.5.a Framework Agreement Requirement: </w:t>
      </w:r>
      <w:r>
        <w:rPr>
          <w:rFonts w:ascii="Times New Roman" w:cs="Times New Roman" w:eastAsia="Times New Roman" w:hAnsi="Times New Roman"/>
          <w:color w:val="000000"/>
          <w:sz w:val="22"/>
          <w:szCs w:val="22"/>
        </w:rPr>
        <w:t xml:space="preserve">Before the §15.4 referendum is held, the Republic and the proposed independent territory must negotiate and publish to the National Record System a framework independence agreement covering: the status of Republic citizens residing in the departing territory; Basic Needs Floor-equivalent transition arrangements; the disposition of Operational Use Rights under §17.3.e; proportionate obligations for Republic-funded infrastructure; and the proposed diplomatic and treaty relationship. the Legislature defines by statute the full content requirements for framework agreements. The agreement must be published at least 90 days before the referendum date. The Judicial Inspectorate certifies whether all required elements are present within 30 days of publication; a referendum may not be held until the JI certifies completeness. The ballot must reference the published agreement and its NRS record number. Where no complete framework agreement is produced within 18 months of petition certification, a default framework activates automatically on terms the Legislature defines by statute; the default framework ensures the democratic process cannot be blocked through non-negotiation. Before any independence referendum, the Monetary Authority must publish a Republic-wide fiscal impact assessment to the NRS within 90 days of petition certification, covering the territory's GNR share, BNF floor impact, debt-to-GNR ratio change, and cumulative impact where multiple petitions are simultaneously pending. The assessment must be referenced on the ballot with its NRS record number. A referendum held without a published fiscal impact assessment is void. Regardless of the Legislature's statutory content requirements, every framework agreement must at minimum address: the status and rights of Republic citizens in the departing territory; social provision continuity during the transition period; the disposition of federal security installations; the diplomatic and treaty relationship after independence; and fiscal obligations for Republic-funded infrastructure within the departing territory. the Legislature defines the specific content requirements within each category and may require additional elements beyond this constitutional floor. Where the Legislature has not enacted a statutory default framework before the 18-month period expires, the following terms constitute the minimum constitutional default: a 36-month transition period; BNF-equivalent social provision continues at the current rate throughout the transition; all federal security installations are subject to negotiated departure with a 24-month maximum; the departing territory assumes responsibility for Republic-funded infrastructure within its borders on a schedule the MA certifies as fiscally viable; and the diplomatic relationship is governed by standard international recognition protocols. the Legislature may modify these default terms by statute at any time, but may not use the absence of a statutory default to prevent or indefinitely delay a constitutionally authorised independence referendum.</w:t>
      </w:r>
    </w:p>
    <w:p>
      <w:pPr>
        <w:spacing w:after="60" w:before="60" w:line="280" w:lineRule="auto"/>
        <w:jc w:val="both"/>
      </w:pPr>
      <w:r>
        <w:rPr>
          <w:rFonts w:ascii="Times New Roman" w:cs="Times New Roman" w:eastAsia="Times New Roman" w:hAnsi="Times New Roman"/>
          <w:b/>
          <w:bCs/>
          <w:color w:val="1B2A4A"/>
          <w:sz w:val="22"/>
          <w:szCs w:val="22"/>
        </w:rPr>
        <w:t xml:space="preserve">15.5.b Transition Period: </w:t>
      </w:r>
      <w:r>
        <w:rPr>
          <w:rFonts w:ascii="Times New Roman" w:cs="Times New Roman" w:eastAsia="Times New Roman" w:hAnsi="Times New Roman"/>
          <w:color w:val="000000"/>
          <w:sz w:val="22"/>
          <w:szCs w:val="22"/>
        </w:rPr>
        <w:t xml:space="preserve">Formal independence takes effect no sooner than 24 months and no later than 60 months after referendum certification, on a date the framework agreement specifies. During the transition period, the departing territory remains part of the Republic for all constitutional purposes except as the framework agreement otherwise provides. the Legislature must by statute define the governance arrangements applicable during the transition period.</w:t>
      </w:r>
    </w:p>
    <w:p>
      <w:pPr>
        <w:spacing w:after="60" w:before="60" w:line="280" w:lineRule="auto"/>
        <w:jc w:val="both"/>
      </w:pPr>
      <w:r>
        <w:rPr>
          <w:rFonts w:ascii="Times New Roman" w:cs="Times New Roman" w:eastAsia="Times New Roman" w:hAnsi="Times New Roman"/>
          <w:b/>
          <w:bCs/>
          <w:color w:val="1B2A4A"/>
          <w:sz w:val="22"/>
          <w:szCs w:val="22"/>
        </w:rPr>
        <w:t xml:space="preserve">15.5.c Basic Needs Floor Transition: </w:t>
      </w:r>
      <w:r>
        <w:rPr>
          <w:rFonts w:ascii="Times New Roman" w:cs="Times New Roman" w:eastAsia="Times New Roman" w:hAnsi="Times New Roman"/>
          <w:color w:val="000000"/>
          <w:sz w:val="22"/>
          <w:szCs w:val="22"/>
        </w:rPr>
        <w:t xml:space="preserve">Despite §10.1 applying to Inhabitants of the Republic, the Republic's obligations to the departing territory during the transition period — including Basic Needs Floor-equivalent distributions — are funded from general revenue as statutory treaty obligations the Legislature must authorize by legislation enacted no later than 90 days after referendum certification. the Legislature must by statute define the duration and rate of transition distributions consistent with the framework agreement. The transition distribution may not terminate before the transition period ends under §15.5.b.</w:t>
      </w:r>
    </w:p>
    <w:p>
      <w:pPr>
        <w:spacing w:after="60" w:before="60" w:line="280" w:lineRule="auto"/>
        <w:jc w:val="both"/>
      </w:pPr>
      <w:r>
        <w:rPr>
          <w:rFonts w:ascii="Times New Roman" w:cs="Times New Roman" w:eastAsia="Times New Roman" w:hAnsi="Times New Roman"/>
          <w:b/>
          <w:bCs/>
          <w:color w:val="1B2A4A"/>
          <w:sz w:val="22"/>
          <w:szCs w:val="22"/>
        </w:rPr>
        <w:t xml:space="preserve">15.5.d Executive Authority: </w:t>
      </w:r>
      <w:r>
        <w:rPr>
          <w:rFonts w:ascii="Times New Roman" w:cs="Times New Roman" w:eastAsia="Times New Roman" w:hAnsi="Times New Roman"/>
          <w:color w:val="000000"/>
          <w:sz w:val="22"/>
          <w:szCs w:val="22"/>
        </w:rPr>
        <w:t xml:space="preserve">The President holds negotiating authority for the international dimensions of the framework agreement and the independence treaty under §2.1's diplomatic domain. The Prime Minister holds authority for the domestic transition arrangements under §2.2's domestic domain. A joint presidential-PM transition committee must be established within 14 days of referendum certification. The independence treaty requires Senate ratification under §3.2.e. Neither the President nor the Prime Minister may unilaterally conclude the framework agreement — both must concur in their respective domain components before the agreement is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15.5.e Simultaneous Independence Sequencing: </w:t>
      </w:r>
      <w:r>
        <w:rPr>
          <w:rFonts w:ascii="Times New Roman" w:cs="Times New Roman" w:eastAsia="Times New Roman" w:hAnsi="Times New Roman"/>
          <w:color w:val="000000"/>
          <w:sz w:val="22"/>
          <w:szCs w:val="22"/>
        </w:rPr>
        <w:t xml:space="preserve">Where more than one independence process is simultaneously authorised under §15.4, transition periods must be sequenced with a minimum interval between formal independence dates that the Legislature defines by statute. Sequencing must be specified in each territory's framework agreement. Where framework agreements do not specify sequencing, or where multiple framework agreements produce conflicting dates, formal independence dates are determined by the order of referendum certification — the first certified referendum produces the earliest formal independence date. No two territories may achieve formal independence simultaneously. The sequencing requirement does not limit or delay the democratic referendum process — it governs only the date on which formal independence takes effect after a referendum succeeds.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15.6 — Constitutional Supremacy</w:t>
      </w:r>
    </w:p>
    <w:p>
      <w:pPr>
        <w:spacing w:after="60" w:before="60" w:line="280" w:lineRule="auto"/>
        <w:jc w:val="both"/>
      </w:pPr>
      <w:r>
        <w:rPr>
          <w:rFonts w:ascii="Times New Roman" w:cs="Times New Roman" w:eastAsia="Times New Roman" w:hAnsi="Times New Roman"/>
          <w:b/>
          <w:bCs/>
          <w:color w:val="1B2A4A"/>
          <w:sz w:val="22"/>
          <w:szCs w:val="22"/>
        </w:rPr>
        <w:t xml:space="preserve">15.6 Supremacy of This Constitution: </w:t>
      </w:r>
      <w:r>
        <w:rPr>
          <w:rFonts w:ascii="Times New Roman" w:cs="Times New Roman" w:eastAsia="Times New Roman" w:hAnsi="Times New Roman"/>
          <w:color w:val="000000"/>
          <w:sz w:val="22"/>
          <w:szCs w:val="22"/>
        </w:rPr>
        <w:t xml:space="preserve">This Constitution is the supreme law of the Federated Republic. All legislative acts, executive orders, treaties, administrative decisions, and government actions of any kind must be consistent with this Constitution. Any provision of law that is inconsistent with this Constitution is, to the extent of the inconsistency, without legal force or effect. All branches of government, all officials, and all persons exercising public authority are bound by this Constitution and may not act contrary to it.</w:t>
      </w:r>
    </w:p>
    <w:p>
      <w:pPr>
        <w:spacing w:after="60" w:before="60" w:line="280" w:lineRule="auto"/>
        <w:jc w:val="both"/>
      </w:pPr>
      <w:r>
        <w:rPr>
          <w:rFonts w:ascii="Times New Roman" w:cs="Times New Roman" w:eastAsia="Times New Roman" w:hAnsi="Times New Roman"/>
          <w:b/>
          <w:bCs/>
          <w:color w:val="1B2A4A"/>
          <w:sz w:val="22"/>
          <w:szCs w:val="22"/>
        </w:rPr>
        <w:t xml:space="preserve">15.6.b Federal-State Statutory Hierarchy: </w:t>
      </w:r>
      <w:r>
        <w:rPr>
          <w:rFonts w:ascii="Times New Roman" w:cs="Times New Roman" w:eastAsia="Times New Roman" w:hAnsi="Times New Roman"/>
          <w:color w:val="000000"/>
          <w:sz w:val="22"/>
          <w:szCs w:val="22"/>
        </w:rPr>
        <w:t xml:space="preserve">Federal statutes enacted within the Legislature's constitutional competence prevail over conflicting State statutes. Where a federal statute and a State statute address the same subject without conflict — where a person can comply with both simultaneously — both operate concurrently and the State statute is not displaced. A State statute that directly contradicts a federal statutory requirement, or that stands as an obstacle to the accomplishment of the federal statute's evident purpose, is without legal force to the extent of the conflict. The Legislature may by statute expressly state whether a federal enactment is intended to occupy a field exclusively, to permit concurrent State regulation, or to set a floor below which State law may not go. In the absence of an express statement, courts apply the conflict test and the obstacle test before finding preemption — field preemption by implication requires clear evidence of legislative intent to occupy the field entirely.</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 — THE NATIONAL VOTING SYSTEM AND ELECTORAL COMMISSION</w:t>
      </w:r>
    </w:p>
    <w:p>
      <w:pPr>
        <w:spacing w:after="60" w:before="60" w:line="280" w:lineRule="auto"/>
        <w:jc w:val="both"/>
      </w:pPr>
      <w:r>
        <w:rPr>
          <w:rFonts w:ascii="Times New Roman" w:cs="Times New Roman" w:eastAsia="Times New Roman" w:hAnsi="Times New Roman"/>
          <w:color w:val="000000"/>
          <w:sz w:val="22"/>
          <w:szCs w:val="22"/>
        </w:rPr>
        <w:t xml:space="preserve">The National Voting System is the Republic's cryptographically secured platform for all elections, referenda, and petition signature collection. It is constitutionally separate from the National Record System and is administered exclusively by the Electoral Commission.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16.1 — The Electoral Commission</w:t>
      </w:r>
    </w:p>
    <w:p>
      <w:pPr>
        <w:spacing w:after="60" w:before="60" w:line="280" w:lineRule="auto"/>
        <w:jc w:val="both"/>
      </w:pPr>
      <w:r>
        <w:rPr>
          <w:rFonts w:ascii="Times New Roman" w:cs="Times New Roman" w:eastAsia="Times New Roman" w:hAnsi="Times New Roman"/>
          <w:color w:val="000000"/>
          <w:sz w:val="22"/>
          <w:szCs w:val="22"/>
        </w:rPr>
        <w:t xml:space="preserve">The Electoral Commission is a five-member body with full democratic mandate. All five members are elected to single non-renewable 6-year terms, staggered so no more than two seats are contested in any election cycle.</w:t>
      </w:r>
    </w:p>
    <w:p>
      <w:pPr>
        <w:spacing w:after="60" w:before="60" w:line="280" w:lineRule="auto"/>
        <w:jc w:val="both"/>
      </w:pPr>
      <w:r>
        <w:rPr>
          <w:rFonts w:ascii="Times New Roman" w:cs="Times New Roman" w:eastAsia="Times New Roman" w:hAnsi="Times New Roman"/>
          <w:color w:val="000000"/>
          <w:sz w:val="22"/>
          <w:szCs w:val="22"/>
        </w:rPr>
        <w:t xml:space="preserve">The Commission elects its own Chair from among its members by internal majority vote, rotating every two years, with no member serving as Chair more than once per term. Decisions require a 3/5 majority — three of five members.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16.2 — Member Qualifications</w:t>
      </w:r>
    </w:p>
    <w:p>
      <w:pPr>
        <w:spacing w:after="60" w:before="60" w:line="280" w:lineRule="auto"/>
        <w:jc w:val="both"/>
      </w:pPr>
      <w:r>
        <w:rPr>
          <w:rFonts w:ascii="Times New Roman" w:cs="Times New Roman" w:eastAsia="Times New Roman" w:hAnsi="Times New Roman"/>
          <w:color w:val="000000"/>
          <w:sz w:val="22"/>
          <w:szCs w:val="22"/>
        </w:rPr>
        <w:t xml:space="preserve">All Electoral Commission candidates must meet the following qualifications. Each candidate submits a disclosure record reviewed by both the Executive Inspectorate (factual accuracy) and the Judicial Inspectorate (eligibility criteria), both published to the National Record System before the election.</w:t>
      </w:r>
    </w:p>
    <w:p>
      <w:pPr>
        <w:spacing w:after="60" w:before="60" w:line="280" w:lineRule="auto"/>
        <w:jc w:val="both"/>
      </w:pPr>
      <w:r>
        <w:rPr>
          <w:rFonts w:ascii="Times New Roman" w:cs="Times New Roman" w:eastAsia="Times New Roman" w:hAnsi="Times New Roman"/>
          <w:b/>
          <w:bCs/>
          <w:color w:val="1B2A4A"/>
          <w:sz w:val="22"/>
          <w:szCs w:val="22"/>
        </w:rPr>
        <w:t xml:space="preserve">16.2 Electoral Commission Qualifications: </w:t>
      </w:r>
      <w:r>
        <w:rPr>
          <w:rFonts w:ascii="Times New Roman" w:cs="Times New Roman" w:eastAsia="Times New Roman" w:hAnsi="Times New Roman"/>
          <w:color w:val="000000"/>
          <w:sz w:val="22"/>
          <w:szCs w:val="22"/>
        </w:rPr>
        <w:t xml:space="preserve">Commissioners must meet all three requirements: at least 15 years of professional experience in electoral administration, cryptographic systems, constitutional law, or civic infrastructure; no party membership or government position in the 15 years before nomination; and no financial interest in any entity supplying or capable of supplying the National Voting System. Before each Electoral Commission election, each candidate must submit a candidate disclosure record to both the Executive Inspectorate and the Judicial Inspectorate. The record must include professional background, relevant expertise, financial disclosures, prior government positions, and prior party memberships. The EI reviews the submitted record for factual accuracy and publishes the record together with its recommendation — whether the submitted facts are accurate — to the National Record System before the election. The JI separately applies the §16.2 eligibility criteria and publishes an eligibility determination to the NRS. The JI eligibility determination is a gatekeeping decision subject to §8.9.d SC appeals. Where either Inspectorate identifies a material factual inaccuracy, it publishes a specific discrepancy finding; the candidate may submit a corrected record within a Legislature-defined period. Any citizen who identifies a discrepancy may petition their elected representative.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16.3 — Constitutional Properties of the National Voting System</w:t>
      </w:r>
    </w:p>
    <w:p>
      <w:pPr>
        <w:spacing w:before="60" w:after="60" w:line="280" w:lineRule="auto"/>
        <w:jc w:val="both"/>
      </w:pPr>
      <w:r>
        <w:rPr>
          <w:b/>
          <w:sz w:val="22"/>
          <w:color w:val="1B2A4A"/>
        </w:rPr>
        <w:t xml:space="preserve">16.2.a Electoral Commission Removal: </w:t>
      </w:r>
      <w:r>
        <w:rPr>
          <w:sz w:val="22"/>
        </w:rPr>
        <w:t xml:space="preserve">Electoral Commission members may be removed only through For-Cause proceedings. No-Cause removal is not available — the Electoral Commission administers all national elections and referenda; a no-cause removal mechanism would create an unacceptable vector for electoral manipulation by any temporary legislative majority. For-Cause Removal Grounds: documented dereliction of duty, incapacity to perform the functions of the office, undisclosed conflict of interest, criminal conviction, or conduct that materially compromises the integrity of any election or referendum. Process: The Judicial Inspectorate — which audits the Electoral Commission annually under §8.1.c — must publish a documented finding of specific misconduct to the National Record System before any removal vote may proceed. The finding is published no later than 30 days after a removal motion is filed. The finding is advisory — it does not compel removal — but no removal vote may be held without it. Following publication of the JI finding, removal requires a 2/3 vote of both chambers simultaneously, calculated against full seated membership of each chamber. A member subject to For-Cause proceedings continues all duties until the removal vote concludes; they may not be suspended from duties pending the JI finding or the legislative vote. Upon removal, the seat is filled through a special election held within 90 days under the same process as a regular Electoral Commission election. The replacement serves a full new non-renewable 6-year term from the date of certification, not the remainder of the removed member's term.</w:t>
      </w:r>
    </w:p>
    <w:p>
      <w:pPr>
        <w:spacing w:after="60" w:before="60" w:line="280" w:lineRule="auto"/>
        <w:jc w:val="both"/>
      </w:pPr>
      <w:r>
        <w:rPr>
          <w:rFonts w:ascii="Times New Roman" w:cs="Times New Roman" w:eastAsia="Times New Roman" w:hAnsi="Times New Roman"/>
          <w:color w:val="000000"/>
          <w:sz w:val="22"/>
          <w:szCs w:val="22"/>
        </w:rPr>
        <w:t xml:space="preserve">The National Voting System must satisfy these constitutional properties. the Legislature may not remove or weaken any of them by statute.</w:t>
      </w:r>
    </w:p>
    <w:p>
      <w:pPr>
        <w:spacing w:after="60" w:before="60" w:line="280" w:lineRule="auto"/>
        <w:jc w:val="both"/>
      </w:pPr>
      <w:r>
        <w:rPr>
          <w:rFonts w:ascii="Times New Roman" w:cs="Times New Roman" w:eastAsia="Times New Roman" w:hAnsi="Times New Roman"/>
          <w:b/>
          <w:bCs/>
          <w:color w:val="1B2A4A"/>
          <w:sz w:val="22"/>
          <w:szCs w:val="22"/>
        </w:rPr>
        <w:t xml:space="preserve">16.3.a Ballot Secrecy: </w:t>
      </w:r>
      <w:r>
        <w:rPr>
          <w:rFonts w:ascii="Times New Roman" w:cs="Times New Roman" w:eastAsia="Times New Roman" w:hAnsi="Times New Roman"/>
          <w:color w:val="000000"/>
          <w:sz w:val="22"/>
          <w:szCs w:val="22"/>
        </w:rPr>
        <w:t xml:space="preserve">No person or institution — including Electoral Commission members, system administrators, Inspectorates, or any court — may observe how an individual voted. Ballot secrecy is absolute. Every voter receives a cryptographic receipt allowing them to verify their own ballot was recorded correctly without revealing its content to others.</w:t>
      </w:r>
    </w:p>
    <w:p>
      <w:pPr>
        <w:spacing w:after="60" w:before="60" w:line="280" w:lineRule="auto"/>
        <w:jc w:val="both"/>
      </w:pPr>
      <w:r>
        <w:rPr>
          <w:rFonts w:ascii="Times New Roman" w:cs="Times New Roman" w:eastAsia="Times New Roman" w:hAnsi="Times New Roman"/>
          <w:b/>
          <w:bCs/>
          <w:color w:val="1B2A4A"/>
          <w:sz w:val="22"/>
          <w:szCs w:val="22"/>
        </w:rPr>
        <w:t xml:space="preserve">16.3.b Public Auditability: </w:t>
      </w:r>
      <w:r>
        <w:rPr>
          <w:rFonts w:ascii="Times New Roman" w:cs="Times New Roman" w:eastAsia="Times New Roman" w:hAnsi="Times New Roman"/>
          <w:color w:val="000000"/>
          <w:sz w:val="22"/>
          <w:szCs w:val="22"/>
        </w:rPr>
        <w:t xml:space="preserve">The aggregate results of every election and referendum must be mathematically verifiable by any citizen without specialized access. The system is open to public audit while preserving individual ballot secrecy.</w:t>
      </w:r>
    </w:p>
    <w:p>
      <w:pPr>
        <w:spacing w:after="60" w:before="60" w:line="280" w:lineRule="auto"/>
        <w:jc w:val="both"/>
      </w:pPr>
      <w:r>
        <w:rPr>
          <w:rFonts w:ascii="Times New Roman" w:cs="Times New Roman" w:eastAsia="Times New Roman" w:hAnsi="Times New Roman"/>
          <w:b/>
          <w:bCs/>
          <w:color w:val="1B2A4A"/>
          <w:sz w:val="22"/>
          <w:szCs w:val="22"/>
        </w:rPr>
        <w:t xml:space="preserve">16.3.c Resilience and Privacy: </w:t>
      </w:r>
      <w:r>
        <w:rPr>
          <w:rFonts w:ascii="Times New Roman" w:cs="Times New Roman" w:eastAsia="Times New Roman" w:hAnsi="Times New Roman"/>
          <w:color w:val="000000"/>
          <w:sz w:val="22"/>
          <w:szCs w:val="22"/>
        </w:rPr>
        <w:t xml:space="preserve">The system must be capable of operating in degraded conditions without compromising secrecy or auditability. No information generated by the National Voting System — including participation records — may be used for any commercial purpose or shared with any entity outside the Electoral Commission and the Judicial Inspectorate. the Legislature defines technical standards and implementation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16.4 — The Citizen Voting Credential</w:t>
      </w:r>
    </w:p>
    <w:p>
      <w:pPr>
        <w:spacing w:after="60" w:before="60" w:line="280" w:lineRule="auto"/>
        <w:jc w:val="both"/>
      </w:pPr>
      <w:r>
        <w:rPr>
          <w:rFonts w:ascii="Times New Roman" w:cs="Times New Roman" w:eastAsia="Times New Roman" w:hAnsi="Times New Roman"/>
          <w:b/>
          <w:bCs/>
          <w:color w:val="1B2A4A"/>
          <w:sz w:val="22"/>
          <w:szCs w:val="22"/>
        </w:rPr>
        <w:t xml:space="preserve">16.4.a Credential: </w:t>
      </w:r>
      <w:r>
        <w:rPr>
          <w:rFonts w:ascii="Times New Roman" w:cs="Times New Roman" w:eastAsia="Times New Roman" w:hAnsi="Times New Roman"/>
          <w:color w:val="000000"/>
          <w:sz w:val="22"/>
          <w:szCs w:val="22"/>
        </w:rPr>
        <w:t xml:space="preserve">The Citizen Voting Credential is issued and managed by the Electoral Commission. The system stores only cryptographic identifiers — not names, biometric data, or personal information — ensuring the link between a citizen and their credential cannot be used to identify how they voted. Voluntary biometric authentication may be used as a method of accessing the credential; no biometric data is transmitted to or held by the National Voting System or the Electoral Commission. Citizens whose Credentials are lost or compromised have the right to timely reissuance under a process the Legislature defines by statute.</w:t>
      </w:r>
    </w:p>
    <w:p>
      <w:pPr>
        <w:spacing w:after="60" w:before="60" w:line="280" w:lineRule="auto"/>
        <w:jc w:val="both"/>
      </w:pPr>
      <w:r>
        <w:rPr>
          <w:rFonts w:ascii="Times New Roman" w:cs="Times New Roman" w:eastAsia="Times New Roman" w:hAnsi="Times New Roman"/>
          <w:b/>
          <w:bCs/>
          <w:color w:val="1B2A4A"/>
          <w:sz w:val="22"/>
          <w:szCs w:val="22"/>
        </w:rPr>
        <w:t xml:space="preserve">16.4.b Remote Voting: </w:t>
      </w:r>
      <w:r>
        <w:rPr>
          <w:rFonts w:ascii="Times New Roman" w:cs="Times New Roman" w:eastAsia="Times New Roman" w:hAnsi="Times New Roman"/>
          <w:color w:val="000000"/>
          <w:sz w:val="22"/>
          <w:szCs w:val="22"/>
        </w:rPr>
        <w:t xml:space="preserve">the Legislature may by statute authorize authenticated remote voting through the National Voting System. No statute may permanently prohibit remote voting as a method of participation.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16.5 — Electoral Commission Oversight and Removal</w:t>
      </w:r>
    </w:p>
    <w:p>
      <w:pPr>
        <w:spacing w:after="60" w:before="60" w:line="280" w:lineRule="auto"/>
        <w:jc w:val="both"/>
      </w:pPr>
      <w:r>
        <w:rPr>
          <w:rFonts w:ascii="Times New Roman" w:cs="Times New Roman" w:eastAsia="Times New Roman" w:hAnsi="Times New Roman"/>
          <w:b/>
          <w:bCs/>
          <w:color w:val="1B2A4A"/>
          <w:sz w:val="22"/>
          <w:szCs w:val="22"/>
        </w:rPr>
        <w:t xml:space="preserve">16.5.a Campaign Funding: </w:t>
      </w:r>
      <w:r>
        <w:rPr>
          <w:rFonts w:ascii="Times New Roman" w:cs="Times New Roman" w:eastAsia="Times New Roman" w:hAnsi="Times New Roman"/>
          <w:color w:val="000000"/>
          <w:sz w:val="22"/>
          <w:szCs w:val="22"/>
        </w:rPr>
        <w:t xml:space="preserve">Campaigns for Electoral Commission seats are publicly funded in full. No private donations are permitted. The Commission sets its own campaign funding levels for successor seats, subject to National Record System audit.</w:t>
      </w:r>
    </w:p>
    <w:p>
      <w:pPr>
        <w:spacing w:after="60" w:before="60" w:line="280" w:lineRule="auto"/>
        <w:jc w:val="both"/>
      </w:pPr>
      <w:r>
        <w:rPr>
          <w:rFonts w:ascii="Times New Roman" w:cs="Times New Roman" w:eastAsia="Times New Roman" w:hAnsi="Times New Roman"/>
          <w:b/>
          <w:bCs/>
          <w:color w:val="1B2A4A"/>
          <w:sz w:val="22"/>
          <w:szCs w:val="22"/>
        </w:rPr>
        <w:t xml:space="preserve">16.5.b JI Oversight: </w:t>
      </w:r>
      <w:r>
        <w:rPr>
          <w:rFonts w:ascii="Times New Roman" w:cs="Times New Roman" w:eastAsia="Times New Roman" w:hAnsi="Times New Roman"/>
          <w:color w:val="000000"/>
          <w:sz w:val="22"/>
          <w:szCs w:val="22"/>
        </w:rPr>
        <w:t xml:space="preserve">The Judicial Inspectorate audits the Electoral Commission annually and publishes findings as part of the Annual State of the Republic Report. The Commission publishes all technical standards, audit logs, and operational decisions to the National Record System promptly upon adoption.</w:t>
      </w:r>
    </w:p>
    <w:p>
      <w:pPr>
        <w:spacing w:after="60" w:before="60" w:line="280" w:lineRule="auto"/>
        <w:jc w:val="both"/>
      </w:pPr>
      <w:r>
        <w:rPr>
          <w:rFonts w:ascii="Times New Roman" w:cs="Times New Roman" w:eastAsia="Times New Roman" w:hAnsi="Times New Roman"/>
          <w:b/>
          <w:bCs/>
          <w:color w:val="1B2A4A"/>
          <w:sz w:val="22"/>
          <w:szCs w:val="22"/>
        </w:rPr>
        <w:t xml:space="preserve">16.5.c Removal: </w:t>
      </w:r>
      <w:r>
        <w:rPr>
          <w:rFonts w:ascii="Times New Roman" w:cs="Times New Roman" w:eastAsia="Times New Roman" w:hAnsi="Times New Roman"/>
          <w:color w:val="000000"/>
          <w:sz w:val="22"/>
          <w:szCs w:val="22"/>
        </w:rPr>
        <w:t xml:space="preserve">Electoral Commission members may only be removed by Track 1 For-Cause removal (§8.5), requiring a 2/3 vote of both chambers simultaneously, preceded by State Designee Panel verification under §8.9. No-Cause removal is not available for Electoral Commission members. Any removal attempt within 180 days of a national election at which more than 20% of seated national offices are on the ballot is automatically suspended pending Supreme Court review within 48 hours.</w:t>
      </w:r>
    </w:p>
    <w:p>
      <w:pPr>
        <w:spacing w:after="60" w:before="60" w:line="280" w:lineRule="auto"/>
        <w:jc w:val="both"/>
      </w:pPr>
      <w:r>
        <w:rPr>
          <w:rFonts w:ascii="Times New Roman" w:cs="Times New Roman" w:eastAsia="Times New Roman" w:hAnsi="Times New Roman"/>
          <w:b/>
          <w:bCs/>
          <w:color w:val="1B2A4A"/>
          <w:sz w:val="22"/>
          <w:szCs w:val="22"/>
        </w:rPr>
        <w:t xml:space="preserve">16.5.d Mid-Term Vacancy: </w:t>
      </w:r>
      <w:r>
        <w:rPr>
          <w:rFonts w:ascii="Times New Roman" w:cs="Times New Roman" w:eastAsia="Times New Roman" w:hAnsi="Times New Roman"/>
          <w:color w:val="000000"/>
          <w:sz w:val="22"/>
          <w:szCs w:val="22"/>
        </w:rPr>
        <w:t xml:space="preserve">Where any Electoral Commission seat becomes vacant mid-term through death, resignation, removal, or expulsion, the vacancy is filled as follows. For seats originally filled by national popular vote: a special election is held within 90 days through the National Voting System; the replacement serves the remainder of the original term, not a new 6-year term. For seats originally filled by joint session of the Legislature: a joint session is convened within 90 days and elects a replacement by RCV from qualified candidates vetted by the Judicial Inspectorate; the replacement serves the remainder of the original term. During any vacancy period, the remaining seated Commission members constitute a quorum and continue operating. the Legislature must by statute define the minimum quorum for Commission operations, which must be a majority of the currently seated members and must produce an odd voting number to preserve the Commission's tie-prevention architecture. If a vacancy reduces the Commission below the statutory quorum, the most senior remaining member assumes expanded operational authority pending the special election or joint session. House Caretaker Period — Joint Session Contingency: Where a House caretaker period under §2.3.a is active at the time an Electoral Commission seat that would ordinarily be filled by joint session under §16.1 becomes vacant, the Senate alone acts in the capacity of the Legislature for this purpose and elects the replacement by absolute majority of its full seated membership, applying the same qualified-candidate and JI-vetting requirements as a standard joint session. The replacement serves only the remainder of the original term. Upon the House being reconstituted, the Senate-elected replacement continues in office for the remainder of their term; the next standard vacancy or election cycle proceeds normally.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16.6 — Electoral Commission Technical Deadlock</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procedure for the Electoral Commission to adopt temporary technical measures in cases of imminent security threats to election integrity where the Commission cannot achieve its standard decision threshold. Any such procedure must require Judicial Inspectorate certification of the security threat, define a maximum duration for temporary measures, and require reversion to the prior technical state if the standard threshold is not subsequently achieved.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16.7 — Day Zero Voting System Transition</w:t>
      </w:r>
    </w:p>
    <w:p>
      <w:pPr>
        <w:spacing w:after="60" w:before="60" w:line="280" w:lineRule="auto"/>
        <w:jc w:val="both"/>
      </w:pPr>
      <w:r>
        <w:rPr>
          <w:rFonts w:ascii="Times New Roman" w:cs="Times New Roman" w:eastAsia="Times New Roman" w:hAnsi="Times New Roman"/>
          <w:b/>
          <w:bCs/>
          <w:color w:val="1B2A4A"/>
          <w:sz w:val="22"/>
          <w:szCs w:val="22"/>
        </w:rPr>
        <w:t xml:space="preserve">This section governs three one-time transition events: </w:t>
      </w:r>
      <w:r>
        <w:rPr>
          <w:rFonts w:ascii="Times New Roman" w:cs="Times New Roman" w:eastAsia="Times New Roman" w:hAnsi="Times New Roman"/>
          <w:color w:val="000000"/>
          <w:sz w:val="22"/>
          <w:szCs w:val="22"/>
        </w:rPr>
        <w:t xml:space="preserve">the initial Electoral Commission formation, the simultaneous election of all nine Supreme Court justices, and the Senate staggering mechanism. All three occur during the first Phase 3 National Election Day.</w:t>
      </w:r>
    </w:p>
    <w:p>
      <w:pPr>
        <w:spacing w:after="60" w:before="60" w:line="280" w:lineRule="auto"/>
        <w:jc w:val="both"/>
      </w:pPr>
      <w:r>
        <w:rPr>
          <w:rFonts w:ascii="Times New Roman" w:cs="Times New Roman" w:eastAsia="Times New Roman" w:hAnsi="Times New Roman"/>
          <w:b/>
          <w:bCs/>
          <w:color w:val="1B2A4A"/>
          <w:sz w:val="22"/>
          <w:szCs w:val="22"/>
        </w:rPr>
        <w:t xml:space="preserve">16.7 Day Zero Transition: </w:t>
      </w:r>
      <w:r>
        <w:rPr>
          <w:rFonts w:ascii="Times New Roman" w:cs="Times New Roman" w:eastAsia="Times New Roman" w:hAnsi="Times New Roman"/>
          <w:color w:val="000000"/>
          <w:sz w:val="22"/>
          <w:szCs w:val="22"/>
        </w:rPr>
        <w:t xml:space="preserve">the Legislature must by statute establish the process for constituting the NVS and Electoral Commission during the Transition Window, including initial EC term staggering, the first voter registration process, and the operational timeline for Phase 3 elections. The constitutional requirement is that the NVS and EC are fully operational and independently certified before Phase 3 elections begin.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XVII — FEDERAL PROPERTY AND THE SEAT OF GOVERNMENT</w:t>
      </w:r>
    </w:p>
    <w:p>
      <w:pPr>
        <w:spacing w:after="60" w:before="60" w:line="280" w:lineRule="auto"/>
        <w:jc w:val="both"/>
      </w:pPr>
      <w:r>
        <w:rPr>
          <w:rFonts w:ascii="Times New Roman" w:cs="Times New Roman" w:eastAsia="Times New Roman" w:hAnsi="Times New Roman"/>
          <w:color w:val="000000"/>
          <w:sz w:val="22"/>
          <w:szCs w:val="22"/>
        </w:rPr>
        <w:t xml:space="preserve">The Federal government holds no territorial sovereignty within the boundaries of any State or Territory. All federal property rights are use rights — functional, defined, and tied to a specific public purpose. This doctrine applies to all land within the Republic and its Territories. Overseas facilities are governed by treaty and the President's diplomatic authority under Article XII.</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17.1 — The Use Doctrine</w:t>
      </w:r>
    </w:p>
    <w:p>
      <w:pPr>
        <w:spacing w:after="60" w:before="60" w:line="280" w:lineRule="auto"/>
        <w:jc w:val="both"/>
      </w:pPr>
      <w:r>
        <w:rPr>
          <w:rFonts w:ascii="Times New Roman" w:cs="Times New Roman" w:eastAsia="Times New Roman" w:hAnsi="Times New Roman"/>
          <w:color w:val="000000"/>
          <w:sz w:val="22"/>
          <w:szCs w:val="22"/>
        </w:rPr>
        <w:t xml:space="preserve">A federal use right grants operational control over a designated footprint for the duration of the stated function. It does not constitute ownership, does not transfer sovereignty from the host State or Territory, and does not survive the termination of the function that justified it. All federal use rights must be registered on the National Record System, specifying the land's footprint, the public function it serves, the host State or Territory, and the date established.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17.2 — The Federal Seat of Government</w:t>
      </w:r>
    </w:p>
    <w:p>
      <w:pPr>
        <w:spacing w:after="60" w:before="60" w:line="280" w:lineRule="auto"/>
        <w:jc w:val="both"/>
      </w:pPr>
      <w:r>
        <w:rPr>
          <w:rFonts w:ascii="Times New Roman" w:cs="Times New Roman" w:eastAsia="Times New Roman" w:hAnsi="Times New Roman"/>
          <w:color w:val="000000"/>
          <w:sz w:val="22"/>
          <w:szCs w:val="22"/>
        </w:rPr>
        <w:t xml:space="preserve">The seat of government must be located within a State that has formally consented to host it. There is no federal district. The location is designated by the Federal Seat Act, a standing statute requiring a 2/3 supermajority of both chambers to enact or amend.</w:t>
      </w:r>
    </w:p>
    <w:p>
      <w:pPr>
        <w:spacing w:after="60" w:before="60" w:line="280" w:lineRule="auto"/>
        <w:jc w:val="both"/>
      </w:pPr>
      <w:r>
        <w:rPr>
          <w:rFonts w:ascii="Times New Roman" w:cs="Times New Roman" w:eastAsia="Times New Roman" w:hAnsi="Times New Roman"/>
          <w:b/>
          <w:bCs/>
          <w:color w:val="1B2A4A"/>
          <w:sz w:val="22"/>
          <w:szCs w:val="22"/>
        </w:rPr>
        <w:t xml:space="preserve">17.2.a Host State Consent: </w:t>
      </w:r>
      <w:r>
        <w:rPr>
          <w:rFonts w:ascii="Times New Roman" w:cs="Times New Roman" w:eastAsia="Times New Roman" w:hAnsi="Times New Roman"/>
          <w:color w:val="000000"/>
          <w:sz w:val="22"/>
          <w:szCs w:val="22"/>
        </w:rPr>
        <w:t xml:space="preserve">The host State consents by a majority vote of its legislature, recorded on the National Record System. A 2/3 vote of the State legislature may withdraw consent with not less than 5 years' advance notice to the Legislature, during which the Legislature must designate a new host State. Federal operations are protected in full during the notice period.</w:t>
      </w:r>
    </w:p>
    <w:p>
      <w:pPr>
        <w:spacing w:after="60" w:before="60" w:line="280" w:lineRule="auto"/>
        <w:jc w:val="both"/>
      </w:pPr>
      <w:r>
        <w:rPr>
          <w:rFonts w:ascii="Times New Roman" w:cs="Times New Roman" w:eastAsia="Times New Roman" w:hAnsi="Times New Roman"/>
          <w:b/>
          <w:bCs/>
          <w:color w:val="1B2A4A"/>
          <w:sz w:val="22"/>
          <w:szCs w:val="22"/>
        </w:rPr>
        <w:t xml:space="preserve">17.2.b What Federal Control Means Within the Footprint: </w:t>
      </w:r>
      <w:r>
        <w:rPr>
          <w:rFonts w:ascii="Times New Roman" w:cs="Times New Roman" w:eastAsia="Times New Roman" w:hAnsi="Times New Roman"/>
          <w:color w:val="000000"/>
          <w:sz w:val="22"/>
          <w:szCs w:val="22"/>
        </w:rPr>
        <w:t xml:space="preserve">Within the specific registered federal footprint, the federal government has exclusive operational control. The host State may not tax federal operations, interfere with federal functions, or apply State law to federal employees acting in their official capacity on federal grounds. The footprint is fixed; expansion requires a new Host State Agreement.</w:t>
      </w:r>
    </w:p>
    <w:p>
      <w:pPr>
        <w:spacing w:after="60" w:before="60" w:line="280" w:lineRule="auto"/>
        <w:jc w:val="both"/>
      </w:pPr>
      <w:r>
        <w:rPr>
          <w:rFonts w:ascii="Times New Roman" w:cs="Times New Roman" w:eastAsia="Times New Roman" w:hAnsi="Times New Roman"/>
          <w:b/>
          <w:bCs/>
          <w:color w:val="1B2A4A"/>
          <w:sz w:val="22"/>
          <w:szCs w:val="22"/>
        </w:rPr>
        <w:t xml:space="preserve">17.2.c Resident Rights: </w:t>
      </w:r>
      <w:r>
        <w:rPr>
          <w:rFonts w:ascii="Times New Roman" w:cs="Times New Roman" w:eastAsia="Times New Roman" w:hAnsi="Times New Roman"/>
          <w:color w:val="000000"/>
          <w:sz w:val="22"/>
          <w:szCs w:val="22"/>
        </w:rPr>
        <w:t xml:space="preserve">Citizens residing in the vicinity of the seat of government are full citizens of the host State, with complete voting rights including Senate and House representation. No resident may be denied voting rights on grounds of proximity to federal property.</w:t>
      </w:r>
    </w:p>
    <w:p>
      <w:pPr>
        <w:spacing w:after="60" w:before="60" w:line="280" w:lineRule="auto"/>
        <w:jc w:val="both"/>
      </w:pPr>
      <w:r>
        <w:rPr>
          <w:rFonts w:ascii="Times New Roman" w:cs="Times New Roman" w:eastAsia="Times New Roman" w:hAnsi="Times New Roman"/>
          <w:b/>
          <w:bCs/>
          <w:color w:val="1B2A4A"/>
          <w:sz w:val="22"/>
          <w:szCs w:val="22"/>
        </w:rPr>
        <w:t xml:space="preserve">17.2.d Reversion on Relocation: </w:t>
      </w:r>
      <w:r>
        <w:rPr>
          <w:rFonts w:ascii="Times New Roman" w:cs="Times New Roman" w:eastAsia="Times New Roman" w:hAnsi="Times New Roman"/>
          <w:color w:val="000000"/>
          <w:sz w:val="22"/>
          <w:szCs w:val="22"/>
        </w:rPr>
        <w:t xml:space="preserve">If the seat of government is relocated, the prior host State recovers full sovereignty over all previously federally-designated grounds. Individual facilities remaining in active operational use may be retained as Operational Use Rights (§17.3) upon mutual agreement. Improvements are governed by §17.3.c.</w:t>
      </w:r>
    </w:p>
    <w:p>
      <w:pPr>
        <w:spacing w:after="60" w:before="60" w:line="280" w:lineRule="auto"/>
        <w:jc w:val="both"/>
      </w:pPr>
      <w:r>
        <w:rPr>
          <w:rFonts w:ascii="Times New Roman" w:cs="Times New Roman" w:eastAsia="Times New Roman" w:hAnsi="Times New Roman"/>
          <w:b/>
          <w:bCs/>
          <w:color w:val="1B2A4A"/>
          <w:sz w:val="22"/>
          <w:szCs w:val="22"/>
        </w:rPr>
        <w:t xml:space="preserve">17.2.e Provisional Seat — No Voluntary Host: </w:t>
      </w:r>
      <w:r>
        <w:rPr>
          <w:rFonts w:ascii="Times New Roman" w:cs="Times New Roman" w:eastAsia="Times New Roman" w:hAnsi="Times New Roman"/>
          <w:color w:val="000000"/>
          <w:sz w:val="22"/>
          <w:szCs w:val="22"/>
        </w:rPr>
        <w:t xml:space="preserve">If no State has consented to host the seat of government within 24 months of ratification — or within 24 months of a host State withdrawing consent — the Legislature may by 2/3 vote of both chambers designate any State as provisional host without requiring that State's legislative consent. The provisional designation is subject to these constitutional conditions: the host State is compensated for all costs imposed by the federal presence; the host State retains full sovereignty outside the federal footprint (§17.2.b); the designation lapses automatically when a consenting host State is identified; the host State legislature may end the designation by 2/3 vote with not less than 2 years' advance notice; and the federal footprint is the minimum area necessary for core government functions and may not displace residents from existing homes. Provisional designation is a last resort — the Legislature must actively pursue a consenting host throughout any provisional period. the Legislature defines the designation procedure and footprint mechanics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17.3 — Operational Use Rights</w:t>
      </w:r>
    </w:p>
    <w:p>
      <w:pPr>
        <w:spacing w:after="60" w:before="60" w:line="280" w:lineRule="auto"/>
        <w:jc w:val="both"/>
      </w:pPr>
      <w:r>
        <w:rPr>
          <w:rFonts w:ascii="Times New Roman" w:cs="Times New Roman" w:eastAsia="Times New Roman" w:hAnsi="Times New Roman"/>
          <w:color w:val="000000"/>
          <w:sz w:val="22"/>
          <w:szCs w:val="22"/>
        </w:rPr>
        <w:t xml:space="preserve">Military bases, federal courthouses, government office buildings, research facilities, border infrastructure, and all other facilities serving a specific ongoing federal function are held as Operational Use Rights.</w:t>
      </w:r>
    </w:p>
    <w:p>
      <w:pPr>
        <w:spacing w:after="60" w:before="60" w:line="280" w:lineRule="auto"/>
        <w:jc w:val="both"/>
      </w:pPr>
      <w:r>
        <w:rPr>
          <w:rFonts w:ascii="Times New Roman" w:cs="Times New Roman" w:eastAsia="Times New Roman" w:hAnsi="Times New Roman"/>
          <w:b/>
          <w:bCs/>
          <w:color w:val="1B2A4A"/>
          <w:sz w:val="22"/>
          <w:szCs w:val="22"/>
        </w:rPr>
        <w:t xml:space="preserve">17.3.a Registration: </w:t>
      </w:r>
      <w:r>
        <w:rPr>
          <w:rFonts w:ascii="Times New Roman" w:cs="Times New Roman" w:eastAsia="Times New Roman" w:hAnsi="Times New Roman"/>
          <w:color w:val="000000"/>
          <w:sz w:val="22"/>
          <w:szCs w:val="22"/>
        </w:rPr>
        <w:t xml:space="preserve">Every Operational Use Right must be registered on the National Record System with the function described in plain language. An unregistered use right is void. The Executive Inspectorate audits the register annually.</w:t>
      </w:r>
    </w:p>
    <w:p>
      <w:pPr>
        <w:spacing w:after="60" w:before="60" w:line="280" w:lineRule="auto"/>
        <w:jc w:val="both"/>
      </w:pPr>
      <w:r>
        <w:rPr>
          <w:rFonts w:ascii="Times New Roman" w:cs="Times New Roman" w:eastAsia="Times New Roman" w:hAnsi="Times New Roman"/>
          <w:b/>
          <w:bCs/>
          <w:color w:val="1B2A4A"/>
          <w:sz w:val="22"/>
          <w:szCs w:val="22"/>
        </w:rPr>
        <w:t xml:space="preserve">17.3.b Termination and Reversion: </w:t>
      </w:r>
      <w:r>
        <w:rPr>
          <w:rFonts w:ascii="Times New Roman" w:cs="Times New Roman" w:eastAsia="Times New Roman" w:hAnsi="Times New Roman"/>
          <w:color w:val="000000"/>
          <w:sz w:val="22"/>
          <w:szCs w:val="22"/>
        </w:rPr>
        <w:t xml:space="preserve">When a federal function ends, the use right terminates automatically. The federal government must formally notify the host State and record the termination on the National Record System within 30 days. The land reverts to full State sovereignty within a period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17.3.c Improvements — Negotiated Settlement: </w:t>
      </w:r>
      <w:r>
        <w:rPr>
          <w:rFonts w:ascii="Times New Roman" w:cs="Times New Roman" w:eastAsia="Times New Roman" w:hAnsi="Times New Roman"/>
          <w:color w:val="000000"/>
          <w:sz w:val="22"/>
          <w:szCs w:val="22"/>
        </w:rPr>
        <w:t xml:space="preserve">All improvements default to reverting to the host State with the land. The federal government and the host State may negotiate a different arrangement within the statutory reversion window. If no agreement is reached, all improvements revert to the State automatically at no cost.</w:t>
      </w:r>
    </w:p>
    <w:p>
      <w:pPr>
        <w:spacing w:after="60" w:before="60" w:line="280" w:lineRule="auto"/>
        <w:jc w:val="both"/>
      </w:pPr>
      <w:r>
        <w:rPr>
          <w:rFonts w:ascii="Times New Roman" w:cs="Times New Roman" w:eastAsia="Times New Roman" w:hAnsi="Times New Roman"/>
          <w:b/>
          <w:bCs/>
          <w:color w:val="1B2A4A"/>
          <w:sz w:val="22"/>
          <w:szCs w:val="22"/>
        </w:rPr>
        <w:t xml:space="preserve">17.3.d Disputes: </w:t>
      </w:r>
      <w:r>
        <w:rPr>
          <w:rFonts w:ascii="Times New Roman" w:cs="Times New Roman" w:eastAsia="Times New Roman" w:hAnsi="Times New Roman"/>
          <w:color w:val="000000"/>
          <w:sz w:val="22"/>
          <w:szCs w:val="22"/>
        </w:rPr>
        <w:t xml:space="preserve">Disputes over use right boundaries, termination, or improvement valuation are resolved by the Supreme Court on an expedited track. Neither party may occupy or alter disputed land during the proceeding.</w:t>
      </w:r>
    </w:p>
    <w:p>
      <w:pPr>
        <w:spacing w:after="60" w:before="60" w:line="280" w:lineRule="auto"/>
        <w:jc w:val="both"/>
      </w:pPr>
      <w:r>
        <w:rPr>
          <w:rFonts w:ascii="Times New Roman" w:cs="Times New Roman" w:eastAsia="Times New Roman" w:hAnsi="Times New Roman"/>
          <w:b/>
          <w:bCs/>
          <w:color w:val="1B2A4A"/>
          <w:sz w:val="22"/>
          <w:szCs w:val="22"/>
        </w:rPr>
        <w:t xml:space="preserve">17.3.e Independence Transition: </w:t>
      </w:r>
      <w:r>
        <w:rPr>
          <w:rFonts w:ascii="Times New Roman" w:cs="Times New Roman" w:eastAsia="Times New Roman" w:hAnsi="Times New Roman"/>
          <w:color w:val="000000"/>
          <w:sz w:val="22"/>
          <w:szCs w:val="22"/>
        </w:rPr>
        <w:t xml:space="preserve">Where a State achieves independence through §15.4 and §15.5, the automatic reversion provision of §17.3.b does not apply to Operational Use Rights within the departing territory. All such Use Rights instead become subject to presidential treaty negotiation under §2.1's diplomatic authority. The President must open negotiations with the departing territory's transition government within 30 days of referendum certification and must conclude all Operational Use Right arrangements before formal independence takes effect under §15.5.b. An Operational Use Right for which no treaty arrangement is concluded before formal independence takes effect must be vacated within 24 months of the formal independence date. During the transition period under §15.5.b, all Operational Use Rights in the departing territory continue under their existing constitutional basis. the Legislature must by statute authorize transition funding for facility adjustments, relocations, and infrastructure transfers required by this provision.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17.4 — The National Trust</w:t>
      </w:r>
    </w:p>
    <w:p>
      <w:pPr>
        <w:spacing w:after="60" w:before="60" w:line="280" w:lineRule="auto"/>
        <w:jc w:val="both"/>
      </w:pPr>
      <w:r>
        <w:rPr>
          <w:rFonts w:ascii="Times New Roman" w:cs="Times New Roman" w:eastAsia="Times New Roman" w:hAnsi="Times New Roman"/>
          <w:color w:val="000000"/>
          <w:sz w:val="22"/>
          <w:szCs w:val="22"/>
        </w:rPr>
        <w:t xml:space="preserve">National Parks, designated wilderness areas, protected coastlines, heritage sites, and ecologically critical lands are held by the federal government as constitutional trustee for all Inhabitants of the Republic, present and future.</w:t>
      </w:r>
    </w:p>
    <w:p>
      <w:pPr>
        <w:spacing w:after="60" w:before="60" w:line="280" w:lineRule="auto"/>
        <w:jc w:val="both"/>
      </w:pPr>
      <w:r>
        <w:rPr>
          <w:rFonts w:ascii="Times New Roman" w:cs="Times New Roman" w:eastAsia="Times New Roman" w:hAnsi="Times New Roman"/>
          <w:b/>
          <w:bCs/>
          <w:color w:val="1B2A4A"/>
          <w:sz w:val="22"/>
          <w:szCs w:val="22"/>
        </w:rPr>
        <w:t xml:space="preserve">17.4.a Trust Nature: </w:t>
      </w:r>
      <w:r>
        <w:rPr>
          <w:rFonts w:ascii="Times New Roman" w:cs="Times New Roman" w:eastAsia="Times New Roman" w:hAnsi="Times New Roman"/>
          <w:color w:val="000000"/>
          <w:sz w:val="22"/>
          <w:szCs w:val="22"/>
        </w:rPr>
        <w:t xml:space="preserve">National Trust lands are held in perpetuity for the public benefit of preservation, ecological integrity, and cultural heritage. The Trust may not be dissolved, privatized, or transferred by statute or executive action alone.</w:t>
      </w:r>
    </w:p>
    <w:p>
      <w:pPr>
        <w:spacing w:after="60" w:before="60" w:line="280" w:lineRule="auto"/>
        <w:jc w:val="both"/>
      </w:pPr>
      <w:r>
        <w:rPr>
          <w:rFonts w:ascii="Times New Roman" w:cs="Times New Roman" w:eastAsia="Times New Roman" w:hAnsi="Times New Roman"/>
          <w:b/>
          <w:bCs/>
          <w:color w:val="1B2A4A"/>
          <w:sz w:val="22"/>
          <w:szCs w:val="22"/>
        </w:rPr>
        <w:t xml:space="preserve">17.4.b Stewardship Obligation: </w:t>
      </w:r>
      <w:r>
        <w:rPr>
          <w:rFonts w:ascii="Times New Roman" w:cs="Times New Roman" w:eastAsia="Times New Roman" w:hAnsi="Times New Roman"/>
          <w:color w:val="000000"/>
          <w:sz w:val="22"/>
          <w:szCs w:val="22"/>
        </w:rPr>
        <w:t xml:space="preserve">The federal government as trustee has an active, enforceable obligation to maintain the ecological integrity and public accessibility of National Trust lands. The Executive Inspectorate monitors stewardship compliance annually, cross-referenced with §1.22 (Right to a Healthy Environment). Failure to maintain stewardship standards is reported to the National Record System by the relevant Inspectorate and triggers a mandatory remediation plan.</w:t>
      </w:r>
    </w:p>
    <w:p>
      <w:pPr>
        <w:spacing w:after="60" w:before="60" w:line="280" w:lineRule="auto"/>
        <w:jc w:val="both"/>
      </w:pPr>
      <w:r>
        <w:rPr>
          <w:rFonts w:ascii="Times New Roman" w:cs="Times New Roman" w:eastAsia="Times New Roman" w:hAnsi="Times New Roman"/>
          <w:b/>
          <w:bCs/>
          <w:color w:val="1B2A4A"/>
          <w:sz w:val="22"/>
          <w:szCs w:val="22"/>
        </w:rPr>
        <w:t xml:space="preserve">17.4.c Co-Management: </w:t>
      </w:r>
      <w:r>
        <w:rPr>
          <w:rFonts w:ascii="Times New Roman" w:cs="Times New Roman" w:eastAsia="Times New Roman" w:hAnsi="Times New Roman"/>
          <w:color w:val="000000"/>
          <w:sz w:val="22"/>
          <w:szCs w:val="22"/>
        </w:rPr>
        <w:t xml:space="preserve">States and indigenous nations may enter co-management agreements with the Domestic Affairs Council for National Trust lands within their borders or ancestral territories. Co-management must be consistent with the stewardship obligation of §17.4.b, the free prior and informed consent requirement of §14.3.a, and the indigenous conservation trust provisions of §14.4.b. Co-management may expand public access and local stewardship but may not reduce the Trust's protective obligations. All agreements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17.4.d Reclassification Threshold: </w:t>
      </w:r>
      <w:r>
        <w:rPr>
          <w:rFonts w:ascii="Times New Roman" w:cs="Times New Roman" w:eastAsia="Times New Roman" w:hAnsi="Times New Roman"/>
          <w:color w:val="000000"/>
          <w:sz w:val="22"/>
          <w:szCs w:val="22"/>
        </w:rPr>
        <w:t xml:space="preserve">Removing any land from National Trust status requires a national referendum under Article XI with a 65% affirmative threshold. No executive order or parliamentary act may reclassify National Trust land without this referendum.</w:t>
      </w:r>
    </w:p>
    <w:p>
      <w:pPr>
        <w:spacing w:after="60" w:before="60" w:line="280" w:lineRule="auto"/>
        <w:jc w:val="both"/>
      </w:pPr>
      <w:r>
        <w:rPr>
          <w:rFonts w:ascii="Times New Roman" w:cs="Times New Roman" w:eastAsia="Times New Roman" w:hAnsi="Times New Roman"/>
          <w:b/>
          <w:bCs/>
          <w:color w:val="1B2A4A"/>
          <w:sz w:val="22"/>
          <w:szCs w:val="22"/>
        </w:rPr>
        <w:t xml:space="preserve">17.4.e International Sites: </w:t>
      </w:r>
      <w:r>
        <w:rPr>
          <w:rFonts w:ascii="Times New Roman" w:cs="Times New Roman" w:eastAsia="Times New Roman" w:hAnsi="Times New Roman"/>
          <w:color w:val="000000"/>
          <w:sz w:val="22"/>
          <w:szCs w:val="22"/>
        </w:rPr>
        <w:t xml:space="preserve">National Trust lands recognized under international conservation agreements require a 2/3 Senate vote to withdraw from the relevant international obligation before the national referendum may proceed.</w:t>
      </w:r>
    </w:p>
    <w:p>
      <w:pPr>
        <w:spacing w:after="60" w:before="60" w:line="280" w:lineRule="auto"/>
        <w:jc w:val="both"/>
      </w:pPr>
      <w:r>
        <w:rPr>
          <w:rFonts w:ascii="Times New Roman" w:cs="Times New Roman" w:eastAsia="Times New Roman" w:hAnsi="Times New Roman"/>
          <w:b/>
          <w:bCs/>
          <w:color w:val="1B2A4A"/>
          <w:sz w:val="22"/>
          <w:szCs w:val="22"/>
        </w:rPr>
        <w:t xml:space="preserve">17.4.f Admission of New Trust Lands: </w:t>
      </w:r>
      <w:r>
        <w:rPr>
          <w:rFonts w:ascii="Times New Roman" w:cs="Times New Roman" w:eastAsia="Times New Roman" w:hAnsi="Times New Roman"/>
          <w:color w:val="000000"/>
          <w:sz w:val="22"/>
          <w:szCs w:val="22"/>
        </w:rPr>
        <w:t xml:space="preserve">Land may be designated as National Trust land by a 2/3 vote of both chambers, with the consent of the host State. Land in Territories may be designated by a 2/3 vote of both chambers alone. Designation is irrevocable except through the reclassification process of §17.4.d. No more than 25% of any State's total land area may be designated as National Trust without a State-level referendum achieving 60% affirmative. Federal designation that would bring any State above this threshold requires both the 2/3 parliamentary vote and the State referendum.</w:t>
      </w:r>
    </w:p>
    <w:p>
      <w:pPr>
        <w:spacing w:after="60" w:before="60" w:line="280" w:lineRule="auto"/>
        <w:jc w:val="both"/>
      </w:pPr>
      <w:r>
        <w:rPr>
          <w:rFonts w:ascii="Times New Roman" w:cs="Times New Roman" w:eastAsia="Times New Roman" w:hAnsi="Times New Roman"/>
          <w:b/>
          <w:bCs/>
          <w:color w:val="1B2A4A"/>
          <w:sz w:val="22"/>
          <w:szCs w:val="22"/>
        </w:rPr>
        <w:t xml:space="preserve">17.4.g National Trust Administrator: </w:t>
      </w:r>
      <w:r>
        <w:rPr>
          <w:rFonts w:ascii="Times New Roman" w:cs="Times New Roman" w:eastAsia="Times New Roman" w:hAnsi="Times New Roman"/>
          <w:color w:val="000000"/>
          <w:sz w:val="22"/>
          <w:szCs w:val="22"/>
        </w:rPr>
        <w:t xml:space="preserve">The National Trust is administered by a National Trust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National Trust Administrator Eligibility: Candidates must meet the following eligibility criteria, which constitute the constitutional floor for the Candidate Register the PM draws from: no currently held elected or appointed government position at any level; no current financial interest in any entity that holds, develops, or seeks to develop National Trust lands, or that derives commercial benefit from activities within National Trust lands; demonstrated expertise in at least one of — ecological stewardship and conservation management, public land management and administration, environmental law, or natural resource governance; and no criminal conviction for conduct committed while holding federal office of federal service. The Legislature may by statute establish additional qualification requirements consistent with this floor. The PM may not nominate a candidate who does not meet this floor, and the EI publishes a finding if a submitted nominee falls below it before the Senate confirmation vote proceeds. The Administrator is confirmed by the Senate and serves a single non-renewable 5-year term. The Legislative Inspectorate audits National Trust management annually against the stewardship obligation of §17.4.b and publishes its findings to the NRS. If the Senate fails to act on a nomination within the period the Legislature defines by statute, the nominee assumes acting status and performs all constitutional functions of the office. The acting officer escalation framework of §2.2.h applies from the date of assumption. Confirmation by the Senate at any time converts acting status to permanent appointment and the full term begins from the date of confirmation. Removal of a permanently confirmed National Trust Administrator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National Trust administrative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5-year non-renewable term from the date of confirmation.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17.5 — Federal Property in Territories</w:t>
      </w:r>
    </w:p>
    <w:p>
      <w:pPr>
        <w:spacing w:after="60" w:before="60" w:line="280" w:lineRule="auto"/>
        <w:jc w:val="both"/>
      </w:pPr>
      <w:r>
        <w:rPr>
          <w:rFonts w:ascii="Times New Roman" w:cs="Times New Roman" w:eastAsia="Times New Roman" w:hAnsi="Times New Roman"/>
          <w:color w:val="000000"/>
          <w:sz w:val="22"/>
          <w:szCs w:val="22"/>
        </w:rPr>
        <w:t xml:space="preserve">Federal use rights in Territories follow the same framework as in States — Operational Use Rights (§17.3) and National Trust (§17.4) — without requiring host legislature consent. Inhabitants of Territories retain all Article I rights. Upon a Territory achieving Statehood, all existing federal use rights are automatically converted to the standard State-framework use rights and registered on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XVIII — ELECTORAL FINANCE AND CAMPAIGN INTEGRITY</w:t>
      </w:r>
    </w:p>
    <w:p>
      <w:pPr>
        <w:spacing w:after="60" w:before="60" w:line="280" w:lineRule="auto"/>
        <w:jc w:val="both"/>
      </w:pPr>
      <w:r>
        <w:rPr>
          <w:rFonts w:ascii="Times New Roman" w:cs="Times New Roman" w:eastAsia="Times New Roman" w:hAnsi="Times New Roman"/>
          <w:color w:val="000000"/>
          <w:sz w:val="22"/>
          <w:szCs w:val="22"/>
        </w:rPr>
        <w:t xml:space="preserve">The integrity of elections depends on the independence of democratic choice from concentrated financial power. This Article establishes the constitutional framework for electoral finance in the Republic. The specific contribution limits, spending caps, and public funding amounts are determined by House statute within the principles established here.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18.1 — Foundational Principles</w:t>
      </w:r>
    </w:p>
    <w:p>
      <w:pPr>
        <w:spacing w:after="60" w:before="60" w:line="280" w:lineRule="auto"/>
        <w:jc w:val="both"/>
      </w:pPr>
      <w:r>
        <w:rPr>
          <w:rFonts w:ascii="Times New Roman" w:cs="Times New Roman" w:eastAsia="Times New Roman" w:hAnsi="Times New Roman"/>
          <w:b/>
          <w:bCs/>
          <w:color w:val="1B2A4A"/>
          <w:sz w:val="22"/>
          <w:szCs w:val="22"/>
        </w:rPr>
        <w:t xml:space="preserve">18.1.a Financial Contributions as Electoral Acts: </w:t>
      </w:r>
      <w:r>
        <w:rPr>
          <w:rFonts w:ascii="Times New Roman" w:cs="Times New Roman" w:eastAsia="Times New Roman" w:hAnsi="Times New Roman"/>
          <w:color w:val="000000"/>
          <w:sz w:val="22"/>
          <w:szCs w:val="22"/>
        </w:rPr>
        <w:t xml:space="preserve">Financial contributions to electoral campaigns and independent electoral expenditures — meaning money spent to influence an election by a person or organization that is not directly part of a campaign — are electoral acts subject to democratic regulation under this Constitution. They are not constitutionally protected speech under Article I §1.4. The act of transferring money to influence an electoral outcome is qualitatively different from the act of expressing political views, which remains fully protected. This Constitution explicitly rejects the equivalence of money and speech in the electoral context. Financial contributions to electoral campaigns are not protected as associational activity under §1.7 in the electoral context. The regulation of electoral finance is a matter of democratic integrity that this Constitution explicitly reserves from both speech and associational protection.</w:t>
      </w:r>
    </w:p>
    <w:p>
      <w:pPr>
        <w:spacing w:after="60" w:before="60" w:line="280" w:lineRule="auto"/>
        <w:jc w:val="both"/>
      </w:pPr>
      <w:r>
        <w:rPr>
          <w:rFonts w:ascii="Times New Roman" w:cs="Times New Roman" w:eastAsia="Times New Roman" w:hAnsi="Times New Roman"/>
          <w:b/>
          <w:bCs/>
          <w:color w:val="1B2A4A"/>
          <w:sz w:val="22"/>
          <w:szCs w:val="22"/>
        </w:rPr>
        <w:t xml:space="preserve">18.1.b Natural Persons Only: </w:t>
      </w:r>
      <w:r>
        <w:rPr>
          <w:rFonts w:ascii="Times New Roman" w:cs="Times New Roman" w:eastAsia="Times New Roman" w:hAnsi="Times New Roman"/>
          <w:color w:val="000000"/>
          <w:sz w:val="22"/>
          <w:szCs w:val="22"/>
        </w:rPr>
        <w:t xml:space="preserve">The rights of political participation — including financial participation in electoral processes — belong exclusively to natural persons who are citizens of the Republic. Legal entities created by statute — corporations, unions, associations, partnerships, political action committees, and any other non-natural-person body — have no constitutional right to make financial contributions to any electoral campaign or independent electoral expenditure. This prohibition applies regardless of the legal form the entity takes and may not be circumvented by routing contributions through intermediary organisations or through natural persons acting as paid conduits. A contribution is constitutionally the contribution of the natural person in whose name it is recorded only where it reflects that person's independent electoral choice — meaning the person independently determined the amount and recipient without direction, payment, or coordination from any third party. A contribution made under any agreement, direction, or payment by a third party as to amount, recipient, or timing is attributable to that third party regardless of whose Citizen Voting Credential was used. Persons who receive any compensation in exchange for making a directed contribution may not do so. The prohibition applies equally to those directing and funding such arrangements.</w:t>
      </w:r>
    </w:p>
    <w:p>
      <w:pPr>
        <w:spacing w:after="60" w:before="60" w:line="280" w:lineRule="auto"/>
        <w:jc w:val="both"/>
      </w:pPr>
      <w:r>
        <w:rPr>
          <w:rFonts w:ascii="Times New Roman" w:cs="Times New Roman" w:eastAsia="Times New Roman" w:hAnsi="Times New Roman"/>
          <w:b/>
          <w:bCs/>
          <w:color w:val="1B2A4A"/>
          <w:sz w:val="22"/>
          <w:szCs w:val="22"/>
        </w:rPr>
        <w:t xml:space="preserve">18.1.c Voter-Donor Parity: </w:t>
      </w:r>
      <w:r>
        <w:rPr>
          <w:rFonts w:ascii="Times New Roman" w:cs="Times New Roman" w:eastAsia="Times New Roman" w:hAnsi="Times New Roman"/>
          <w:color w:val="000000"/>
          <w:sz w:val="22"/>
          <w:szCs w:val="22"/>
        </w:rPr>
        <w:t xml:space="preserve">Only a citizen who is eligible to vote in a particular election may make any financial contribution to a campaign in that election or any independent expenditure intended to influence the outcome of that election. Eligibility is determined by the Citizen Voting Credential and verified through the Campaign Finance Registry (§18.3). This principle applies at every level — a citizen eligible to vote in federal elections may contribute to federal campaigns; a citizen eligible to vote in a State election may contribute to campaigns in that State; a citizen eligible to vote in a local election may contribute to campaigns in that jurisdiction. A citizen who is ineligible in a jurisdiction may not contribute in it, regardless of their interest in the outcome.</w:t>
      </w:r>
    </w:p>
    <w:p>
      <w:pPr>
        <w:spacing w:after="60" w:before="60" w:line="280" w:lineRule="auto"/>
        <w:jc w:val="both"/>
      </w:pPr>
      <w:r>
        <w:rPr>
          <w:rFonts w:ascii="Times New Roman" w:cs="Times New Roman" w:eastAsia="Times New Roman" w:hAnsi="Times New Roman"/>
          <w:b/>
          <w:bCs/>
          <w:color w:val="1B2A4A"/>
          <w:sz w:val="22"/>
          <w:szCs w:val="22"/>
        </w:rPr>
        <w:t xml:space="preserve">18.1.d Full Disclosure: </w:t>
      </w:r>
      <w:r>
        <w:rPr>
          <w:rFonts w:ascii="Times New Roman" w:cs="Times New Roman" w:eastAsia="Times New Roman" w:hAnsi="Times New Roman"/>
          <w:color w:val="000000"/>
          <w:sz w:val="22"/>
          <w:szCs w:val="22"/>
        </w:rPr>
        <w:t xml:space="preserve">All financial transactions connected to any election must be disclosed publicly on the National Record System above a de minimis threshold defined by House statute. Anonymity in electoral finance is prohibited. The de minimis threshold may not be set at a level that exempts more than a de minimis fraction of total electoral spending in any jurisdiction, as certified annually by the Electoral Commission and Executive Inspectorate jointly. If they find the threshold inadequate, the relevant statute automatically becomes eligible for referendum under Article XI without requiring a citizen petition.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18.2 — Public Campaign Funding</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system of public campaign financing for all federal elections meeting these constitutional requirements, within three years of Phase 4 activation. Failure to enact within this period constitutes a constitutional violation for the presiding officer of each chamber; the EC must notify the Supreme Court within 30 days of the deadline. Interim Default: In the absence of a statutory system three years after Phase 4, the Electoral Commission must establish minimum public funding allocations for all federal candidates by published rule, drawing on available appropriated funds, with methodology published to the NRS. This default operates until the Legislature acts but does not satisfy the statutory requirement — the constitutional violation continues until the Legislature acts.</w:t>
      </w:r>
    </w:p>
    <w:p>
      <w:pPr>
        <w:spacing w:after="60" w:before="60" w:line="280" w:lineRule="auto"/>
        <w:jc w:val="both"/>
      </w:pPr>
      <w:r>
        <w:rPr>
          <w:rFonts w:ascii="Times New Roman" w:cs="Times New Roman" w:eastAsia="Times New Roman" w:hAnsi="Times New Roman"/>
          <w:b/>
          <w:bCs/>
          <w:color w:val="1B2A4A"/>
          <w:sz w:val="22"/>
          <w:szCs w:val="22"/>
        </w:rPr>
        <w:t xml:space="preserve">18.2.a Qualification Threshold: </w:t>
      </w:r>
      <w:r>
        <w:rPr>
          <w:rFonts w:ascii="Times New Roman" w:cs="Times New Roman" w:eastAsia="Times New Roman" w:hAnsi="Times New Roman"/>
          <w:color w:val="000000"/>
          <w:sz w:val="22"/>
          <w:szCs w:val="22"/>
        </w:rPr>
        <w:t xml:space="preserve">Candidates may qualify for public funding by demonstrating sufficient popular support, defined by statute. The qualification threshold must not structurally advantage incumbents or wealthy self-funded candidates. The Electoral Commission administers the qualification process.</w:t>
      </w:r>
    </w:p>
    <w:p>
      <w:pPr>
        <w:spacing w:after="60" w:before="60" w:line="280" w:lineRule="auto"/>
        <w:jc w:val="both"/>
      </w:pPr>
      <w:r>
        <w:rPr>
          <w:rFonts w:ascii="Times New Roman" w:cs="Times New Roman" w:eastAsia="Times New Roman" w:hAnsi="Times New Roman"/>
          <w:b/>
          <w:bCs/>
          <w:color w:val="1B2A4A"/>
          <w:sz w:val="22"/>
          <w:szCs w:val="22"/>
        </w:rPr>
        <w:t xml:space="preserve">18.2.b Adequate Allocation: </w:t>
      </w:r>
      <w:r>
        <w:rPr>
          <w:rFonts w:ascii="Times New Roman" w:cs="Times New Roman" w:eastAsia="Times New Roman" w:hAnsi="Times New Roman"/>
          <w:color w:val="000000"/>
          <w:sz w:val="22"/>
          <w:szCs w:val="22"/>
        </w:rPr>
        <w:t xml:space="preserve">The public campaign allocation must be sufficient to allow a qualified candidate to conduct a meaningful campaign. the Legislature reviews the adequacy of the allocation after each election cycle and adjusts by statute as needed.</w:t>
      </w:r>
    </w:p>
    <w:p>
      <w:pPr>
        <w:spacing w:after="60" w:before="60" w:line="280" w:lineRule="auto"/>
        <w:jc w:val="both"/>
      </w:pPr>
      <w:r>
        <w:rPr>
          <w:rFonts w:ascii="Times New Roman" w:cs="Times New Roman" w:eastAsia="Times New Roman" w:hAnsi="Times New Roman"/>
          <w:b/>
          <w:bCs/>
          <w:color w:val="1B2A4A"/>
          <w:sz w:val="22"/>
          <w:szCs w:val="22"/>
        </w:rPr>
        <w:t xml:space="preserve">18.2.c Optional Participation: </w:t>
      </w:r>
      <w:r>
        <w:rPr>
          <w:rFonts w:ascii="Times New Roman" w:cs="Times New Roman" w:eastAsia="Times New Roman" w:hAnsi="Times New Roman"/>
          <w:color w:val="000000"/>
          <w:sz w:val="22"/>
          <w:szCs w:val="22"/>
        </w:rPr>
        <w:t xml:space="preserve">Candidates may decline public funding and campaign entirely on private contributions subject to the Voter-Donor Parity rule and any statutory spending limits. Publicly funded candidates are subject to spending limits defined by statute. The public funding system must be designed so that a publicly funded candidate is not structurally disadvantaged against a privately funded opponent.</w:t>
      </w:r>
    </w:p>
    <w:p>
      <w:pPr>
        <w:spacing w:after="60" w:before="60" w:line="280" w:lineRule="auto"/>
        <w:jc w:val="both"/>
      </w:pPr>
      <w:r>
        <w:rPr>
          <w:rFonts w:ascii="Times New Roman" w:cs="Times New Roman" w:eastAsia="Times New Roman" w:hAnsi="Times New Roman"/>
          <w:b/>
          <w:bCs/>
          <w:color w:val="1B2A4A"/>
          <w:sz w:val="22"/>
          <w:szCs w:val="22"/>
        </w:rPr>
        <w:t xml:space="preserve">18.2.d EC Administration: </w:t>
      </w:r>
      <w:r>
        <w:rPr>
          <w:rFonts w:ascii="Times New Roman" w:cs="Times New Roman" w:eastAsia="Times New Roman" w:hAnsi="Times New Roman"/>
          <w:color w:val="000000"/>
          <w:sz w:val="22"/>
          <w:szCs w:val="22"/>
        </w:rPr>
        <w:t xml:space="preserve">The Electoral Commission administers the public funding system and is responsible for verifying candidate qualification, distributing allocated funds, and auditing compliance. All distributions and compliance findings are published to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18.3 — The Campaign Finance Registry</w:t>
      </w:r>
    </w:p>
    <w:p>
      <w:pPr>
        <w:spacing w:after="60" w:before="60" w:line="280" w:lineRule="auto"/>
        <w:jc w:val="both"/>
      </w:pPr>
      <w:r>
        <w:rPr>
          <w:rFonts w:ascii="Times New Roman" w:cs="Times New Roman" w:eastAsia="Times New Roman" w:hAnsi="Times New Roman"/>
          <w:color w:val="000000"/>
          <w:sz w:val="22"/>
          <w:szCs w:val="22"/>
        </w:rPr>
        <w:t xml:space="preserve">A Campaign Finance Registry — a constitutionally mandated public record — is established as a system distinct from the National Voting System. The Registry records all electoral financial transactions above the de minimis threshold.</w:t>
      </w:r>
    </w:p>
    <w:p>
      <w:pPr>
        <w:spacing w:after="60" w:before="60" w:line="280" w:lineRule="auto"/>
        <w:jc w:val="both"/>
      </w:pPr>
      <w:r>
        <w:rPr>
          <w:rFonts w:ascii="Times New Roman" w:cs="Times New Roman" w:eastAsia="Times New Roman" w:hAnsi="Times New Roman"/>
          <w:b/>
          <w:bCs/>
          <w:color w:val="1B2A4A"/>
          <w:sz w:val="22"/>
          <w:szCs w:val="22"/>
        </w:rPr>
        <w:t xml:space="preserve">18.3.a Separation from the Voting System: </w:t>
      </w:r>
      <w:r>
        <w:rPr>
          <w:rFonts w:ascii="Times New Roman" w:cs="Times New Roman" w:eastAsia="Times New Roman" w:hAnsi="Times New Roman"/>
          <w:color w:val="000000"/>
          <w:sz w:val="22"/>
          <w:szCs w:val="22"/>
        </w:rPr>
        <w:t xml:space="preserve">The Campaign Finance Registry is a distinct system from the National Voting System. When making a contribution, a citizen uses their Citizen Voting Credential to verify their eligibility — confirming they are eligible to vote in the relevant jurisdiction. This verification is separate from the act of voting. The contributor also separately registers their real identity with the Campaign Finance Registry directly; the Registry stores real-name records that are distinct from the cryptographic identifiers used by the National Voting System. The Registry holds contributor identity; the NVS holds voting credentials. The two systems are linked only by the contribution transaction, and that link does not reveal any ballot choices. No information in the Campaign Finance Registry may be used to infer, investigate, or analyze any individual's voting behavior or ballot choices. Violation of this separation is reported to the National Record System by the relevant Inspectorate.7.</w:t>
      </w:r>
    </w:p>
    <w:p>
      <w:pPr>
        <w:spacing w:after="60" w:before="60" w:line="280" w:lineRule="auto"/>
        <w:jc w:val="both"/>
      </w:pPr>
      <w:r>
        <w:rPr>
          <w:rFonts w:ascii="Times New Roman" w:cs="Times New Roman" w:eastAsia="Times New Roman" w:hAnsi="Times New Roman"/>
          <w:b/>
          <w:bCs/>
          <w:color w:val="1B2A4A"/>
          <w:sz w:val="22"/>
          <w:szCs w:val="22"/>
        </w:rPr>
        <w:t xml:space="preserve">18.3.b Registry Contents: </w:t>
      </w:r>
      <w:r>
        <w:rPr>
          <w:rFonts w:ascii="Times New Roman" w:cs="Times New Roman" w:eastAsia="Times New Roman" w:hAnsi="Times New Roman"/>
          <w:color w:val="000000"/>
          <w:sz w:val="22"/>
          <w:szCs w:val="22"/>
        </w:rPr>
        <w:t xml:space="preserve">The Registry publicly records: the contributor's identity; the amount and date of each contribution; the recipient campaign or organization; and the jurisdiction in which the contribution is eligible. Eligibility verification through the Credential is recorded at the point of contribution.</w:t>
      </w:r>
    </w:p>
    <w:p>
      <w:pPr>
        <w:spacing w:after="60" w:before="60" w:line="280" w:lineRule="auto"/>
        <w:jc w:val="both"/>
      </w:pPr>
      <w:r>
        <w:rPr>
          <w:rFonts w:ascii="Times New Roman" w:cs="Times New Roman" w:eastAsia="Times New Roman" w:hAnsi="Times New Roman"/>
          <w:b/>
          <w:bCs/>
          <w:color w:val="1B2A4A"/>
          <w:sz w:val="22"/>
          <w:szCs w:val="22"/>
        </w:rPr>
        <w:t xml:space="preserve">18.3.c Aggregate Attribution: </w:t>
      </w:r>
      <w:r>
        <w:rPr>
          <w:rFonts w:ascii="Times New Roman" w:cs="Times New Roman" w:eastAsia="Times New Roman" w:hAnsi="Times New Roman"/>
          <w:color w:val="000000"/>
          <w:sz w:val="22"/>
          <w:szCs w:val="22"/>
        </w:rPr>
        <w:t xml:space="preserve">Any organization receiving more than 50% of its electoral spending funds from a single citizen is treated as a direct contribution vehicle of that citizen for aggregate contribution limits. The Registry tracks aggregate spending attributable to a single citizen across all organizations they fund. the Legislature must establish aggregate limits that apply across all vehicles through which a citizen makes electoral contributions, not merely their direct contributions. The aggregate attribution principle applies bidirectionally: where an organization, individual, or entity directs, funds, or coordinates the contributions of multiple citizens — whether through payment, contractual arrangement, or systematic instruction as to amount, recipient, or timing — all such contributions are aggregated and attributed to the directing entity or individual for contribution limits and the natural persons only requirement of §18.1.b. The Executive Inspectorate's annual Campaign Finance Registry audit must include reverse-flow attribution analysis, identifying statistical patterns where multiple citizen contributions share common funding sources, timing, recipients, or amounts suggestive of coordinated direction rather than independent electoral choice.</w:t>
      </w:r>
    </w:p>
    <w:p>
      <w:pPr>
        <w:spacing w:after="60" w:before="60" w:line="280" w:lineRule="auto"/>
        <w:jc w:val="both"/>
      </w:pPr>
      <w:r>
        <w:rPr>
          <w:rFonts w:ascii="Times New Roman" w:cs="Times New Roman" w:eastAsia="Times New Roman" w:hAnsi="Times New Roman"/>
          <w:b/>
          <w:bCs/>
          <w:color w:val="1B2A4A"/>
          <w:sz w:val="22"/>
          <w:szCs w:val="22"/>
        </w:rPr>
        <w:t xml:space="preserve">18.3.d Administration: </w:t>
      </w:r>
      <w:r>
        <w:rPr>
          <w:rFonts w:ascii="Times New Roman" w:cs="Times New Roman" w:eastAsia="Times New Roman" w:hAnsi="Times New Roman"/>
          <w:color w:val="000000"/>
          <w:sz w:val="22"/>
          <w:szCs w:val="22"/>
        </w:rPr>
        <w:t xml:space="preserve">The Electoral Commission administers the Campaign Finance Registry. The Executive Inspectorate audits the Registry annually and publishes findings as part of the Annual State of the Republic Report. the Legislature must by statute establish an Electoral Integrity Fund administered by the Electoral Commission, financed by fines assessed on Article XVIII violations. Where a court orders the return of funds received in violation of this Article and the receiving campaign cannot fully execute the return order because the funds have been spent, the shortfall is assessed as a fine payable to the Electoral Integrity Fund. The Fund is used solely to supplement the public campaign funding system under §18.2. the Legislature must also by statute require the PM's law enforcement agencies to respond to published EI and JI findings involving Article XVIII within 30 days, with a published statement of whether a formal investigation has been opened, recorded to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XIX — RATIFICATION AND TRANSITION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19.1 — The Activation Threshold</w:t>
      </w:r>
    </w:p>
    <w:p>
      <w:pPr>
        <w:spacing w:after="60" w:before="60" w:line="280" w:lineRule="auto"/>
        <w:jc w:val="both"/>
      </w:pPr>
      <w:r>
        <w:rPr>
          <w:rFonts w:ascii="Times New Roman" w:cs="Times New Roman" w:eastAsia="Times New Roman" w:hAnsi="Times New Roman"/>
          <w:b/>
          <w:bCs/>
          <w:color w:val="1B2A4A"/>
          <w:sz w:val="22"/>
          <w:szCs w:val="22"/>
        </w:rPr>
        <w:t xml:space="preserve">This Constitution is activated upon: </w:t>
      </w:r>
      <w:r>
        <w:rPr>
          <w:rFonts w:ascii="Times New Roman" w:cs="Times New Roman" w:eastAsia="Times New Roman" w:hAnsi="Times New Roman"/>
          <w:color w:val="000000"/>
          <w:sz w:val="22"/>
          <w:szCs w:val="22"/>
        </w:rPr>
        <w:t xml:space="preserve">(1) certification by the interim Electoral Commission that the National Voting System is operational and meets the properties of §16.3; and (2) a national ratification vote conducted through the National Voting System achieving 60% affirmative support with at least 50% participation. Where a ratifying polity maintains existing legal or administrative institutions whose functions partially overlap with constitutional mechanisms, the Legislature shall by statute within two years of Phase 4 activation define the relationship between such institutions and the constitutional framework. Such statutes must preserve constitutional supremacy and the Supreme Court's jurisdiction over all constitutional questions. This provision recognises that the Republic is ratified into polities with histories, legal traditions, and existing institutional relationships — including relationships with peoples and communities whose governance structures predate the ratifying state — and that those inheritances require constitutional specification, not constitutional silence. If the Legislature fails to enact the required institutional accommodation statute within two years of Phase 4 activation, existing institutions and governance arrangements are deemed constitutionally recognised in their current form pending statutory definition. Default recognition preserves institutional structure and authority; it does not authorise any practice that violates Article I. Existing institutions are recognised as structures; practices within them that violate Article I remain unconstitutional regardless of default recognition status. Accommodation statutes enacted under this provision must not reduce the legal standing of governance structures and institutional relationships that predate the ratifying state below their standing under the law in effect immediately prior to Phase 4 activation. This non-diminishment standard applies to all institutional accommodations including relationships with peoples and communities whose governance structures predate the ratifying state. Statutes enacted under this provision defining the relationship between existing institutions and the constitutional framework may be amended only by a 2/3 majority of both chambers. This elevated threshold applies to any amendment that reduces the protections or standing of existing institutional arrangements. Where the Republic is constituted by two or more sovereign nations simultaneously pooling sovereignty through a treaty of union, the transition provisions of this Article apply with the following adaptations: Phase 0 and Phase 1 certification covers all founding sovereigns simultaneously; debt assumption under §19.6 is consolidated across all founding sovereigns' fiscal histories on terms specified in the treaty of union; the Day Zero NRS publication includes the complete governmental records of all founding sovereigns; and each founding sovereign's predecessor government obligations are assumed by the Republic proportionally as the treaty of union specifies. the Legislature must by statute within two years of Phase 4 activation establish the specific procedures for multi-founder constitutional establishment, covering consolidated debt certification, simultaneous Statehood Audit initiation, and the relationship between the treaty of union and the constitutional text where they address the same matter.</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19.2 — Day Zero</w:t>
      </w:r>
    </w:p>
    <w:p>
      <w:pPr>
        <w:spacing w:after="60" w:before="60" w:line="280" w:lineRule="auto"/>
        <w:jc w:val="both"/>
      </w:pPr>
      <w:r>
        <w:rPr>
          <w:rFonts w:ascii="Times New Roman" w:cs="Times New Roman" w:eastAsia="Times New Roman" w:hAnsi="Times New Roman"/>
          <w:color w:val="000000"/>
          <w:sz w:val="22"/>
          <w:szCs w:val="22"/>
        </w:rPr>
        <w:t xml:space="preserve">Day Zero is the date on which the ratification threshold of §19.1 is certified as achieved by the interim Electoral Commission. Upon ratification, all laws, orders, and regulations conflicting with the Individual Sovereignty Floor are immediately null and void. All public assets are transferred to the National Record System. The 18-month Transition Window begins.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19.3 — The Four-Phase Transition</w:t>
      </w:r>
    </w:p>
    <w:p>
      <w:pPr>
        <w:spacing w:after="60" w:before="60" w:line="280" w:lineRule="auto"/>
        <w:jc w:val="both"/>
      </w:pPr>
      <w:r>
        <w:rPr>
          <w:rFonts w:ascii="Times New Roman" w:cs="Times New Roman" w:eastAsia="Times New Roman" w:hAnsi="Times New Roman"/>
          <w:color w:val="000000"/>
          <w:sz w:val="22"/>
          <w:szCs w:val="22"/>
        </w:rPr>
        <w:t xml:space="preserve">The transition is structured as an 18-month, four-phase process to prevent systemic shock and provide adequate time for institutional construction.</w:t>
      </w:r>
    </w:p>
    <w:p>
      <w:pPr>
        <w:spacing w:after="60" w:before="60" w:line="280" w:lineRule="auto"/>
        <w:jc w:val="both"/>
      </w:pPr>
      <w:r>
        <w:rPr>
          <w:rFonts w:ascii="Times New Roman" w:cs="Times New Roman" w:eastAsia="Times New Roman" w:hAnsi="Times New Roman"/>
          <w:b/>
          <w:bCs/>
          <w:color w:val="1B2A4A"/>
          <w:sz w:val="22"/>
          <w:szCs w:val="22"/>
        </w:rPr>
        <w:t xml:space="preserve">19.3.a Phase 0 — Pre-Ratification Preparation: </w:t>
      </w:r>
      <w:r>
        <w:rPr>
          <w:rFonts w:ascii="Times New Roman" w:cs="Times New Roman" w:eastAsia="Times New Roman" w:hAnsi="Times New Roman"/>
          <w:color w:val="000000"/>
          <w:sz w:val="22"/>
          <w:szCs w:val="22"/>
        </w:rPr>
        <w:t xml:space="preserve">The period before the ratification vote during which the interim Electoral Commission is constituted, the National Voting System is certified operational, and the joint Inspectorate panel is formed. Phase 0 ends upon Day Zero.</w:t>
      </w:r>
    </w:p>
    <w:p>
      <w:pPr>
        <w:spacing w:after="60" w:before="60" w:line="280" w:lineRule="auto"/>
        <w:jc w:val="both"/>
      </w:pPr>
      <w:r>
        <w:rPr>
          <w:rFonts w:ascii="Times New Roman" w:cs="Times New Roman" w:eastAsia="Times New Roman" w:hAnsi="Times New Roman"/>
          <w:b/>
          <w:bCs/>
          <w:color w:val="1B2A4A"/>
          <w:sz w:val="22"/>
          <w:szCs w:val="22"/>
        </w:rPr>
        <w:t xml:space="preserve">19.3.b Phase 1 — Emergency Stabilisation (Days 1–90): </w:t>
      </w:r>
      <w:r>
        <w:rPr>
          <w:rFonts w:ascii="Times New Roman" w:cs="Times New Roman" w:eastAsia="Times New Roman" w:hAnsi="Times New Roman"/>
          <w:color w:val="000000"/>
          <w:sz w:val="22"/>
          <w:szCs w:val="22"/>
        </w:rPr>
        <w:t xml:space="preserve">Existing government officials serve as caretakers under §19.4. The Basic Needs Floor activates at the constitutional minimum. No new permanent legislation may be passed. Phase 1 ends at Day 90.</w:t>
      </w:r>
    </w:p>
    <w:p>
      <w:pPr>
        <w:spacing w:after="60" w:before="60" w:line="280" w:lineRule="auto"/>
        <w:jc w:val="both"/>
      </w:pPr>
      <w:r>
        <w:rPr>
          <w:rFonts w:ascii="Times New Roman" w:cs="Times New Roman" w:eastAsia="Times New Roman" w:hAnsi="Times New Roman"/>
          <w:b/>
          <w:bCs/>
          <w:color w:val="1B2A4A"/>
          <w:sz w:val="22"/>
          <w:szCs w:val="22"/>
        </w:rPr>
        <w:t xml:space="preserve">19.3.c Phase 2 — Institutional Construction (Days 91–270): </w:t>
      </w:r>
      <w:r>
        <w:rPr>
          <w:rFonts w:ascii="Times New Roman" w:cs="Times New Roman" w:eastAsia="Times New Roman" w:hAnsi="Times New Roman"/>
          <w:color w:val="000000"/>
          <w:sz w:val="22"/>
          <w:szCs w:val="22"/>
        </w:rPr>
        <w:t xml:space="preserve">Statehood Audits are conducted for all entering territories. The Candidate Register for the RSA Director and for Monetary Authority board members is assembled under §19.8. The first MA Director election is scheduled for Phase 3 as a national election alongside other federal offices. The National Voting System is fully deployed for citizen registration. Phase 2 ends at Day 270.</w:t>
      </w:r>
    </w:p>
    <w:p>
      <w:pPr>
        <w:spacing w:after="60" w:before="60" w:line="280" w:lineRule="auto"/>
        <w:jc w:val="both"/>
      </w:pPr>
      <w:r>
        <w:rPr>
          <w:rFonts w:ascii="Times New Roman" w:cs="Times New Roman" w:eastAsia="Times New Roman" w:hAnsi="Times New Roman"/>
          <w:b/>
          <w:bCs/>
          <w:color w:val="1B2A4A"/>
          <w:sz w:val="22"/>
          <w:szCs w:val="22"/>
        </w:rPr>
        <w:t xml:space="preserve">19.3.d Phase 3 — First Elections (Days 271–450): </w:t>
      </w:r>
      <w:r>
        <w:rPr>
          <w:rFonts w:ascii="Times New Roman" w:cs="Times New Roman" w:eastAsia="Times New Roman" w:hAnsi="Times New Roman"/>
          <w:color w:val="000000"/>
          <w:sz w:val="22"/>
          <w:szCs w:val="22"/>
        </w:rPr>
        <w:t xml:space="preserve">The first National Election Day is held. Supreme Court justices are elected simultaneously through the open-candidacy judicial election process. The Electoral Commission holds its inaugural elections. Phase 3 ends when the first Legislature is sworn in and the first President and Prime Minister take office.</w:t>
      </w:r>
    </w:p>
    <w:p>
      <w:pPr>
        <w:spacing w:after="60" w:before="60" w:line="280" w:lineRule="auto"/>
        <w:jc w:val="both"/>
      </w:pPr>
      <w:r>
        <w:rPr>
          <w:rFonts w:ascii="Times New Roman" w:cs="Times New Roman" w:eastAsia="Times New Roman" w:hAnsi="Times New Roman"/>
          <w:b/>
          <w:bCs/>
          <w:color w:val="1B2A4A"/>
          <w:sz w:val="22"/>
          <w:szCs w:val="22"/>
        </w:rPr>
        <w:t xml:space="preserve">19.3.e Phase 4 — Full Constitutional Operation: </w:t>
      </w:r>
      <w:r>
        <w:rPr>
          <w:rFonts w:ascii="Times New Roman" w:cs="Times New Roman" w:eastAsia="Times New Roman" w:hAnsi="Times New Roman"/>
          <w:color w:val="000000"/>
          <w:sz w:val="22"/>
          <w:szCs w:val="22"/>
        </w:rPr>
        <w:t xml:space="preserve">The Republic enters full constitutional operation from the date the first Legislature convenes and the first executives take the oath of office. All constitutional provisions are fully operative from Phase 4 activation. The 18-month Transition Window concludes at the end of Phase 4.</w:t>
      </w:r>
    </w:p>
    <w:p>
      <w:pPr>
        <w:spacing w:after="60" w:before="60" w:line="280" w:lineRule="auto"/>
        <w:jc w:val="both"/>
      </w:pPr>
      <w:r>
        <w:rPr>
          <w:rFonts w:ascii="Times New Roman" w:cs="Times New Roman" w:eastAsia="Times New Roman" w:hAnsi="Times New Roman"/>
          <w:b/>
          <w:bCs/>
          <w:color w:val="1B2A4A"/>
          <w:sz w:val="22"/>
          <w:szCs w:val="22"/>
        </w:rPr>
        <w:t xml:space="preserve">19.3.f Provisional NRS and Node Authority During Transition: </w:t>
      </w:r>
      <w:r>
        <w:rPr>
          <w:rFonts w:ascii="Times New Roman" w:cs="Times New Roman" w:eastAsia="Times New Roman" w:hAnsi="Times New Roman"/>
          <w:color w:val="000000"/>
          <w:sz w:val="22"/>
          <w:szCs w:val="22"/>
        </w:rPr>
        <w:t xml:space="preserve">During Phases 1 through 3, the joint Inspectorate panel may certify a provisional NRS arrangement — including internationally hosted nodes and provisionally chartered domestic node operators — as constitutionally valid for recording purposes pending achievement of full §9.1.b node independence. Orders and entries recorded to a panel-certified provisional NRS during this period have full constitutional validity. The joint Inspectorate panel is authorized to charter provisional NRS node operators during the Transition Window without prior Legislature action under §9.2. Nodes chartered by the panel hold provisional constitutional status; the Legislature must ratify or replace the panel's provisional charters within the first budget cycle following Phase 4 activation. Where no provisional NRS is certified and no Legislature-chartered network yet exists, the joint Inspectorate panel designates the most technically capable available system consistent with §9.1 as the transitional record system, and orders recorded to it hold full constitutional validity during the Transition Window.</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19.4 — Caretaker Status</w:t>
      </w:r>
    </w:p>
    <w:p>
      <w:pPr>
        <w:spacing w:after="60" w:before="60" w:line="280" w:lineRule="auto"/>
        <w:jc w:val="both"/>
      </w:pPr>
      <w:r>
        <w:rPr>
          <w:rFonts w:ascii="Times New Roman" w:cs="Times New Roman" w:eastAsia="Times New Roman" w:hAnsi="Times New Roman"/>
          <w:color w:val="000000"/>
          <w:sz w:val="22"/>
          <w:szCs w:val="22"/>
        </w:rPr>
        <w:t xml:space="preserve">All existing government officials serve as caretakers during the Transition Window, restricted to maintaining existing services only. No new permanent legislation may be passed. The Transition is supervised by a joint oversight panel comprising one representative from each of the three Inspectorates, appointed by their respective Inspector Generals. This joint panel dissolves automatically at the conclusion of the Transition Window.</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19.5 — Pre-Constitutional Classified Documents</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Classification Review Commission within 90 days of Phase 4 activation to review predecessor-government classified documents. The Commission applies the criteria of §9.5 to determine whether pre-existing classified material was legitimately classified for genuine security reasons or improperly classified to conceal constitutional violations or policy decisions. Legitimately classified documents enter the §9.5 duration framework from Day Zero. Improperly classified documents are immediately declassified and published to the National Record System. Any person may petition the Supreme Court to challenge a Commission determination.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19.6 — Pre-Existing Obligations</w:t>
      </w:r>
    </w:p>
    <w:p>
      <w:pPr>
        <w:spacing w:after="60" w:before="60" w:line="280" w:lineRule="auto"/>
        <w:jc w:val="both"/>
      </w:pPr>
      <w:r>
        <w:rPr>
          <w:rFonts w:ascii="Times New Roman" w:cs="Times New Roman" w:eastAsia="Times New Roman" w:hAnsi="Times New Roman"/>
          <w:b/>
          <w:bCs/>
          <w:color w:val="1B2A4A"/>
          <w:sz w:val="22"/>
          <w:szCs w:val="22"/>
        </w:rPr>
        <w:t xml:space="preserve">19.6.a Debt Assumption: </w:t>
      </w:r>
      <w:r>
        <w:rPr>
          <w:rFonts w:ascii="Times New Roman" w:cs="Times New Roman" w:eastAsia="Times New Roman" w:hAnsi="Times New Roman"/>
          <w:color w:val="000000"/>
          <w:sz w:val="22"/>
          <w:szCs w:val="22"/>
        </w:rPr>
        <w:t xml:space="preserve">The Republic assumes all legally recognized debts of the prior government as of the Day Zero certification date. The Monetary Authority certifies the total assumed debt within 90 days of Phase 4 activation. This assumption creates the constitutional baseline for §10.3.a's inherited deficit transition threshold. The Republic does not assume debts incurred by the prior government after Day Zero.</w:t>
      </w:r>
    </w:p>
    <w:p>
      <w:pPr>
        <w:spacing w:after="60" w:before="60" w:line="280" w:lineRule="auto"/>
        <w:jc w:val="both"/>
      </w:pPr>
      <w:r>
        <w:rPr>
          <w:rFonts w:ascii="Times New Roman" w:cs="Times New Roman" w:eastAsia="Times New Roman" w:hAnsi="Times New Roman"/>
          <w:b/>
          <w:bCs/>
          <w:color w:val="1B2A4A"/>
          <w:sz w:val="22"/>
          <w:szCs w:val="22"/>
        </w:rPr>
        <w:t xml:space="preserve">19.6.b Active Military Operations: </w:t>
      </w:r>
      <w:r>
        <w:rPr>
          <w:rFonts w:ascii="Times New Roman" w:cs="Times New Roman" w:eastAsia="Times New Roman" w:hAnsi="Times New Roman"/>
          <w:color w:val="000000"/>
          <w:sz w:val="22"/>
          <w:szCs w:val="22"/>
        </w:rPr>
        <w:t xml:space="preserve">Active military operations of the prior government continue under existing authorization until the Tier authorization framework of §12.2 can apply. The President, once inaugurated, must within 14 days certify each active operation under the appropriate Tier or begin an orderly cessation. Operations not certified within 60 days of presidential inauguration cease unless the Legislature grants a one-time extension by simple majority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19.6.c Social Insurance Programs: </w:t>
      </w:r>
      <w:r>
        <w:rPr>
          <w:rFonts w:ascii="Times New Roman" w:cs="Times New Roman" w:eastAsia="Times New Roman" w:hAnsi="Times New Roman"/>
          <w:color w:val="000000"/>
          <w:sz w:val="22"/>
          <w:szCs w:val="22"/>
        </w:rPr>
        <w:t xml:space="preserve">Existing social insurance programs of the prior government — including retirement, disability, healthcare, and unemployment programs — continue without interruption through Phase 4. the Legislature must by statute integrate these programs into or alongside the Basic Needs Floor within three budget cycles of Phase 4. No person receiving benefits under predecessor-government programs loses those benefits during the transition period.</w:t>
      </w:r>
    </w:p>
    <w:p>
      <w:pPr>
        <w:spacing w:after="60" w:before="60" w:line="280" w:lineRule="auto"/>
        <w:jc w:val="both"/>
      </w:pPr>
      <w:r>
        <w:rPr>
          <w:rFonts w:ascii="Times New Roman" w:cs="Times New Roman" w:eastAsia="Times New Roman" w:hAnsi="Times New Roman"/>
          <w:b/>
          <w:bCs/>
          <w:color w:val="1B2A4A"/>
          <w:sz w:val="22"/>
          <w:szCs w:val="22"/>
        </w:rPr>
        <w:t xml:space="preserve">19.6.d Veterans and National Service Obligations: </w:t>
      </w:r>
      <w:r>
        <w:rPr>
          <w:rFonts w:ascii="Times New Roman" w:cs="Times New Roman" w:eastAsia="Times New Roman" w:hAnsi="Times New Roman"/>
          <w:color w:val="000000"/>
          <w:sz w:val="22"/>
          <w:szCs w:val="22"/>
        </w:rPr>
        <w:t xml:space="preserve">The Republic inherits and honors all benefit obligations to persons who served in military or national service roles under the prior government. These obligations are existing contractual commitments of the sovereign and survive the transition as a matter of continuity-of-state. Within the first budget cycle following Phase 4 activation, the Legislature must pass a Veterans and National Service Benefits Act specifying the benefits to which prior-service personnel are entitled and the mechanism for their delivery. Pre-constitutional service obligations are deemed existing services throughout the Transition Window without reduction.</w:t>
      </w:r>
    </w:p>
    <w:p>
      <w:pPr>
        <w:spacing w:after="60" w:before="60" w:line="280" w:lineRule="auto"/>
        <w:jc w:val="both"/>
      </w:pPr>
      <w:r>
        <w:rPr>
          <w:rFonts w:ascii="Times New Roman" w:cs="Times New Roman" w:eastAsia="Times New Roman" w:hAnsi="Times New Roman"/>
          <w:b/>
          <w:bCs/>
          <w:color w:val="1B2A4A"/>
          <w:sz w:val="22"/>
          <w:szCs w:val="22"/>
        </w:rPr>
        <w:t xml:space="preserve">19.6.e Constitutional Claims Court: </w:t>
      </w:r>
      <w:r>
        <w:rPr>
          <w:rFonts w:ascii="Times New Roman" w:cs="Times New Roman" w:eastAsia="Times New Roman" w:hAnsi="Times New Roman"/>
          <w:color w:val="000000"/>
          <w:sz w:val="22"/>
          <w:szCs w:val="22"/>
        </w:rPr>
        <w:t xml:space="preserve">The immediate nullification of laws conflicting with the Individual Sovereignty Floor under §19.2 creates a substantial volume of constitutional claims by persons whose rights were violated under predecessor law. Within 60 days of Phase 4 activation, the Legislature must establish by statute a Constitutional Claims Court with expedited jurisdiction to adjudicate claims arising from laws or government actions that were lawful under the prior government but are void under this Constitution from Day Zero. The Constitutional Claims Court operates for a period of not less than five years and may be renewed by the Legislature. Its decisions are subject to appeal to the Article IV courts. Access to the Constitutional Claims Court is guaranteed under Article I (Right of Access to Courts); the Legislature must ensure legal aid is available to claimants who cannot afford representation, consistent with Article I's legal aid mandate.</w:t>
      </w:r>
    </w:p>
    <w:p>
      <w:pPr>
        <w:spacing w:after="60" w:before="60" w:line="280" w:lineRule="auto"/>
        <w:jc w:val="both"/>
      </w:pPr>
      <w:r>
        <w:rPr>
          <w:rFonts w:ascii="Times New Roman" w:cs="Times New Roman" w:eastAsia="Times New Roman" w:hAnsi="Times New Roman"/>
          <w:b/>
          <w:bCs/>
          <w:color w:val="1B2A4A"/>
          <w:sz w:val="22"/>
          <w:szCs w:val="22"/>
        </w:rPr>
        <w:t xml:space="preserve">19.6.f Legal Continuity: </w:t>
      </w:r>
      <w:r>
        <w:rPr>
          <w:rFonts w:ascii="Times New Roman" w:cs="Times New Roman" w:eastAsia="Times New Roman" w:hAnsi="Times New Roman"/>
          <w:color w:val="000000"/>
          <w:sz w:val="22"/>
          <w:szCs w:val="22"/>
        </w:rPr>
        <w:t xml:space="preserve">The Federated Republic is the legal continuity of the prior government as a matter of international law. All international legal obligations, financial obligations, treaty commitments, contractual obligations, and benefit program obligations of the prior government as of Day Zero are assumed by the Republic as the continuation of that sovereign. This section governs the transition of those obligations into the Republic's constitutional framework.</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19.7 — Transition-Period Territorial and Subdivision Elections</w:t>
      </w:r>
    </w:p>
    <w:p>
      <w:pPr>
        <w:spacing w:after="60" w:before="60" w:line="280" w:lineRule="auto"/>
        <w:jc w:val="both"/>
      </w:pPr>
      <w:r>
        <w:rPr>
          <w:rFonts w:ascii="Times New Roman" w:cs="Times New Roman" w:eastAsia="Times New Roman" w:hAnsi="Times New Roman"/>
          <w:color w:val="000000"/>
          <w:sz w:val="22"/>
          <w:szCs w:val="22"/>
        </w:rPr>
        <w:t xml:space="preserve">The transition from the prior government to the Republic involves all existing states, territories, and other political subdivisions of the prior government simultaneously entering a new constitutional framework. This creates three distinct situations that the standard post-ratification devolution and Statehood frameworks (Articles XIII and XV) do not address: existing states that wish to enter as territories rather than states; existing states that wish to subdivide before or during the transition; and states that fail the Phase 2 Statehood Audit during the 18-month Transition Window. This section governs all three.</w:t>
      </w:r>
    </w:p>
    <w:p>
      <w:pPr>
        <w:spacing w:after="60" w:before="60" w:line="280" w:lineRule="auto"/>
        <w:jc w:val="both"/>
      </w:pPr>
      <w:r>
        <w:rPr>
          <w:rFonts w:ascii="Times New Roman" w:cs="Times New Roman" w:eastAsia="Times New Roman" w:hAnsi="Times New Roman"/>
          <w:b/>
          <w:bCs/>
          <w:color w:val="1B2A4A"/>
          <w:sz w:val="22"/>
          <w:szCs w:val="22"/>
        </w:rPr>
        <w:t xml:space="preserve">19.7.a Transition-Period Territorial Elections: </w:t>
      </w:r>
      <w:r>
        <w:rPr>
          <w:rFonts w:ascii="Times New Roman" w:cs="Times New Roman" w:eastAsia="Times New Roman" w:hAnsi="Times New Roman"/>
          <w:color w:val="000000"/>
          <w:sz w:val="22"/>
          <w:szCs w:val="22"/>
        </w:rPr>
        <w:t xml:space="preserve">During the Transition Window, any territory or subdivision of the prior government that meets the §13.2 Competency Baseline by the end of Phase 2 may petition to enter as a State or Territory. Any territory that fails the Competency Baseline enters as a Territory under §13.1 and may begin the Statehood Audit process immediately. Any territory that chooses to enter as a Territory rather than a State does so by simple vote of its legislature or governing body. the Legislature must by statute establish the administrative process for transition-period petitions, including timelines, documentation requirements, and Electoral Commission responsibilities.</w:t>
      </w:r>
    </w:p>
    <w:p>
      <w:pPr>
        <w:spacing w:after="60" w:before="60" w:line="280" w:lineRule="auto"/>
        <w:jc w:val="both"/>
      </w:pPr>
      <w:r>
        <w:rPr>
          <w:rFonts w:ascii="Times New Roman" w:cs="Times New Roman" w:eastAsia="Times New Roman" w:hAnsi="Times New Roman"/>
          <w:b/>
          <w:bCs/>
          <w:color w:val="1B2A4A"/>
          <w:sz w:val="22"/>
          <w:szCs w:val="22"/>
        </w:rPr>
        <w:t xml:space="preserve">19.7.b Subdivision Elections: </w:t>
      </w:r>
      <w:r>
        <w:rPr>
          <w:rFonts w:ascii="Times New Roman" w:cs="Times New Roman" w:eastAsia="Times New Roman" w:hAnsi="Times New Roman"/>
          <w:color w:val="000000"/>
          <w:sz w:val="22"/>
          <w:szCs w:val="22"/>
        </w:rPr>
        <w:t xml:space="preserve">Territories or states of the prior government may voluntarily subdivide during the Transition Window by vote of their existing legislative body. New subdivisions are treated as separate petitioning entities for purposes of §19.7.a. the Legislature must by statute establish the process for recognizing subdivisions during the Transition Window, including minimum population thresholds and geographic criteria consistent with §3.4.</w:t>
      </w:r>
    </w:p>
    <w:p>
      <w:pPr>
        <w:spacing w:after="60" w:before="60" w:line="280" w:lineRule="auto"/>
        <w:jc w:val="both"/>
      </w:pPr>
      <w:r>
        <w:rPr>
          <w:rFonts w:ascii="Times New Roman" w:cs="Times New Roman" w:eastAsia="Times New Roman" w:hAnsi="Times New Roman"/>
          <w:b/>
          <w:bCs/>
          <w:color w:val="1B2A4A"/>
          <w:sz w:val="22"/>
          <w:szCs w:val="22"/>
        </w:rPr>
        <w:t xml:space="preserve">19.7.c Phase 2 Statehood Audit Failures: </w:t>
      </w:r>
      <w:r>
        <w:rPr>
          <w:rFonts w:ascii="Times New Roman" w:cs="Times New Roman" w:eastAsia="Times New Roman" w:hAnsi="Times New Roman"/>
          <w:color w:val="000000"/>
          <w:sz w:val="22"/>
          <w:szCs w:val="22"/>
        </w:rPr>
        <w:t xml:space="preserve">Where a state fails the Phase 2 Statehood Audit, it enters as a Territory under §13.1 rather than a State. Its population retains all Article I rights. It may begin the §13.2 Statehood Audit path immediately. the Legislature must by statute establish an expedited audit timeline for transition-period audit failures, recognizing that these territories have existing institutional capacity that new entry territories lack. Territory residents from failed-audit states participate in the first House elections proportionally.</w:t>
      </w:r>
    </w:p>
    <w:p>
      <w:pPr>
        <w:spacing w:after="60" w:before="60" w:line="280" w:lineRule="auto"/>
        <w:jc w:val="both"/>
      </w:pPr>
      <w:r>
        <w:rPr>
          <w:rFonts w:ascii="Times New Roman" w:cs="Times New Roman" w:eastAsia="Times New Roman" w:hAnsi="Times New Roman"/>
          <w:b/>
          <w:bCs/>
          <w:color w:val="1B2A4A"/>
          <w:sz w:val="22"/>
          <w:szCs w:val="22"/>
        </w:rPr>
        <w:t xml:space="preserve">19.7.d Pre-Existing Territories and the District: </w:t>
      </w:r>
      <w:r>
        <w:rPr>
          <w:rFonts w:ascii="Times New Roman" w:cs="Times New Roman" w:eastAsia="Times New Roman" w:hAnsi="Times New Roman"/>
          <w:color w:val="000000"/>
          <w:sz w:val="22"/>
          <w:szCs w:val="22"/>
        </w:rPr>
        <w:t xml:space="preserve">All territories of the prior government that have not achieved statehood by Day Zero enter the Republic as Territories from Phase 4 activation. They do not undergo Phase 2 Statehood Audits — they begin the standard §13.2 Statehood Audit process after Phase 4. They receive all Territory-status rights and protections from Phase 4: full Article I rights, Basic Needs Floor distributions, House representation by population, and PM domestic oversight. Pre-existing territories may also file Transition-Period Territorial Election statements under §19.7.a if they wish to formalize their preference to remain as a Territory for a defined initial period before beginning the Statehood Audit process. Any capital district or special administrative region of the prior government that was neither a state nor a standard territory is assigned Territory status from Phase 4 and follows the §13.2 Statehood Audit path, with the understanding that its Senate representation question will be addressed through the Statehood process.</w:t>
      </w:r>
    </w:p>
    <w:p>
      <w:pPr>
        <w:spacing w:after="60" w:before="60" w:line="280" w:lineRule="auto"/>
        <w:jc w:val="both"/>
      </w:pPr>
      <w:r>
        <w:rPr>
          <w:rFonts w:ascii="Times New Roman" w:cs="Times New Roman" w:eastAsia="Times New Roman" w:hAnsi="Times New Roman"/>
          <w:b/>
          <w:bCs/>
          <w:color w:val="1B2A4A"/>
          <w:sz w:val="22"/>
          <w:szCs w:val="22"/>
        </w:rPr>
        <w:t xml:space="preserve">19.7.e Joint Inspectorate Panel Role: </w:t>
      </w:r>
      <w:r>
        <w:rPr>
          <w:rFonts w:ascii="Times New Roman" w:cs="Times New Roman" w:eastAsia="Times New Roman" w:hAnsi="Times New Roman"/>
          <w:color w:val="000000"/>
          <w:sz w:val="22"/>
          <w:szCs w:val="22"/>
        </w:rPr>
        <w:t xml:space="preserve">The joint Inspectorate panel is the receiving body for all Transition-Period territorial elections and subdivision elections under this section. It verifies that submitted resolutions meet the constitutional requirements, coordinates Statehood Audit scheduling with the Legislative Inspectorate, and maintains the official registry of each state's transition status — State, Territory-by-election, Territory-by-audit, or Subdivision-in-progress — on the National Record System throughout the Transition Window. The panel publishes a complete transition status map updated monthly during Phase 2.</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19.8 — Transition Candidate Registers</w:t>
      </w:r>
    </w:p>
    <w:p>
      <w:pPr>
        <w:spacing w:after="60" w:before="60" w:line="280" w:lineRule="auto"/>
        <w:jc w:val="both"/>
      </w:pPr>
      <w:r>
        <w:rPr>
          <w:rFonts w:ascii="Times New Roman" w:cs="Times New Roman" w:eastAsia="Times New Roman" w:hAnsi="Times New Roman"/>
          <w:b/>
          <w:bCs/>
          <w:color w:val="1B2A4A"/>
          <w:sz w:val="22"/>
          <w:szCs w:val="22"/>
        </w:rPr>
        <w:t xml:space="preserve">19.8.a Initial Register Assembly: </w:t>
      </w:r>
      <w:r>
        <w:rPr>
          <w:rFonts w:ascii="Times New Roman" w:cs="Times New Roman" w:eastAsia="Times New Roman" w:hAnsi="Times New Roman"/>
          <w:color w:val="000000"/>
          <w:sz w:val="22"/>
          <w:szCs w:val="22"/>
        </w:rPr>
        <w:t xml:space="preserve">During Phase 2, the joint Inspectorate panel assembles an initial Candidate Register for the Monetary Authority board members and the Record System Authority Director. No Candidate Register is required for the Monetary Authority Director, who is elected by national Ranked Choice Voting under §10.4.a. the Legislature may by statute designate additional constitutionally independent bodies requiring a Candidate Register, to which the provisions of this section apply. For each candidate, the panel receives a candidate disclosure record submitted by or on behalf of the candidate — including professional background, relevant expertise, financial disclosures, and any prior government positions held. The panel reviews the submitted record for factual accuracy, applies the constitutional eligibility criteria, and publishes the record together with its recommendation to the National Record System, applying the same standards the Executive Inspectorate applies to subsequent reviews. The panel may draw on candidates with experience in prior government fiscal or technical institutions where those institutions were not assessed as having participated in the conduct requiring reform; on international expertise from recognized fiscal, monetary, or technical bodies where domestic expertise is unavailable or compromised; and on citizens residing abroad whose expertise is domestic expertise for this purpose. The panel must publish its assessment of available expertise sources to the National Record System before constituting any Register.</w:t>
      </w:r>
    </w:p>
    <w:p>
      <w:pPr>
        <w:spacing w:after="60" w:before="60" w:line="280" w:lineRule="auto"/>
        <w:jc w:val="both"/>
      </w:pPr>
      <w:r>
        <w:rPr>
          <w:rFonts w:ascii="Times New Roman" w:cs="Times New Roman" w:eastAsia="Times New Roman" w:hAnsi="Times New Roman"/>
          <w:b/>
          <w:bCs/>
          <w:color w:val="1B2A4A"/>
          <w:sz w:val="22"/>
          <w:szCs w:val="22"/>
        </w:rPr>
        <w:t xml:space="preserve">19.8.b Interim Functions and First Nomination: </w:t>
      </w:r>
      <w:r>
        <w:rPr>
          <w:rFonts w:ascii="Times New Roman" w:cs="Times New Roman" w:eastAsia="Times New Roman" w:hAnsi="Times New Roman"/>
          <w:color w:val="000000"/>
          <w:sz w:val="22"/>
          <w:szCs w:val="22"/>
        </w:rPr>
        <w:t xml:space="preserve">The joint Inspectorate panel performs interim MA fiscal certification functions from Phase 4 activation until the first MA Director takes office following the Phase 3 election, including the initial gross national revenue certification and the inherited debt assessment required under §19.6.a. These interim certifications carry full constitutional weight. The first MA Director election is held as part of the Phase 3 National Election Day. The first Prime Minister must nominate MA board members within 90 days of Phase 4 activation and must nominate an RSA Director within 180 days of Phase 4 activation.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19.9 — Transitional Accountability Mechanism</w:t>
      </w:r>
    </w:p>
    <w:p>
      <w:pPr>
        <w:spacing w:after="60" w:before="60" w:line="280" w:lineRule="auto"/>
        <w:jc w:val="both"/>
      </w:pPr>
      <w:r>
        <w:rPr>
          <w:rFonts w:ascii="Times New Roman" w:cs="Times New Roman" w:eastAsia="Times New Roman" w:hAnsi="Times New Roman"/>
          <w:b/>
          <w:bCs/>
          <w:color w:val="1B2A4A"/>
          <w:sz w:val="22"/>
          <w:szCs w:val="22"/>
        </w:rPr>
        <w:t xml:space="preserve">19.9.a Establishment and Purpose: </w:t>
      </w:r>
      <w:r>
        <w:rPr>
          <w:rFonts w:ascii="Times New Roman" w:cs="Times New Roman" w:eastAsia="Times New Roman" w:hAnsi="Times New Roman"/>
          <w:color w:val="000000"/>
          <w:sz w:val="22"/>
          <w:szCs w:val="22"/>
        </w:rPr>
        <w:t xml:space="preserve">Where a ratifying polity's predecessor government has documented constitutional violations recorded on the National Record System through mandatory publication of predecessor governmental records, the Legislature may by statute passed by a 2/3 majority of both chambers within three years of Phase 4 activation establish a Transitional Accountability Mechanism. The Mechanism must specify: its subject matter scope; the categories of violations it may examine; the evidentiary standards it applies; the remedies it may recommend or award; and a defined sunset date not exceeding ten years from Phase 4 activation. The Mechanism operates under the Judicial Inspectorate's oversight and publishes all finalized findings permanently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19.9.b Amendment and Successor Bar: </w:t>
      </w:r>
      <w:r>
        <w:rPr>
          <w:rFonts w:ascii="Times New Roman" w:cs="Times New Roman" w:eastAsia="Times New Roman" w:hAnsi="Times New Roman"/>
          <w:color w:val="000000"/>
          <w:sz w:val="22"/>
          <w:szCs w:val="22"/>
        </w:rPr>
        <w:t xml:space="preserve">The establishing statute and any amendments to it require the same 2/3 majority of both chambers as the original statute. No amendment may expand the Mechanism's subject matter scope beyond the scope defined in the establishing statute. the Legislature may not establish a successor mechanism under this provision within ten years of the sunset of any prior mechanism established under this provision; the sunset of one mechanism begins the ten-year bar on successor mechanism establishment regardless of whether the successor is described as a new mechanism or a continuation of the prior one.</w:t>
      </w:r>
    </w:p>
    <w:p>
      <w:pPr>
        <w:spacing w:after="60" w:before="60" w:line="280" w:lineRule="auto"/>
        <w:jc w:val="both"/>
      </w:pPr>
      <w:r>
        <w:rPr>
          <w:rFonts w:ascii="Times New Roman" w:cs="Times New Roman" w:eastAsia="Times New Roman" w:hAnsi="Times New Roman"/>
          <w:b/>
          <w:bCs/>
          <w:color w:val="1B2A4A"/>
          <w:sz w:val="22"/>
          <w:szCs w:val="22"/>
        </w:rPr>
        <w:t xml:space="preserve">19.9.c Jurisdiction and Publication Limits: </w:t>
      </w:r>
      <w:r>
        <w:rPr>
          <w:rFonts w:ascii="Times New Roman" w:cs="Times New Roman" w:eastAsia="Times New Roman" w:hAnsi="Times New Roman"/>
          <w:color w:val="000000"/>
          <w:sz w:val="22"/>
          <w:szCs w:val="22"/>
        </w:rPr>
        <w:t xml:space="preserve">The Mechanism may not exercise criminal jurisdiction — that remains with the courts. The Mechanism may not issue orders whose practical effect is equivalent to criminal punishment, including mandatory prosecution referrals with binding recommendations, civil penalties exceeding the MA-defined threshold for criminal fine equivalence, or reputational orders without evidentiary hearing rights equivalent to criminal procedure. The Mechanism may publish only finalized findings — findings that have completed the evidentiary process specified in the establishing statute. Preliminary assessments, interim findings, and draft determinations may not be published to the NRS under the Mechanism's authority.</w:t>
      </w:r>
    </w:p>
    <w:p>
      <w:pPr>
        <w:spacing w:after="60" w:before="60" w:line="280" w:lineRule="auto"/>
        <w:jc w:val="both"/>
      </w:pPr>
      <w:r>
        <w:rPr>
          <w:rFonts w:ascii="Times New Roman" w:cs="Times New Roman" w:eastAsia="Times New Roman" w:hAnsi="Times New Roman"/>
          <w:b/>
          <w:bCs/>
          <w:color w:val="1B2A4A"/>
          <w:sz w:val="22"/>
          <w:szCs w:val="22"/>
        </w:rPr>
        <w:t xml:space="preserve">19.9.d Sunset and Constitutional Rationale: </w:t>
      </w:r>
      <w:r>
        <w:rPr>
          <w:rFonts w:ascii="Times New Roman" w:cs="Times New Roman" w:eastAsia="Times New Roman" w:hAnsi="Times New Roman"/>
          <w:color w:val="000000"/>
          <w:sz w:val="22"/>
          <w:szCs w:val="22"/>
        </w:rPr>
        <w:t xml:space="preserve">At sunset the Mechanism dissolves; its NRS record is permanent. the Legislature may not extend the Mechanism beyond its statutory sunset without a fresh 2/3 supermajority in both chambers; extension is not a renewal and does not reset the ten-year successor bar under §19.9.b. A Republic that inherits the territory, institutions, and treaty obligations of its predecessor bears a constitutional obligation to honestly account for what was done in the name of that predecessor state.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XX — ASSOCIATED COMMUNITY RELATIONSHIPS</w:t>
      </w:r>
    </w:p>
    <w:p>
      <w:pPr>
        <w:spacing w:after="60" w:before="60" w:line="280" w:lineRule="auto"/>
        <w:jc w:val="both"/>
      </w:pPr>
      <w:r>
        <w:rPr>
          <w:rFonts w:ascii="Times New Roman" w:cs="Times New Roman" w:eastAsia="Times New Roman" w:hAnsi="Times New Roman"/>
          <w:color w:val="000000"/>
          <w:sz w:val="22"/>
          <w:szCs w:val="22"/>
        </w:rPr>
        <w:t xml:space="preserve">The Republic maintains constitutional relationships with sovereign entities through compacts negotiated as agreements between equal parties. This Article establishes the framework for Associated Community status — the constitutional form of that relationship. Associated Community status is available exclusively to sovereign entities. It is not a form of State or Territory status within the Republic, and it is not a step within the independence or devolution pathways of Article XIII and Article XV. It is a distinct constitutional category reflecting the Republic's recognition that voluntary connection without incorporation serves both the Republic's interests and the sovereignty of communities that choose it.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20.1 — Associated Community Status</w:t>
      </w:r>
    </w:p>
    <w:p>
      <w:pPr>
        <w:spacing w:after="60" w:before="60" w:line="280" w:lineRule="auto"/>
        <w:jc w:val="both"/>
      </w:pPr>
      <w:r>
        <w:rPr>
          <w:rFonts w:ascii="Times New Roman" w:cs="Times New Roman" w:eastAsia="Times New Roman" w:hAnsi="Times New Roman"/>
          <w:b/>
          <w:bCs/>
          <w:color w:val="1B2A4A"/>
          <w:sz w:val="22"/>
          <w:szCs w:val="22"/>
        </w:rPr>
        <w:t xml:space="preserve">20.1 Associated Community Status: </w:t>
      </w:r>
      <w:r>
        <w:rPr>
          <w:rFonts w:ascii="Times New Roman" w:cs="Times New Roman" w:eastAsia="Times New Roman" w:hAnsi="Times New Roman"/>
          <w:color w:val="000000"/>
          <w:sz w:val="22"/>
          <w:szCs w:val="22"/>
        </w:rPr>
        <w:t xml:space="preserve">The Republic may enter into an Associated Community relationship exclusively with sovereign entities — nations that have completed the independence process under §15.4-15.5 or that exist as independent nations outside the Republic's territory seeking a defined relationship with the Republic; or that are recognised as pre-existing sovereign nations under Article XIV. Associated Community status is not available to States or Territories as a direct transition; it is available only after full sovereignty is achieved through the independence process. A newly independent nation may negotiate an Associated Community compact immediately following independence certification. The independence framework agreement under §15.5 may include provisions for an immediate compact upon independence taking effect. Where an independence transition period under §15.5 is active, compact negotiations may commence but the compact may not take effect — and Associated Community status may not be certified — until the independence transition period is complete. The transition period and compact status are sequential, not concurrent. This restriction does not prevent negotiation or parliamentary ratification during the transition period; it prevents the compact from governing the relationship until the transition framework has concluded.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20.2 — Compact Terms and Equal Sovereignty</w:t>
      </w:r>
    </w:p>
    <w:p>
      <w:pPr>
        <w:spacing w:after="60" w:before="60" w:line="280" w:lineRule="auto"/>
        <w:jc w:val="both"/>
      </w:pPr>
      <w:r>
        <w:rPr>
          <w:rFonts w:ascii="Times New Roman" w:cs="Times New Roman" w:eastAsia="Times New Roman" w:hAnsi="Times New Roman"/>
          <w:b/>
          <w:bCs/>
          <w:color w:val="1B2A4A"/>
          <w:sz w:val="22"/>
          <w:szCs w:val="22"/>
        </w:rPr>
        <w:t xml:space="preserve">20.2 Compact Terms and Equal Sovereignty: </w:t>
      </w:r>
      <w:r>
        <w:rPr>
          <w:rFonts w:ascii="Times New Roman" w:cs="Times New Roman" w:eastAsia="Times New Roman" w:hAnsi="Times New Roman"/>
          <w:color w:val="000000"/>
          <w:sz w:val="22"/>
          <w:szCs w:val="22"/>
        </w:rPr>
        <w:t xml:space="preserve">The compact is negotiated between equal sovereign parties. Neither party is constitutionally superior to the other in the compact relationship. The compact must specify: the services the Republic provides to the Associated Community; the rights of Associated Community residents under §1.26 of this Constitution; the governance autonomy retained by the Associated Community; the observing delegate arrangements for Republic parliamentary participation including both House and Senate access; and the process for compact modification or termination. The Republic may not unilaterally terminate the compact. The minimum democratic legitimacy requirements applicable to States under §13.2.e do not apply to Associated Communities. The Republic may not impose its constitutional governance architecture on an Associated Community as a condition of the compact relationship. Observing delegates are not members of the House or Senate for any constitutional threshold calculation. Their participation rights — speaking, committee consultation on compact-relevant matters — do not affect quorum requirements, majority calculations, or any threshold based on chamber membership.</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20.3 — Compact Conditions and Ongoing Compliance</w:t>
      </w:r>
    </w:p>
    <w:p>
      <w:pPr>
        <w:spacing w:after="60" w:before="60" w:line="280" w:lineRule="auto"/>
        <w:jc w:val="both"/>
      </w:pPr>
      <w:r>
        <w:rPr>
          <w:rFonts w:ascii="Times New Roman" w:cs="Times New Roman" w:eastAsia="Times New Roman" w:hAnsi="Times New Roman"/>
          <w:b/>
          <w:bCs/>
          <w:color w:val="1B2A4A"/>
          <w:sz w:val="22"/>
          <w:szCs w:val="22"/>
        </w:rPr>
        <w:t xml:space="preserve">20.3 Compact Conditions and Ongoing Compliance: </w:t>
      </w:r>
      <w:r>
        <w:rPr>
          <w:rFonts w:ascii="Times New Roman" w:cs="Times New Roman" w:eastAsia="Times New Roman" w:hAnsi="Times New Roman"/>
          <w:color w:val="000000"/>
          <w:sz w:val="22"/>
          <w:szCs w:val="22"/>
        </w:rPr>
        <w:t xml:space="preserve">No compact may be entered or ratified with any entity whose governance practices include, authorise, or systematically permit torture, slavery, or the denial of habeas corpus to any person within its jurisdiction. The Judicial Inspectorate certifies compliance with this condition before parliamentary ratification of any compact. A compact negotiated with a non-compliant entity is void regardless of parliamentary ratification. The Judicial Inspectorate conducts annual compliance reviews and publishes findings to the NRS. Where the JI finds systematic violations of the Article I unamendable prohibitions, the compact is suspended pending Supreme Court review. The Court may terminate the compact on confirmed systematic violations without remediation within a defined period. Economic value of the compact relationship is not a factor in JI certification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the Legislature may not schedule a compact ratification vote until the JI publishes its certification finding. The JI must complete its assessment and publish findings to the NRS within 90 days of receiving the compact text. If the JI does not publish within 90 days, the Legislature may request a single 30-day extension; if still unpublished after the extension, the compact is deemed not certified and may not be ratified until the JI completes its assessment. The 90-day clock restarts if the compact is materially amended after submission. Where an Associated Community's territory includes indigenous peoples, the compact must specify the mechanism by which those peoples may access federal courts to enforce Article I rights. The Republic bears an affirmative obligation to make Article I enforcement practically accessible — not merely formally available — to all persons within Associated Community territory including indigenous peoples. The JI's annual compliance review must specifically assess whether Article I rights are practically accessible to all residents of Associated Community territory, including any indigenous peoples within it. Republic authorities — including military, coast guard, and consular personnel — operating within Associated Community territory remain bound by §1.27 regardless of their location. Republic authorities may not return any person to a territory where §1.27 applies. The compact must specify the pathway available to persons who present themselves to Republic authorities within Associated Community territory seeking protection under §1.27 — either through the Republic's Asylum Court or through an equivalent independent determination process the compact establishes.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20.4 — Sovereign Mobility</w:t>
      </w:r>
    </w:p>
    <w:p>
      <w:pPr>
        <w:spacing w:after="60" w:before="60" w:line="280" w:lineRule="auto"/>
        <w:jc w:val="both"/>
      </w:pPr>
      <w:r>
        <w:rPr>
          <w:rFonts w:ascii="Times New Roman" w:cs="Times New Roman" w:eastAsia="Times New Roman" w:hAnsi="Times New Roman"/>
          <w:b/>
          <w:bCs/>
          <w:color w:val="1B2A4A"/>
          <w:sz w:val="22"/>
          <w:szCs w:val="22"/>
        </w:rPr>
        <w:t xml:space="preserve">20.4 Sovereign Mobility: </w:t>
      </w:r>
      <w:r>
        <w:rPr>
          <w:rFonts w:ascii="Times New Roman" w:cs="Times New Roman" w:eastAsia="Times New Roman" w:hAnsi="Times New Roman"/>
          <w:color w:val="000000"/>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by the Associated Community's own democratic decision. The Republic may not impose conditions on or penalties for compact termination. Compact termination takes effect on a date specified in the termination notice, not less than 12 months from the date of notice, to allow orderly transition of any services the compact provides. The 12-month notice period runs from the date the Republic receives the termination notice and is not suspended by internal governance disputes within the Associated Community. Where the Associated Community's highest governance authority issues a formal ruling that the termination decision was invalid under the community's own governance law within the 12-month period, the community may submit a withdrawal of the termination notice; the Republic must acknowledge such withdrawal. No withdrawal may be submitted after the 12-month period expires.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20.5 — Reciprocal Obligations and Review</w:t>
      </w:r>
    </w:p>
    <w:p>
      <w:pPr>
        <w:spacing w:after="60" w:before="60" w:line="280" w:lineRule="auto"/>
        <w:jc w:val="both"/>
      </w:pPr>
      <w:r>
        <w:rPr>
          <w:rFonts w:ascii="Times New Roman" w:cs="Times New Roman" w:eastAsia="Times New Roman" w:hAnsi="Times New Roman"/>
          <w:b/>
          <w:bCs/>
          <w:color w:val="1B2A4A"/>
          <w:sz w:val="22"/>
          <w:szCs w:val="22"/>
        </w:rPr>
        <w:t xml:space="preserve">20.5 Reciprocal Obligations and Review: </w:t>
      </w:r>
      <w:r>
        <w:rPr>
          <w:rFonts w:ascii="Times New Roman" w:cs="Times New Roman" w:eastAsia="Times New Roman" w:hAnsi="Times New Roman"/>
          <w:color w:val="000000"/>
          <w:sz w:val="22"/>
          <w:szCs w:val="22"/>
        </w:rPr>
        <w:t xml:space="preserve">The compact must specify with particularity: the services the Republic provides to the Associated Community; any reciprocal obligations, financial contributions, access rights, or other benefits the Associated Community provides to the Republic; and where the compact provides no reciprocal contribution from the Associated Community, a published statement of the Republic's non-economic interest justifying the arrangement. Reciprocal obligations must be material at the time of ratification. Where either party takes regulatory action that materially reduces the value of a reciprocal obligation, the other party may invoke the compact review mechanism immediately. The Monetary Authority certifies whether a regulatory action has materially reduced a reciprocal obligation's value within 60 days of formal request. The compact must specify a review mechanism not less frequent than every ten years at which both parties may propose renegotiation of fiscal terms. Review creates a good-faith negotiation obligation; it does not automatically terminate the compact.</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SCHEDULE A — AUTHORITY REFERENCE MATRIX</w:t>
      </w:r>
    </w:p>
    <w:p>
      <w:pPr>
        <w:spacing w:after="60" w:before="60" w:line="280" w:lineRule="auto"/>
        <w:jc w:val="both"/>
      </w:pPr>
      <w:r>
        <w:rPr>
          <w:rFonts w:ascii="Times New Roman" w:cs="Times New Roman" w:eastAsia="Times New Roman" w:hAnsi="Times New Roman"/>
          <w:color w:val="000000"/>
          <w:sz w:val="22"/>
          <w:szCs w:val="22"/>
        </w:rPr>
        <w:t xml:space="preserve">This Schedule is a non-operative reference guide summarizing key constitutional provisions, authority allocations, and procedural rules. It is provided for navigational clarity and citizen accessibility. In the event of any inconsistency between this Schedule and the operative text of Articles I through XIX, the operative text prevails. This Schedule has no independent legal effect and may be revised by the Legislative Inspectorate to reflect constitutional amendments without the amendment process applying to the Schedule itself.</w:t>
      </w:r>
    </w:p>
    <w:sectPr>
      <w:footerReference w:type="default" r:id="rId7"/>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060"/>
        <w:sz w:val="16"/>
        <w:szCs w:val="16"/>
      </w:rPr>
      <w:t xml:space="preserve">The Constitution of the Federated Republic  ·  </w:t>
    </w:r>
    <w:r>
      <w:rPr>
        <w:rFonts w:ascii="Times New Roman" w:cs="Times New Roman" w:eastAsia="Times New Roman" w:hAnsi="Times New Roman"/>
        <w:color w:val="7A70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pPr>
        <w:spacing w:after="60" w:before="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Constitution of the Federated Republic</dc:title>
  <dc:creator>The Federated Republic Project</dc:creator>
  <dc:description>v134 — Voter and Convention Ready</dc:description>
  <cp:lastModifiedBy>Un-named</cp:lastModifiedBy>
  <cp:revision>1</cp:revision>
  <dcterms:created xsi:type="dcterms:W3CDTF">2026-05-11T04:09:53.791Z</dcterms:created>
  <dcterms:modified xsi:type="dcterms:W3CDTF">2026-05-11T04:09:53.808Z</dcterms:modified>
</cp:coreProperties>
</file>

<file path=docProps/custom.xml><?xml version="1.0" encoding="utf-8"?>
<Properties xmlns="http://schemas.openxmlformats.org/officeDocument/2006/custom-properties" xmlns:vt="http://schemas.openxmlformats.org/officeDocument/2006/docPropsVTypes"/>
</file>