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of Access to Courts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 a self-executing right that courts may not make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Any method a legislature permits remains subject to §1.11's prohibition on cruel, degrading, or inhumane treatment. The State's obligations attach from the moment of live birth.</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forced labor, debt bondage, and compelled service are prohibited absolutely and in all forms. The prohibition extends to all persons within the Republic's jurisdiction, not merely to citizens. Jury service required under §4.5 and lawful sentences of community service imposed by a court do not constitute forced labor under this provision.</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Freedom of Expression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branch, agency, official, or instrumentality of the Republic or any State may abridge the freedom of speech, press, or assembly in any medium — physical or digital.</w:t>
      </w:r>
    </w:p>
    <w:p>
      <w:pPr>
        <w:spacing w:after="60" w:before="200"/>
        <w:ind w:left="431"/>
        <w:jc w:val="left"/>
      </w:pPr>
      <w:r>
        <w:rPr>
          <w:rFonts w:ascii="Courier New" w:cs="Courier New" w:eastAsia="Courier New" w:hAnsi="Courier New"/>
          <w:b/>
          <w:bCs/>
          <w:color w:val="1B2A4A"/>
          <w:sz w:val="18"/>
          <w:szCs w:val="18"/>
        </w:rPr>
        <w:t xml:space="preserve">§1.5.a  </w:t>
      </w:r>
      <w:r>
        <w:rPr>
          <w:rFonts w:ascii="Garamond" w:cs="Garamond" w:eastAsia="Garamond" w:hAnsi="Garamond"/>
          <w:b/>
          <w:bCs/>
          <w:i w:val="false"/>
          <w:iCs w:val="false"/>
          <w:color w:val="1B2A4A"/>
          <w:sz w:val="22"/>
          <w:szCs w:val="22"/>
        </w:rPr>
        <w:t xml:space="preserve">Censorship by Proxy</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Freedom of Thought, Conscience, and Religion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jc w:val="left"/>
      </w:pPr>
      <w:r>
        <w:rPr>
          <w:rFonts w:ascii="Courier New" w:cs="Courier New" w:eastAsia="Courier New" w:hAnsi="Courier New"/>
          <w:b/>
          <w:bCs/>
          <w:color w:val="1B2A4A"/>
          <w:sz w:val="18"/>
          <w:szCs w:val="18"/>
        </w:rPr>
        <w:t xml:space="preserve">§1.6.a  </w:t>
      </w:r>
      <w:r>
        <w:rPr>
          <w:rFonts w:ascii="Garamond" w:cs="Garamond" w:eastAsia="Garamond" w:hAnsi="Garamond"/>
          <w:b/>
          <w:bCs/>
          <w:i w:val="false"/>
          <w:iCs w:val="false"/>
          <w:color w:val="1B2A4A"/>
          <w:sz w:val="22"/>
          <w:szCs w:val="22"/>
        </w:rPr>
        <w:t xml:space="preserve">Separation of Church and State</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religion may be established by law, and public funds directed to religious organizations must comply with the equality requirements of §1.9. The separation of church and state is structural, not merely preferential.</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Freedom of Association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Right to Petition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Bodily Autonomy and Digital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bodily and digital sovereignty against government intrusion. No government actor may compel medical procedures, appropriate personal data, or obtain cryptographic keys without express constitutional authorization.</w:t>
      </w:r>
    </w:p>
    <w:p>
      <w:pPr>
        <w:spacing w:after="60" w:before="200"/>
        <w:ind w:left="431"/>
        <w:jc w:val="left"/>
      </w:pPr>
      <w:r>
        <w:rPr>
          <w:rFonts w:ascii="Courier New" w:cs="Courier New" w:eastAsia="Courier New" w:hAnsi="Courier New"/>
          <w:b/>
          <w:bCs/>
          <w:color w:val="1B2A4A"/>
          <w:sz w:val="18"/>
          <w:szCs w:val="18"/>
        </w:rPr>
        <w:t xml:space="preserve">§1.10.a  </w:t>
      </w:r>
      <w:r>
        <w:rPr>
          <w:rFonts w:ascii="Garamond" w:cs="Garamond" w:eastAsia="Garamond" w:hAnsi="Garamond"/>
          <w:b/>
          <w:bCs/>
          <w:i w:val="false"/>
          <w:iCs w:val="false"/>
          <w:color w:val="1B2A4A"/>
          <w:sz w:val="22"/>
          <w:szCs w:val="22"/>
        </w:rPr>
        <w:t xml:space="preserve">Physical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431"/>
        <w:jc w:val="left"/>
      </w:pPr>
      <w:r>
        <w:rPr>
          <w:rFonts w:ascii="Courier New" w:cs="Courier New" w:eastAsia="Courier New" w:hAnsi="Courier New"/>
          <w:b/>
          <w:bCs/>
          <w:color w:val="1B2A4A"/>
          <w:sz w:val="18"/>
          <w:szCs w:val="18"/>
        </w:rPr>
        <w:t xml:space="preserve">§1.10.b  </w:t>
      </w:r>
      <w:r>
        <w:rPr>
          <w:rFonts w:ascii="Garamond" w:cs="Garamond" w:eastAsia="Garamond" w:hAnsi="Garamond"/>
          <w:b/>
          <w:bCs/>
          <w:i w:val="false"/>
          <w:iCs w:val="false"/>
          <w:color w:val="1B2A4A"/>
          <w:sz w:val="22"/>
          <w:szCs w:val="22"/>
        </w:rPr>
        <w:t xml:space="preserve">Data Ownership</w:t>
      </w:r>
    </w:p>
    <w:p>
      <w:pPr>
        <w:spacing w:after="120" w:before="0"/>
        <w:ind w:left="431"/>
        <w:jc w:val="both"/>
      </w:pPr>
      <w:r>
        <w:rPr>
          <w:rFonts w:ascii="Garamond" w:cs="Garamond" w:eastAsia="Garamond" w:hAnsi="Garamond"/>
          <w:b w:val="false"/>
          <w:bCs w:val="false"/>
          <w:i w:val="false"/>
          <w:iCs w:val="false"/>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431"/>
        <w:jc w:val="left"/>
      </w:pPr>
      <w:r>
        <w:rPr>
          <w:rFonts w:ascii="Courier New" w:cs="Courier New" w:eastAsia="Courier New" w:hAnsi="Courier New"/>
          <w:b/>
          <w:bCs/>
          <w:color w:val="1B2A4A"/>
          <w:sz w:val="18"/>
          <w:szCs w:val="18"/>
        </w:rPr>
        <w:t xml:space="preserve">§1.10.c  </w:t>
      </w:r>
      <w:r>
        <w:rPr>
          <w:rFonts w:ascii="Garamond" w:cs="Garamond" w:eastAsia="Garamond" w:hAnsi="Garamond"/>
          <w:b/>
          <w:bCs/>
          <w:i w:val="false"/>
          <w:iCs w:val="false"/>
          <w:color w:val="1B2A4A"/>
          <w:sz w:val="22"/>
          <w:szCs w:val="22"/>
        </w:rPr>
        <w:t xml:space="preserve">Encryption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Cryptographic keys are private property. No court or agency may compel their disclosure without a specific judicial warrant meeting the standards of §1.11.a — identifying the particular key sought and the purpose for which it is sought, issued by a judicial officer on an individualized finding of necessity.</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Inviolability of the Home and Property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person's home is inviolable against government access without judicial warrant. Private property may not be taken except by absolute public necessity under the conditions of §1.11.b. The definition of "home" for purposes of this provision is established in §1.11.a.</w:t>
      </w:r>
    </w:p>
    <w:p>
      <w:pPr>
        <w:spacing w:after="60" w:before="200"/>
        <w:ind w:left="431"/>
        <w:jc w:val="left"/>
      </w:pPr>
      <w:r>
        <w:rPr>
          <w:rFonts w:ascii="Courier New" w:cs="Courier New" w:eastAsia="Courier New" w:hAnsi="Courier New"/>
          <w:b/>
          <w:bCs/>
          <w:color w:val="1B2A4A"/>
          <w:sz w:val="18"/>
          <w:szCs w:val="18"/>
        </w:rPr>
        <w:t xml:space="preserve">§1.11.a  </w:t>
      </w:r>
      <w:r>
        <w:rPr>
          <w:rFonts w:ascii="Garamond" w:cs="Garamond" w:eastAsia="Garamond" w:hAnsi="Garamond"/>
          <w:b/>
          <w:bCs/>
          <w:i w:val="false"/>
          <w:iCs w:val="false"/>
          <w:color w:val="1B2A4A"/>
          <w:sz w:val="22"/>
          <w:szCs w:val="22"/>
        </w:rPr>
        <w:t xml:space="preserve">Home and Digital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431"/>
        <w:jc w:val="left"/>
      </w:pPr>
      <w:r>
        <w:rPr>
          <w:rFonts w:ascii="Courier New" w:cs="Courier New" w:eastAsia="Courier New" w:hAnsi="Courier New"/>
          <w:b/>
          <w:bCs/>
          <w:color w:val="1B2A4A"/>
          <w:sz w:val="18"/>
          <w:szCs w:val="18"/>
        </w:rPr>
        <w:t xml:space="preserve">§1.11.b  </w:t>
      </w:r>
      <w:r>
        <w:rPr>
          <w:rFonts w:ascii="Garamond" w:cs="Garamond" w:eastAsia="Garamond" w:hAnsi="Garamond"/>
          <w:b/>
          <w:bCs/>
          <w:i w:val="false"/>
          <w:iCs w:val="false"/>
          <w:color w:val="1B2A4A"/>
          <w:sz w:val="22"/>
          <w:szCs w:val="22"/>
        </w:rPr>
        <w:t xml:space="preserve">Eminent Domain</w:t>
      </w:r>
    </w:p>
    <w:p>
      <w:pPr>
        <w:spacing w:after="120" w:before="0"/>
        <w:ind w:left="431"/>
        <w:jc w:val="both"/>
      </w:pPr>
      <w:r>
        <w:rPr>
          <w:rFonts w:ascii="Garamond" w:cs="Garamond" w:eastAsia="Garamond" w:hAnsi="Garamond"/>
          <w:b w:val="false"/>
          <w:bCs w:val="false"/>
          <w:i w:val="false"/>
          <w:iCs w:val="false"/>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Self-Defense and the 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keep and bear arms for personal defense and hunting must not be infringed. The scope and limits of this right are established in §1.12.a through §1.12.c.</w:t>
      </w:r>
    </w:p>
    <w:p>
      <w:pPr>
        <w:spacing w:after="60" w:before="200"/>
        <w:ind w:left="431"/>
        <w:jc w:val="left"/>
      </w:pPr>
      <w:r>
        <w:rPr>
          <w:rFonts w:ascii="Courier New" w:cs="Courier New" w:eastAsia="Courier New" w:hAnsi="Courier New"/>
          <w:b/>
          <w:bCs/>
          <w:color w:val="1B2A4A"/>
          <w:sz w:val="18"/>
          <w:szCs w:val="18"/>
        </w:rPr>
        <w:t xml:space="preserve">§1.12.a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keep and bear arms is a personal right held by each individual. It is not a collective right conditional on militia service or membership, and does not require any governmental authorization for keeping arms in the home.</w:t>
      </w:r>
    </w:p>
    <w:p>
      <w:pPr>
        <w:spacing w:after="60" w:before="200"/>
        <w:ind w:left="431"/>
        <w:jc w:val="left"/>
      </w:pPr>
      <w:r>
        <w:rPr>
          <w:rFonts w:ascii="Courier New" w:cs="Courier New" w:eastAsia="Courier New" w:hAnsi="Courier New"/>
          <w:b/>
          <w:bCs/>
          <w:color w:val="1B2A4A"/>
          <w:sz w:val="18"/>
          <w:szCs w:val="18"/>
        </w:rPr>
        <w:t xml:space="preserve">§1.12.b  </w:t>
      </w:r>
      <w:r>
        <w:rPr>
          <w:rFonts w:ascii="Garamond" w:cs="Garamond" w:eastAsia="Garamond" w:hAnsi="Garamond"/>
          <w:b/>
          <w:bCs/>
          <w:i w:val="false"/>
          <w:iCs w:val="false"/>
          <w:color w:val="1B2A4A"/>
          <w:sz w:val="22"/>
          <w:szCs w:val="22"/>
        </w:rPr>
        <w:t xml:space="preserve">State Licensing Latitude</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431"/>
        <w:jc w:val="left"/>
      </w:pPr>
      <w:r>
        <w:rPr>
          <w:rFonts w:ascii="Courier New" w:cs="Courier New" w:eastAsia="Courier New" w:hAnsi="Courier New"/>
          <w:b/>
          <w:bCs/>
          <w:color w:val="1B2A4A"/>
          <w:sz w:val="18"/>
          <w:szCs w:val="18"/>
        </w:rPr>
        <w:t xml:space="preserve">§1.12.c  </w:t>
      </w:r>
      <w:r>
        <w:rPr>
          <w:rFonts w:ascii="Garamond" w:cs="Garamond" w:eastAsia="Garamond" w:hAnsi="Garamond"/>
          <w:b/>
          <w:bCs/>
          <w:i w:val="false"/>
          <w:iCs w:val="false"/>
          <w:color w:val="1B2A4A"/>
          <w:sz w:val="22"/>
          <w:szCs w:val="22"/>
        </w:rPr>
        <w:t xml:space="preserve">Non-Prohibition Principle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Freedom of Movement and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Detention and Habeas Corpus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taken into custody by the State holds the rights established in this section. These rights are self-executing and may not be suspended by statute or executive order.</w:t>
      </w:r>
    </w:p>
    <w:p>
      <w:pPr>
        <w:spacing w:after="60" w:before="200"/>
        <w:ind w:left="431"/>
        <w:jc w:val="left"/>
      </w:pPr>
      <w:r>
        <w:rPr>
          <w:rFonts w:ascii="Courier New" w:cs="Courier New" w:eastAsia="Courier New" w:hAnsi="Courier New"/>
          <w:b/>
          <w:bCs/>
          <w:color w:val="1B2A4A"/>
          <w:sz w:val="18"/>
          <w:szCs w:val="18"/>
        </w:rPr>
        <w:t xml:space="preserve">§1.14.a  </w:t>
      </w:r>
      <w:r>
        <w:rPr>
          <w:rFonts w:ascii="Garamond" w:cs="Garamond" w:eastAsia="Garamond" w:hAnsi="Garamond"/>
          <w:b/>
          <w:bCs/>
          <w:i w:val="false"/>
          <w:iCs w:val="false"/>
          <w:color w:val="1B2A4A"/>
          <w:sz w:val="22"/>
          <w:szCs w:val="22"/>
        </w:rPr>
        <w:t xml:space="preserve">First Appearance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taken into custody must appear before a judicial officer within 72 hours of arrest. At the First Appearance, the judge must determine whether custody is lawful and whether conditions of release are appropriate.</w:t>
      </w:r>
    </w:p>
    <w:p>
      <w:pPr>
        <w:spacing w:after="60" w:before="200"/>
        <w:ind w:left="431"/>
        <w:jc w:val="left"/>
      </w:pPr>
      <w:r>
        <w:rPr>
          <w:rFonts w:ascii="Courier New" w:cs="Courier New" w:eastAsia="Courier New" w:hAnsi="Courier New"/>
          <w:b/>
          <w:bCs/>
          <w:color w:val="1B2A4A"/>
          <w:sz w:val="18"/>
          <w:szCs w:val="18"/>
        </w:rPr>
        <w:t xml:space="preserve">§1.14.b  </w:t>
      </w:r>
      <w:r>
        <w:rPr>
          <w:rFonts w:ascii="Garamond" w:cs="Garamond" w:eastAsia="Garamond" w:hAnsi="Garamond"/>
          <w:b/>
          <w:bCs/>
          <w:i w:val="false"/>
          <w:iCs w:val="false"/>
          <w:color w:val="1B2A4A"/>
          <w:sz w:val="22"/>
          <w:szCs w:val="22"/>
        </w:rPr>
        <w:t xml:space="preserve">Habeas Corpus Response Deadline</w:t>
      </w:r>
    </w:p>
    <w:p>
      <w:pPr>
        <w:spacing w:after="120" w:before="0"/>
        <w:ind w:left="431"/>
        <w:jc w:val="both"/>
      </w:pPr>
      <w:r>
        <w:rPr>
          <w:rFonts w:ascii="Garamond" w:cs="Garamond" w:eastAsia="Garamond" w:hAnsi="Garamond"/>
          <w:b w:val="false"/>
          <w:bCs w:val="false"/>
          <w:i w:val="false"/>
          <w:iCs w:val="false"/>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w:t>
      </w:r>
    </w:p>
    <w:p>
      <w:pPr>
        <w:spacing w:after="60" w:before="200"/>
        <w:ind w:left="431"/>
        <w:jc w:val="left"/>
      </w:pPr>
      <w:r>
        <w:rPr>
          <w:rFonts w:ascii="Courier New" w:cs="Courier New" w:eastAsia="Courier New" w:hAnsi="Courier New"/>
          <w:b/>
          <w:bCs/>
          <w:color w:val="1B2A4A"/>
          <w:sz w:val="18"/>
          <w:szCs w:val="18"/>
        </w:rPr>
        <w:t xml:space="preserve">§1.14.c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detained by the State has the absolute right to challenge the lawfulness of their confinement before a judge at any time. The right cannot be suspended by emergency declaration — it appears in §1.26.b's list of absolutely non-derogable rights.</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Rights of the Accused</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crime or subject to criminal proceedings holds the rights established in this section from the moment of accusation through final disposition.</w:t>
      </w:r>
    </w:p>
    <w:p>
      <w:pPr>
        <w:spacing w:after="60" w:before="200"/>
        <w:ind w:left="431"/>
        <w:jc w:val="left"/>
      </w:pPr>
      <w:r>
        <w:rPr>
          <w:rFonts w:ascii="Courier New" w:cs="Courier New" w:eastAsia="Courier New" w:hAnsi="Courier New"/>
          <w:b/>
          <w:bCs/>
          <w:color w:val="1B2A4A"/>
          <w:sz w:val="18"/>
          <w:szCs w:val="18"/>
        </w:rPr>
        <w:t xml:space="preserve">§1.15.a  </w:t>
      </w:r>
      <w:r>
        <w:rPr>
          <w:rFonts w:ascii="Garamond" w:cs="Garamond" w:eastAsia="Garamond" w:hAnsi="Garamond"/>
          <w:b/>
          <w:bCs/>
          <w:i w:val="false"/>
          <w:iCs w:val="false"/>
          <w:color w:val="1B2A4A"/>
          <w:sz w:val="22"/>
          <w:szCs w:val="22"/>
        </w:rPr>
        <w:t xml:space="preserve">Right to Counsel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431"/>
        <w:jc w:val="left"/>
      </w:pPr>
      <w:r>
        <w:rPr>
          <w:rFonts w:ascii="Courier New" w:cs="Courier New" w:eastAsia="Courier New" w:hAnsi="Courier New"/>
          <w:b/>
          <w:bCs/>
          <w:color w:val="1B2A4A"/>
          <w:sz w:val="18"/>
          <w:szCs w:val="18"/>
        </w:rPr>
        <w:t xml:space="preserve">§1.15.b  </w:t>
      </w:r>
      <w:r>
        <w:rPr>
          <w:rFonts w:ascii="Garamond" w:cs="Garamond" w:eastAsia="Garamond" w:hAnsi="Garamond"/>
          <w:b/>
          <w:bCs/>
          <w:i w:val="false"/>
          <w:iCs w:val="false"/>
          <w:color w:val="1B2A4A"/>
          <w:sz w:val="22"/>
          <w:szCs w:val="22"/>
        </w:rPr>
        <w:t xml:space="preserve">Caseload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431"/>
        <w:jc w:val="left"/>
      </w:pPr>
      <w:r>
        <w:rPr>
          <w:rFonts w:ascii="Courier New" w:cs="Courier New" w:eastAsia="Courier New" w:hAnsi="Courier New"/>
          <w:b/>
          <w:bCs/>
          <w:color w:val="1B2A4A"/>
          <w:sz w:val="18"/>
          <w:szCs w:val="18"/>
        </w:rPr>
        <w:t xml:space="preserve">§1.15.c  </w:t>
      </w:r>
      <w:r>
        <w:rPr>
          <w:rFonts w:ascii="Garamond" w:cs="Garamond" w:eastAsia="Garamond" w:hAnsi="Garamond"/>
          <w:b/>
          <w:bCs/>
          <w:i w:val="false"/>
          <w:iCs w:val="false"/>
          <w:color w:val="1B2A4A"/>
          <w:sz w:val="22"/>
          <w:szCs w:val="22"/>
        </w:rPr>
        <w:t xml:space="preserve">Right to Be Informed of Charges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431"/>
        <w:jc w:val="left"/>
      </w:pPr>
      <w:r>
        <w:rPr>
          <w:rFonts w:ascii="Courier New" w:cs="Courier New" w:eastAsia="Courier New" w:hAnsi="Courier New"/>
          <w:b/>
          <w:bCs/>
          <w:color w:val="1B2A4A"/>
          <w:sz w:val="18"/>
          <w:szCs w:val="18"/>
        </w:rPr>
        <w:t xml:space="preserve">§1.15.d  </w:t>
      </w:r>
      <w:r>
        <w:rPr>
          <w:rFonts w:ascii="Garamond" w:cs="Garamond" w:eastAsia="Garamond" w:hAnsi="Garamond"/>
          <w:b/>
          <w:bCs/>
          <w:i w:val="false"/>
          <w:iCs w:val="false"/>
          <w:color w:val="1B2A4A"/>
          <w:sz w:val="22"/>
          <w:szCs w:val="22"/>
        </w:rPr>
        <w:t xml:space="preserve">Right to Full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Fair Trial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subject to criminal proceedings has the right to a fair and timely trial. These rights may not be waived by prosecutorial pressure, plea incentive, or judicial scheduling convenience.</w:t>
      </w:r>
    </w:p>
    <w:p>
      <w:pPr>
        <w:spacing w:after="60" w:before="200"/>
        <w:ind w:left="431"/>
        <w:jc w:val="left"/>
      </w:pPr>
      <w:r>
        <w:rPr>
          <w:rFonts w:ascii="Courier New" w:cs="Courier New" w:eastAsia="Courier New" w:hAnsi="Courier New"/>
          <w:b/>
          <w:bCs/>
          <w:color w:val="1B2A4A"/>
          <w:sz w:val="18"/>
          <w:szCs w:val="18"/>
        </w:rPr>
        <w:t xml:space="preserve">§1.16.a  </w:t>
      </w:r>
      <w:r>
        <w:rPr>
          <w:rFonts w:ascii="Garamond" w:cs="Garamond" w:eastAsia="Garamond" w:hAnsi="Garamond"/>
          <w:b/>
          <w:bCs/>
          <w:i w:val="false"/>
          <w:iCs w:val="false"/>
          <w:color w:val="1B2A4A"/>
          <w:sz w:val="22"/>
          <w:szCs w:val="22"/>
        </w:rPr>
        <w:t xml:space="preserve">Speedy Trial Principle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431"/>
        <w:jc w:val="left"/>
      </w:pPr>
      <w:r>
        <w:rPr>
          <w:rFonts w:ascii="Courier New" w:cs="Courier New" w:eastAsia="Courier New" w:hAnsi="Courier New"/>
          <w:b/>
          <w:bCs/>
          <w:color w:val="1B2A4A"/>
          <w:sz w:val="18"/>
          <w:szCs w:val="18"/>
        </w:rPr>
        <w:t xml:space="preserve">§1.16.b  </w:t>
      </w:r>
      <w:r>
        <w:rPr>
          <w:rFonts w:ascii="Garamond" w:cs="Garamond" w:eastAsia="Garamond" w:hAnsi="Garamond"/>
          <w:b/>
          <w:bCs/>
          <w:i w:val="false"/>
          <w:iCs w:val="false"/>
          <w:color w:val="1B2A4A"/>
          <w:sz w:val="22"/>
          <w:szCs w:val="22"/>
        </w:rPr>
        <w:t xml:space="preserve">Bail Proportionality</w:t>
      </w:r>
    </w:p>
    <w:p>
      <w:pPr>
        <w:spacing w:after="120" w:before="0"/>
        <w:ind w:left="431"/>
        <w:jc w:val="both"/>
      </w:pPr>
      <w:r>
        <w:rPr>
          <w:rFonts w:ascii="Garamond" w:cs="Garamond" w:eastAsia="Garamond" w:hAnsi="Garamond"/>
          <w:b w:val="false"/>
          <w:bCs w:val="false"/>
          <w:i w:val="false"/>
          <w:iCs w:val="false"/>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w:t>
      </w:r>
    </w:p>
    <w:p>
      <w:pPr>
        <w:spacing w:after="60" w:before="200"/>
        <w:ind w:left="431"/>
        <w:jc w:val="left"/>
      </w:pPr>
      <w:r>
        <w:rPr>
          <w:rFonts w:ascii="Courier New" w:cs="Courier New" w:eastAsia="Courier New" w:hAnsi="Courier New"/>
          <w:b/>
          <w:bCs/>
          <w:color w:val="1B2A4A"/>
          <w:sz w:val="18"/>
          <w:szCs w:val="18"/>
        </w:rPr>
        <w:t xml:space="preserve">§1.16.c  </w:t>
      </w:r>
      <w:r>
        <w:rPr>
          <w:rFonts w:ascii="Garamond" w:cs="Garamond" w:eastAsia="Garamond" w:hAnsi="Garamond"/>
          <w:b/>
          <w:bCs/>
          <w:i w:val="false"/>
          <w:iCs w:val="false"/>
          <w:color w:val="1B2A4A"/>
          <w:sz w:val="22"/>
          <w:szCs w:val="22"/>
        </w:rPr>
        <w:t xml:space="preserve">Protection from Trial Penalties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431"/>
        <w:jc w:val="left"/>
      </w:pPr>
      <w:r>
        <w:rPr>
          <w:rFonts w:ascii="Courier New" w:cs="Courier New" w:eastAsia="Courier New" w:hAnsi="Courier New"/>
          <w:b/>
          <w:bCs/>
          <w:color w:val="1B2A4A"/>
          <w:sz w:val="18"/>
          <w:szCs w:val="18"/>
        </w:rPr>
        <w:t xml:space="preserve">§1.16.d  </w:t>
      </w:r>
      <w:r>
        <w:rPr>
          <w:rFonts w:ascii="Garamond" w:cs="Garamond" w:eastAsia="Garamond" w:hAnsi="Garamond"/>
          <w:b/>
          <w:bCs/>
          <w:i w:val="false"/>
          <w:iCs w:val="false"/>
          <w:color w:val="1B2A4A"/>
          <w:sz w:val="22"/>
          <w:szCs w:val="22"/>
        </w:rPr>
        <w:t xml:space="preserve">Source Code Right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Right to Silence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§1.10.c, this extends to cryptographic keys.</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Criminal Law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criminal law may not be applied retroactively or used to punish a person more than once for the same conduct. These prohibitions apply equally to the federal government and to every State.</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No Retroactive Criminal Laws</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Democratic Participation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This right is self-executing: a citizen facing a material barrier may bring a constitutional claim directly in court. Eligibility to vote is established in §16.4.</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Right to Marry and Found a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Rights of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w:t>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Environmental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federal government holds an enforceable constitutional obligation to protect communities from government-caused environmental harm and to maintain the long-term ecological integrity of the Republic's natural environment. Both obligations are subject to annual Inspectorate reporting under §8.1.</w:t>
      </w:r>
    </w:p>
    <w:p>
      <w:pPr>
        <w:spacing w:after="60" w:before="200"/>
        <w:ind w:left="431"/>
        <w:jc w:val="left"/>
      </w:pPr>
      <w:r>
        <w:rPr>
          <w:rFonts w:ascii="Courier New" w:cs="Courier New" w:eastAsia="Courier New" w:hAnsi="Courier New"/>
          <w:b/>
          <w:bCs/>
          <w:color w:val="1B2A4A"/>
          <w:sz w:val="18"/>
          <w:szCs w:val="18"/>
        </w:rPr>
        <w:t xml:space="preserve">§1.23.a  </w:t>
      </w:r>
      <w:r>
        <w:rPr>
          <w:rFonts w:ascii="Garamond" w:cs="Garamond" w:eastAsia="Garamond" w:hAnsi="Garamond"/>
          <w:b/>
          <w:bCs/>
          <w:i w:val="false"/>
          <w:iCs w:val="false"/>
          <w:color w:val="1B2A4A"/>
          <w:sz w:val="22"/>
          <w:szCs w:val="22"/>
        </w:rPr>
        <w:t xml:space="preserve">Government Non-Harm</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constitutional violation, not merely a policy failure.</w:t>
      </w:r>
    </w:p>
    <w:p>
      <w:pPr>
        <w:spacing w:after="60" w:before="200"/>
        <w:ind w:left="431"/>
        <w:jc w:val="left"/>
      </w:pPr>
      <w:r>
        <w:rPr>
          <w:rFonts w:ascii="Courier New" w:cs="Courier New" w:eastAsia="Courier New" w:hAnsi="Courier New"/>
          <w:b/>
          <w:bCs/>
          <w:color w:val="1B2A4A"/>
          <w:sz w:val="18"/>
          <w:szCs w:val="18"/>
        </w:rPr>
        <w:t xml:space="preserve">§1.23.b  </w:t>
      </w:r>
      <w:r>
        <w:rPr>
          <w:rFonts w:ascii="Garamond" w:cs="Garamond" w:eastAsia="Garamond" w:hAnsi="Garamond"/>
          <w:b/>
          <w:bCs/>
          <w:i w:val="false"/>
          <w:iCs w:val="false"/>
          <w:color w:val="1B2A4A"/>
          <w:sz w:val="22"/>
          <w:szCs w:val="22"/>
        </w:rPr>
        <w:t xml:space="preserve">Environmental Stewardship</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Education and Literacy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holds a constitutional right to education adequate to participate fully in civic life. The Republic's obligation under this section is both corrective — addressing wealth-based inequality in educational opportunity — and foundational — ensuring public education equips every student to meet the constitutional literacy standard. Parents retain the right to educate through alternative means that meet that standard.</w:t>
      </w:r>
    </w:p>
    <w:p>
      <w:pPr>
        <w:spacing w:after="60" w:before="200"/>
        <w:ind w:left="431"/>
        <w:jc w:val="left"/>
      </w:pPr>
      <w:r>
        <w:rPr>
          <w:rFonts w:ascii="Courier New" w:cs="Courier New" w:eastAsia="Courier New" w:hAnsi="Courier New"/>
          <w:b/>
          <w:bCs/>
          <w:color w:val="1B2A4A"/>
          <w:sz w:val="18"/>
          <w:szCs w:val="18"/>
        </w:rPr>
        <w:t xml:space="preserve">§1.24.a  </w:t>
      </w:r>
      <w:r>
        <w:rPr>
          <w:rFonts w:ascii="Garamond" w:cs="Garamond" w:eastAsia="Garamond" w:hAnsi="Garamond"/>
          <w:b/>
          <w:bCs/>
          <w:i w:val="false"/>
          <w:iCs w:val="false"/>
          <w:color w:val="1B2A4A"/>
          <w:sz w:val="22"/>
          <w:szCs w:val="22"/>
        </w:rPr>
        <w:t xml:space="preserve">Federal Education Assistance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431"/>
        <w:jc w:val="left"/>
      </w:pPr>
      <w:r>
        <w:rPr>
          <w:rFonts w:ascii="Courier New" w:cs="Courier New" w:eastAsia="Courier New" w:hAnsi="Courier New"/>
          <w:b/>
          <w:bCs/>
          <w:color w:val="1B2A4A"/>
          <w:sz w:val="18"/>
          <w:szCs w:val="18"/>
        </w:rPr>
        <w:t xml:space="preserve">§1.24.b  </w:t>
      </w:r>
      <w:r>
        <w:rPr>
          <w:rFonts w:ascii="Garamond" w:cs="Garamond" w:eastAsia="Garamond" w:hAnsi="Garamond"/>
          <w:b/>
          <w:bCs/>
          <w:i w:val="false"/>
          <w:iCs w:val="false"/>
          <w:color w:val="1B2A4A"/>
          <w:sz w:val="22"/>
          <w:szCs w:val="22"/>
        </w:rPr>
        <w:t xml:space="preserve">Constitutional Literacy</w:t>
      </w:r>
    </w:p>
    <w:p>
      <w:pPr>
        <w:spacing w:after="120" w:before="0"/>
        <w:ind w:left="431"/>
        <w:jc w:val="both"/>
      </w:pPr>
      <w:r>
        <w:rPr>
          <w:rFonts w:ascii="Garamond" w:cs="Garamond" w:eastAsia="Garamond" w:hAnsi="Garamond"/>
          <w:b w:val="false"/>
          <w:bCs w:val="false"/>
          <w:i w:val="false"/>
          <w:iCs w:val="false"/>
          <w:color w:val="2a2520"/>
          <w:sz w:val="22"/>
          <w:szCs w:val="22"/>
        </w:rPr>
        <w:t xml:space="preserve">Public education must equip every student to understand the structure, rights, and civic obligations established by this constitution. This is a substantive floor — not a test requirement, but an educational outcome. The constitutional literacy standard for citizenship naturalization purposes is separately established by the CLT under §5.4.</w:t>
      </w:r>
    </w:p>
    <w:p>
      <w:pPr>
        <w:spacing w:after="60" w:before="200"/>
        <w:ind w:left="431"/>
        <w:jc w:val="left"/>
      </w:pPr>
      <w:r>
        <w:rPr>
          <w:rFonts w:ascii="Courier New" w:cs="Courier New" w:eastAsia="Courier New" w:hAnsi="Courier New"/>
          <w:b/>
          <w:bCs/>
          <w:color w:val="1B2A4A"/>
          <w:sz w:val="18"/>
          <w:szCs w:val="18"/>
        </w:rPr>
        <w:t xml:space="preserve">§1.24.c  </w:t>
      </w:r>
      <w:r>
        <w:rPr>
          <w:rFonts w:ascii="Garamond" w:cs="Garamond" w:eastAsia="Garamond" w:hAnsi="Garamond"/>
          <w:b/>
          <w:bCs/>
          <w:i w:val="false"/>
          <w:iCs w:val="false"/>
          <w:color w:val="1B2A4A"/>
          <w:sz w:val="22"/>
          <w:szCs w:val="22"/>
        </w:rPr>
        <w:t xml:space="preserve">Parental Right</w:t>
      </w:r>
    </w:p>
    <w:p>
      <w:pPr>
        <w:spacing w:after="120" w:before="0"/>
        <w:ind w:left="431"/>
        <w:jc w:val="both"/>
      </w:pPr>
      <w:r>
        <w:rPr>
          <w:rFonts w:ascii="Garamond" w:cs="Garamond" w:eastAsia="Garamond" w:hAnsi="Garamond"/>
          <w:b w:val="false"/>
          <w:bCs w:val="false"/>
          <w:i w:val="false"/>
          <w:iCs w:val="false"/>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Housing Non-Exclusion</w:t>
      </w:r>
    </w:p>
    <w:p>
      <w:pPr>
        <w:spacing w:after="120" w:before="0"/>
        <w:ind w:left="431"/>
        <w:jc w:val="both"/>
      </w:pPr>
      <w:r>
        <w:rPr>
          <w:rFonts w:ascii="Garamond" w:cs="Garamond" w:eastAsia="Garamond" w:hAnsi="Garamond"/>
          <w:b w:val="false"/>
          <w:bCs w:val="false"/>
          <w:i w:val="false"/>
          <w:iCs w:val="false"/>
          <w:color w:val="2a2520"/>
          <w:sz w:val="22"/>
          <w:szCs w:val="22"/>
        </w:rPr>
        <w:t xml:space="preserve">Housing access is a constitutional right — no government authority may use its powers to exclude persons from housing on discriminatory grounds or to deny housing to those who cannot independently secure it. The non-exclusion principle is established in §1.25.a and the social assistance housing obligation in §1.25.b.</w:t>
      </w:r>
    </w:p>
    <w:p>
      <w:pPr>
        <w:spacing w:after="60" w:before="200"/>
        <w:ind w:left="431"/>
        <w:jc w:val="left"/>
      </w:pPr>
      <w:r>
        <w:rPr>
          <w:rFonts w:ascii="Courier New" w:cs="Courier New" w:eastAsia="Courier New" w:hAnsi="Courier New"/>
          <w:b/>
          <w:bCs/>
          <w:color w:val="1B2A4A"/>
          <w:sz w:val="18"/>
          <w:szCs w:val="18"/>
        </w:rPr>
        <w:t xml:space="preserve">§1.25.a  </w:t>
      </w:r>
      <w:r>
        <w:rPr>
          <w:rFonts w:ascii="Garamond" w:cs="Garamond" w:eastAsia="Garamond" w:hAnsi="Garamond"/>
          <w:b/>
          <w:bCs/>
          <w:i w:val="false"/>
          <w:iCs w:val="false"/>
          <w:color w:val="1B2A4A"/>
          <w:sz w:val="22"/>
          <w:szCs w:val="22"/>
        </w:rPr>
        <w:t xml:space="preserve">Non-Exclusion Principle</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authority — federal, State, or local — may use regulatory or land-use powers to exclude any person from access to housing on the basis of any characteristic enumerated in §1.9. Exclusionary zoning designed to keep certain populations out of a community is constitutionally prohibited.</w:t>
      </w:r>
    </w:p>
    <w:p>
      <w:pPr>
        <w:spacing w:after="60" w:before="200"/>
        <w:ind w:left="431"/>
        <w:jc w:val="left"/>
      </w:pPr>
      <w:r>
        <w:rPr>
          <w:rFonts w:ascii="Courier New" w:cs="Courier New" w:eastAsia="Courier New" w:hAnsi="Courier New"/>
          <w:b/>
          <w:bCs/>
          <w:color w:val="1B2A4A"/>
          <w:sz w:val="18"/>
          <w:szCs w:val="18"/>
        </w:rPr>
        <w:t xml:space="preserve">§1.25.b  </w:t>
      </w:r>
      <w:r>
        <w:rPr>
          <w:rFonts w:ascii="Garamond" w:cs="Garamond" w:eastAsia="Garamond" w:hAnsi="Garamond"/>
          <w:b/>
          <w:bCs/>
          <w:i w:val="false"/>
          <w:iCs w:val="false"/>
          <w:color w:val="1B2A4A"/>
          <w:sz w:val="22"/>
          <w:szCs w:val="22"/>
        </w:rPr>
        <w:t xml:space="preserve">Social Assistance Housing Obligation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Housing access for persons who cannot independently secure it is a social assistance obligation under §10.1.b. Housing exclusion is an enforceable constitutional violation.</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§1.26.b may not be derogated under any circumstances.</w:t>
      </w:r>
    </w:p>
    <w:p>
      <w:pPr>
        <w:spacing w:after="60" w:before="200"/>
        <w:ind w:left="431"/>
        <w:jc w:val="left"/>
      </w:pPr>
      <w:r>
        <w:rPr>
          <w:rFonts w:ascii="Courier New" w:cs="Courier New" w:eastAsia="Courier New" w:hAnsi="Courier New"/>
          <w:b/>
          <w:bCs/>
          <w:color w:val="1B2A4A"/>
          <w:sz w:val="18"/>
          <w:szCs w:val="18"/>
        </w:rPr>
        <w:t xml:space="preserve">§1.26.a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(§1.26.d) without renewal.</w:t>
      </w:r>
    </w:p>
    <w:p>
      <w:pPr>
        <w:spacing w:after="60" w:before="200"/>
        <w:ind w:left="431"/>
        <w:jc w:val="left"/>
      </w:pPr>
      <w:r>
        <w:rPr>
          <w:rFonts w:ascii="Courier New" w:cs="Courier New" w:eastAsia="Courier New" w:hAnsi="Courier New"/>
          <w:b/>
          <w:bCs/>
          <w:color w:val="1B2A4A"/>
          <w:sz w:val="18"/>
          <w:szCs w:val="18"/>
        </w:rPr>
        <w:t xml:space="preserve">§1.26.b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under any circumstances: the prohibition on torture (§1.3); slavery (§1.4); habeas corpus (§1.14); the right to a public trial (§1.18); no retroactive punishment (§1.19); and non-refoulement (§1.28). No emergency declaration, executive order, or legislative act may derogate any of these rights. They are non-derogable by their nature — their value derives precisely from the fact that they hold under the worst circumstances, not only the ordinary ones.</w:t>
      </w:r>
    </w:p>
    <w:p>
      <w:pPr>
        <w:spacing w:after="60" w:before="200"/>
        <w:ind w:left="431"/>
        <w:jc w:val="left"/>
      </w:pPr>
      <w:r>
        <w:rPr>
          <w:rFonts w:ascii="Courier New" w:cs="Courier New" w:eastAsia="Courier New" w:hAnsi="Courier New"/>
          <w:b/>
          <w:bCs/>
          <w:color w:val="1B2A4A"/>
          <w:sz w:val="18"/>
          <w:szCs w:val="18"/>
        </w:rPr>
        <w:t xml:space="preserve">§1.26.c  </w:t>
      </w:r>
      <w:r>
        <w:rPr>
          <w:rFonts w:ascii="Garamond" w:cs="Garamond" w:eastAsia="Garamond" w:hAnsi="Garamond"/>
          <w:b/>
          <w:bCs/>
          <w:i w:val="false"/>
          <w:iCs w:val="false"/>
          <w:color w:val="1B2A4A"/>
          <w:sz w:val="22"/>
          <w:szCs w:val="22"/>
        </w:rPr>
        <w:t xml:space="preserve">Inspectorate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431"/>
        <w:jc w:val="left"/>
      </w:pPr>
      <w:r>
        <w:rPr>
          <w:rFonts w:ascii="Courier New" w:cs="Courier New" w:eastAsia="Courier New" w:hAnsi="Courier New"/>
          <w:b/>
          <w:bCs/>
          <w:color w:val="1B2A4A"/>
          <w:sz w:val="18"/>
          <w:szCs w:val="18"/>
        </w:rPr>
        <w:t xml:space="preserve">§1.26.d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§1.26.e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jc w:val="left"/>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Associated Community Residents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jc w:val="left"/>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jc w:val="left"/>
      </w:pPr>
      <w:r>
        <w:rPr>
          <w:rFonts w:ascii="Courier New" w:cs="Courier New" w:eastAsia="Courier New" w:hAnsi="Courier New"/>
          <w:b/>
          <w:bCs/>
          <w:color w:val="1B2A4A"/>
          <w:sz w:val="18"/>
          <w:szCs w:val="18"/>
        </w:rPr>
        <w:t xml:space="preserve">§1.29  </w:t>
      </w:r>
      <w:r>
        <w:rPr>
          <w:rFonts w:ascii="Garamond" w:cs="Garamond" w:eastAsia="Garamond" w:hAnsi="Garamond"/>
          <w:b/>
          <w:bCs/>
          <w:i w:val="false"/>
          <w:iCs w:val="false"/>
          <w:color w:val="1B2A4A"/>
          <w:sz w:val="22"/>
          <w:szCs w:val="22"/>
        </w:rPr>
        <w:t xml:space="preserve">Medical Autonomy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belong to the patient and their licensed provider. Government's legitimate role is professional licensing, scope of practice, and safety standards — not directing the content of medical decisions or penalizing their exercise. No government may impose civil or criminal liability on any person solely for receiving medical care that was lawful where it was received, or for assisting another in accessing such care, or for providing accurate information about it.</w:t>
      </w:r>
    </w:p>
    <w:p>
      <w:pPr>
        <w:spacing w:after="60" w:before="200"/>
        <w:ind w:left="431"/>
        <w:jc w:val="left"/>
      </w:pPr>
      <w:r>
        <w:rPr>
          <w:rFonts w:ascii="Courier New" w:cs="Courier New" w:eastAsia="Courier New" w:hAnsi="Courier New"/>
          <w:b/>
          <w:bCs/>
          <w:color w:val="1B2A4A"/>
          <w:sz w:val="18"/>
          <w:szCs w:val="18"/>
        </w:rPr>
        <w:t xml:space="preserve">§1.30  </w:t>
      </w:r>
      <w:r>
        <w:rPr>
          <w:rFonts w:ascii="Garamond" w:cs="Garamond" w:eastAsia="Garamond" w:hAnsi="Garamond"/>
          <w:b/>
          <w:bCs/>
          <w:i w:val="false"/>
          <w:iCs w:val="false"/>
          <w:color w:val="1B2A4A"/>
          <w:sz w:val="22"/>
          <w:szCs w:val="22"/>
        </w:rPr>
        <w:t xml:space="preserve">Right to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a right to privacy in their person, home, communications, associations, health, and personal data. The government may abridge this right only on a showing of specific, articulable necessity and only to the minimum extent that necessity requires. The general right governs wherever no specific sub-provision addresses the question; the more specific provision controls where one exists.</w:t>
      </w:r>
    </w:p>
    <w:p>
      <w:pPr>
        <w:spacing w:after="60" w:before="200"/>
        <w:ind w:left="431"/>
        <w:jc w:val="left"/>
      </w:pPr>
      <w:r>
        <w:rPr>
          <w:rFonts w:ascii="Courier New" w:cs="Courier New" w:eastAsia="Courier New" w:hAnsi="Courier New"/>
          <w:b/>
          <w:bCs/>
          <w:color w:val="1B2A4A"/>
          <w:sz w:val="18"/>
          <w:szCs w:val="18"/>
        </w:rPr>
        <w:t xml:space="preserve">§1.30.a  </w:t>
      </w:r>
      <w:r>
        <w:rPr>
          <w:rFonts w:ascii="Garamond" w:cs="Garamond" w:eastAsia="Garamond" w:hAnsi="Garamond"/>
          <w:b/>
          <w:bCs/>
          <w:i w:val="false"/>
          <w:iCs w:val="false"/>
          <w:color w:val="1B2A4A"/>
          <w:sz w:val="22"/>
          <w:szCs w:val="22"/>
        </w:rPr>
        <w:t xml:space="preserve">Searches and Seizures</w:t>
      </w:r>
    </w:p>
    <w:p>
      <w:pPr>
        <w:spacing w:after="120" w:before="0"/>
        <w:ind w:left="431"/>
        <w:jc w:val="both"/>
      </w:pPr>
      <w:r>
        <w:rPr>
          <w:rFonts w:ascii="Garamond" w:cs="Garamond" w:eastAsia="Garamond" w:hAnsi="Garamond"/>
          <w:b w:val="false"/>
          <w:bCs w:val="false"/>
          <w:i w:val="false"/>
          <w:iCs w:val="false"/>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431"/>
        <w:jc w:val="left"/>
      </w:pPr>
      <w:r>
        <w:rPr>
          <w:rFonts w:ascii="Courier New" w:cs="Courier New" w:eastAsia="Courier New" w:hAnsi="Courier New"/>
          <w:b/>
          <w:bCs/>
          <w:color w:val="1B2A4A"/>
          <w:sz w:val="18"/>
          <w:szCs w:val="18"/>
        </w:rPr>
        <w:t xml:space="preserve">§1.30.b  </w:t>
      </w:r>
      <w:r>
        <w:rPr>
          <w:rFonts w:ascii="Garamond" w:cs="Garamond" w:eastAsia="Garamond" w:hAnsi="Garamond"/>
          <w:b/>
          <w:bCs/>
          <w:i w:val="false"/>
          <w:iCs w:val="false"/>
          <w:color w:val="1B2A4A"/>
          <w:sz w:val="22"/>
          <w:szCs w:val="22"/>
        </w:rPr>
        <w:t xml:space="preserve">Medical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431"/>
        <w:jc w:val="left"/>
      </w:pPr>
      <w:r>
        <w:rPr>
          <w:rFonts w:ascii="Courier New" w:cs="Courier New" w:eastAsia="Courier New" w:hAnsi="Courier New"/>
          <w:b/>
          <w:bCs/>
          <w:color w:val="1B2A4A"/>
          <w:sz w:val="18"/>
          <w:szCs w:val="18"/>
        </w:rPr>
        <w:t xml:space="preserve">§1.30.c  </w:t>
      </w:r>
      <w:r>
        <w:rPr>
          <w:rFonts w:ascii="Garamond" w:cs="Garamond" w:eastAsia="Garamond" w:hAnsi="Garamond"/>
          <w:b/>
          <w:bCs/>
          <w:i w:val="false"/>
          <w:iCs w:val="false"/>
          <w:color w:val="1B2A4A"/>
          <w:sz w:val="22"/>
          <w:szCs w:val="22"/>
        </w:rPr>
        <w:t xml:space="preserve">Communications and Data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431"/>
        <w:jc w:val="left"/>
      </w:pPr>
      <w:r>
        <w:rPr>
          <w:rFonts w:ascii="Courier New" w:cs="Courier New" w:eastAsia="Courier New" w:hAnsi="Courier New"/>
          <w:b/>
          <w:bCs/>
          <w:color w:val="1B2A4A"/>
          <w:sz w:val="18"/>
          <w:szCs w:val="18"/>
        </w:rPr>
        <w:t xml:space="preserve">§1.30.d  </w:t>
      </w:r>
      <w:r>
        <w:rPr>
          <w:rFonts w:ascii="Garamond" w:cs="Garamond" w:eastAsia="Garamond" w:hAnsi="Garamond"/>
          <w:b/>
          <w:bCs/>
          <w:i w:val="false"/>
          <w:iCs w:val="false"/>
          <w:color w:val="1B2A4A"/>
          <w:sz w:val="22"/>
          <w:szCs w:val="22"/>
        </w:rPr>
        <w:t xml:space="preserve">Intelligence Firewall</w:t>
      </w:r>
    </w:p>
    <w:p>
      <w:pPr>
        <w:spacing w:after="120" w:before="0"/>
        <w:ind w:left="431"/>
        <w:jc w:val="both"/>
      </w:pPr>
      <w:r>
        <w:rPr>
          <w:rFonts w:ascii="Garamond" w:cs="Garamond" w:eastAsia="Garamond" w:hAnsi="Garamond"/>
          <w:b w:val="false"/>
          <w:bCs w:val="false"/>
          <w:i w:val="false"/>
          <w:iCs w:val="false"/>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431"/>
        <w:jc w:val="left"/>
      </w:pPr>
      <w:r>
        <w:rPr>
          <w:rFonts w:ascii="Courier New" w:cs="Courier New" w:eastAsia="Courier New" w:hAnsi="Courier New"/>
          <w:b/>
          <w:bCs/>
          <w:color w:val="1B2A4A"/>
          <w:sz w:val="18"/>
          <w:szCs w:val="18"/>
        </w:rPr>
        <w:t xml:space="preserve">§1.30.e  </w:t>
      </w:r>
      <w:r>
        <w:rPr>
          <w:rFonts w:ascii="Garamond" w:cs="Garamond" w:eastAsia="Garamond" w:hAnsi="Garamond"/>
          <w:b/>
          <w:bCs/>
          <w:i w:val="false"/>
          <w:iCs w:val="false"/>
          <w:color w:val="1B2A4A"/>
          <w:sz w:val="22"/>
          <w:szCs w:val="22"/>
        </w:rPr>
        <w:t xml:space="preserve">Associational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mapping of associations — who a person knows, meets, communicates with, or joins — requires the same specific judicial authorization as communications collection under §1.30.c. Bulk mapping of associational activity is prohibited on the same terms as bulk collection. The privacy of associational membership is protected separately from the right to associate under §1.7 — a government may not compel disclosure of membership even where it refrains from prohibiting association.</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President — Term and Transfer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holds enumerated executive authority over: military command, foreign affairs, intelligence, treaty negotiation, trade agreements, and domain officer appointments. Presidential authority is enumerated; PM authority is residual. Upon expiration of the presidential term, all authority transfers immediately to the incoming President. No holdover power, acting authority, or transitional executive capacity remains with the outgoing President after the moment of transfer. The outgoing President retains no access to classified information, government systems, or official residence beyond the day of transfer.</w:t>
      </w:r>
    </w:p>
    <w:p>
      <w:pPr>
        <w:spacing w:after="60" w:before="200"/>
        <w:ind w:left="431"/>
        <w:jc w:val="left"/>
      </w:pPr>
      <w:r>
        <w:rPr>
          <w:rFonts w:ascii="Courier New" w:cs="Courier New" w:eastAsia="Courier New" w:hAnsi="Courier New"/>
          <w:b/>
          <w:bCs/>
          <w:color w:val="1B2A4A"/>
          <w:sz w:val="18"/>
          <w:szCs w:val="18"/>
        </w:rPr>
        <w:t xml:space="preserve">§2.1.a  </w:t>
      </w:r>
      <w:r>
        <w:rPr>
          <w:rFonts w:ascii="Garamond" w:cs="Garamond" w:eastAsia="Garamond" w:hAnsi="Garamond"/>
          <w:b/>
          <w:bCs/>
          <w:i w:val="false"/>
          <w:iCs w:val="false"/>
          <w:color w:val="1B2A4A"/>
          <w:sz w:val="22"/>
          <w:szCs w:val="22"/>
        </w:rPr>
        <w:t xml:space="preserve">Tier 1 — Immediate Defensive Response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respond immediately to an active, imminent, or ongoing attack on Republic territory, Republic citizens abroad, or treaty allies without prior legislative authorization.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431"/>
        <w:jc w:val="left"/>
      </w:pPr>
      <w:r>
        <w:rPr>
          <w:rFonts w:ascii="Courier New" w:cs="Courier New" w:eastAsia="Courier New" w:hAnsi="Courier New"/>
          <w:b/>
          <w:bCs/>
          <w:color w:val="1B2A4A"/>
          <w:sz w:val="18"/>
          <w:szCs w:val="18"/>
        </w:rPr>
        <w:t xml:space="preserve">§2.1.b  </w:t>
      </w:r>
      <w:r>
        <w:rPr>
          <w:rFonts w:ascii="Garamond" w:cs="Garamond" w:eastAsia="Garamond" w:hAnsi="Garamond"/>
          <w:b/>
          <w:bCs/>
          <w:i w:val="false"/>
          <w:iCs w:val="false"/>
          <w:color w:val="1B2A4A"/>
          <w:sz w:val="22"/>
          <w:szCs w:val="22"/>
        </w:rPr>
        <w:t xml:space="preserve">Tier 2 — Senate Armed Services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431"/>
        <w:jc w:val="left"/>
      </w:pPr>
      <w:r>
        <w:rPr>
          <w:rFonts w:ascii="Courier New" w:cs="Courier New" w:eastAsia="Courier New" w:hAnsi="Courier New"/>
          <w:b/>
          <w:bCs/>
          <w:color w:val="1B2A4A"/>
          <w:sz w:val="18"/>
          <w:szCs w:val="18"/>
        </w:rPr>
        <w:t xml:space="preserve">§2.1.c  </w:t>
      </w:r>
      <w:r>
        <w:rPr>
          <w:rFonts w:ascii="Garamond" w:cs="Garamond" w:eastAsia="Garamond" w:hAnsi="Garamond"/>
          <w:b/>
          <w:bCs/>
          <w:i w:val="false"/>
          <w:iCs w:val="false"/>
          <w:color w:val="1B2A4A"/>
          <w:sz w:val="22"/>
          <w:szCs w:val="22"/>
        </w:rPr>
        <w:t xml:space="preserve">Tier 3 — Legislative Declaration of Defense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431"/>
        <w:jc w:val="left"/>
      </w:pPr>
      <w:r>
        <w:rPr>
          <w:rFonts w:ascii="Courier New" w:cs="Courier New" w:eastAsia="Courier New" w:hAnsi="Courier New"/>
          <w:b/>
          <w:bCs/>
          <w:color w:val="1B2A4A"/>
          <w:sz w:val="18"/>
          <w:szCs w:val="18"/>
        </w:rPr>
        <w:t xml:space="preserve">§2.1.d  </w:t>
      </w:r>
      <w:r>
        <w:rPr>
          <w:rFonts w:ascii="Garamond" w:cs="Garamond" w:eastAsia="Garamond" w:hAnsi="Garamond"/>
          <w:b/>
          <w:bCs/>
          <w:i w:val="false"/>
          <w:iCs w:val="false"/>
          <w:color w:val="1B2A4A"/>
          <w:sz w:val="22"/>
          <w:szCs w:val="22"/>
        </w:rPr>
        <w:t xml:space="preserve">Funding Lock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431"/>
        <w:jc w:val="left"/>
      </w:pPr>
      <w:r>
        <w:rPr>
          <w:rFonts w:ascii="Courier New" w:cs="Courier New" w:eastAsia="Courier New" w:hAnsi="Courier New"/>
          <w:b/>
          <w:bCs/>
          <w:color w:val="1B2A4A"/>
          <w:sz w:val="18"/>
          <w:szCs w:val="18"/>
        </w:rPr>
        <w:t xml:space="preserve">§2.1.e  </w:t>
      </w:r>
      <w:r>
        <w:rPr>
          <w:rFonts w:ascii="Garamond" w:cs="Garamond" w:eastAsia="Garamond" w:hAnsi="Garamond"/>
          <w:b/>
          <w:bCs/>
          <w:i w:val="false"/>
          <w:iCs w:val="false"/>
          <w:color w:val="1B2A4A"/>
          <w:sz w:val="22"/>
          <w:szCs w:val="22"/>
        </w:rPr>
        <w:t xml:space="preserve">Presidential Intelligence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prohibition on domestic intelligence operations against Republic citizens is non-derogable and permanent under §1.30.d. Any order authorizing domestic intelligence operations against Republic citizens is constitutionally void. The EI reports any such order to the NRS.</w:t>
      </w:r>
    </w:p>
    <w:p>
      <w:pPr>
        <w:spacing w:after="60" w:before="200"/>
        <w:ind w:left="431"/>
        <w:jc w:val="left"/>
      </w:pPr>
      <w:r>
        <w:rPr>
          <w:rFonts w:ascii="Courier New" w:cs="Courier New" w:eastAsia="Courier New" w:hAnsi="Courier New"/>
          <w:b/>
          <w:bCs/>
          <w:color w:val="1B2A4A"/>
          <w:sz w:val="18"/>
          <w:szCs w:val="18"/>
        </w:rPr>
        <w:t xml:space="preserve">§2.1.f  </w:t>
      </w:r>
      <w:r>
        <w:rPr>
          <w:rFonts w:ascii="Garamond" w:cs="Garamond" w:eastAsia="Garamond" w:hAnsi="Garamond"/>
          <w:b/>
          <w:bCs/>
          <w:i w:val="false"/>
          <w:iCs w:val="false"/>
          <w:color w:val="1B2A4A"/>
          <w:sz w:val="22"/>
          <w:szCs w:val="22"/>
        </w:rPr>
        <w:t xml:space="preserve">Presidential Veto —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veto only bills that raise a genuine constitutional concern within the security domain: military operations, intelligence, treaty obligations, or border security. A general or speculative security connection is not sufficient. The SC reviews any Presidential veto within 48 hours on petition from either Speaker.</w:t>
      </w:r>
    </w:p>
    <w:p>
      <w:pPr>
        <w:spacing w:after="60" w:before="200"/>
        <w:ind w:left="431"/>
        <w:jc w:val="left"/>
      </w:pPr>
      <w:r>
        <w:rPr>
          <w:rFonts w:ascii="Courier New" w:cs="Courier New" w:eastAsia="Courier New" w:hAnsi="Courier New"/>
          <w:b/>
          <w:bCs/>
          <w:color w:val="1B2A4A"/>
          <w:sz w:val="18"/>
          <w:szCs w:val="18"/>
        </w:rPr>
        <w:t xml:space="preserve">§2.1.f.i  </w:t>
      </w:r>
      <w:r>
        <w:rPr>
          <w:rFonts w:ascii="Garamond" w:cs="Garamond" w:eastAsia="Garamond" w:hAnsi="Garamond"/>
          <w:b/>
          <w:bCs/>
          <w:i w:val="false"/>
          <w:iCs w:val="false"/>
          <w:color w:val="1B2A4A"/>
          <w:sz w:val="22"/>
          <w:szCs w:val="22"/>
        </w:rPr>
        <w:t xml:space="preserve">Judicial Review and Override</w:t>
      </w:r>
    </w:p>
    <w:p>
      <w:pPr>
        <w:spacing w:after="120" w:before="0"/>
        <w:ind w:left="431"/>
        <w:jc w:val="both"/>
      </w:pPr>
      <w:r>
        <w:rPr>
          <w:rFonts w:ascii="Garamond" w:cs="Garamond" w:eastAsia="Garamond" w:hAnsi="Garamond"/>
          <w:b w:val="false"/>
          <w:bCs w:val="false"/>
          <w:i w:val="false"/>
          <w:iCs w:val="false"/>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431"/>
        <w:jc w:val="left"/>
      </w:pPr>
      <w:r>
        <w:rPr>
          <w:rFonts w:ascii="Courier New" w:cs="Courier New" w:eastAsia="Courier New" w:hAnsi="Courier New"/>
          <w:b/>
          <w:bCs/>
          <w:color w:val="1B2A4A"/>
          <w:sz w:val="18"/>
          <w:szCs w:val="18"/>
        </w:rPr>
        <w:t xml:space="preserve">§2.1.g  </w:t>
      </w:r>
      <w:r>
        <w:rPr>
          <w:rFonts w:ascii="Garamond" w:cs="Garamond" w:eastAsia="Garamond" w:hAnsi="Garamond"/>
          <w:b/>
          <w:bCs/>
          <w:i w:val="false"/>
          <w:iCs w:val="false"/>
          <w:color w:val="1B2A4A"/>
          <w:sz w:val="22"/>
          <w:szCs w:val="22"/>
        </w:rPr>
        <w:t xml:space="preserve">Presidential 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Presidential clemency is domain-scoped: military law and national security offenses only. Before any grant, the EI publishes a factual background report to the NRS. Clemency may not be granted for: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Self-clemency is prohibited under §2.9.b. Every petition, every EI report, and every grant or decline is published to the NRS permanently. Every grant is subject to cross-chamber legislative review under §2.9.c.</w:t>
      </w:r>
    </w:p>
    <w:p>
      <w:pPr>
        <w:spacing w:after="60" w:before="200"/>
        <w:ind w:left="431"/>
        <w:jc w:val="left"/>
      </w:pPr>
      <w:r>
        <w:rPr>
          <w:rFonts w:ascii="Courier New" w:cs="Courier New" w:eastAsia="Courier New" w:hAnsi="Courier New"/>
          <w:b/>
          <w:bCs/>
          <w:color w:val="1B2A4A"/>
          <w:sz w:val="18"/>
          <w:szCs w:val="18"/>
        </w:rPr>
        <w:t xml:space="preserve">§2.1.h  </w:t>
      </w:r>
      <w:r>
        <w:rPr>
          <w:rFonts w:ascii="Garamond" w:cs="Garamond" w:eastAsia="Garamond" w:hAnsi="Garamond"/>
          <w:b/>
          <w:bCs/>
          <w:i w:val="false"/>
          <w:iCs w:val="false"/>
          <w:color w:val="1B2A4A"/>
          <w:sz w:val="22"/>
          <w:szCs w:val="22"/>
        </w:rPr>
        <w:t xml:space="preserve">Dual Executive Conflict Resolution During Active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431"/>
        <w:jc w:val="left"/>
      </w:pPr>
      <w:r>
        <w:rPr>
          <w:rFonts w:ascii="Courier New" w:cs="Courier New" w:eastAsia="Courier New" w:hAnsi="Courier New"/>
          <w:b/>
          <w:bCs/>
          <w:color w:val="1B2A4A"/>
          <w:sz w:val="18"/>
          <w:szCs w:val="18"/>
        </w:rPr>
        <w:t xml:space="preserve">§2.1.i  </w:t>
      </w:r>
      <w:r>
        <w:rPr>
          <w:rFonts w:ascii="Garamond" w:cs="Garamond" w:eastAsia="Garamond" w:hAnsi="Garamond"/>
          <w:b/>
          <w:bCs/>
          <w:i w:val="false"/>
          <w:iCs w:val="false"/>
          <w:color w:val="1B2A4A"/>
          <w:sz w:val="22"/>
          <w:szCs w:val="22"/>
        </w:rPr>
        <w:t xml:space="preserve">International Trade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negotiates and concludes trade agreements. PM written concurrence is required only for: provisions imposing national treatment obligations within Republic territory; provisions that require new domestic legislation to implement; and provisions creating direct obligations on domestic persons or entities. Tariff schedules, market access terms in foreign markets, and international negotiating positions are within the President's sole authority. Where PM concurrence is withheld on a specific provision, that provision may be transmitted to the House Speaker as ordinary legislation and the remaining agreement terms proceed to Senate ratification independently. Ratification requires a 2/3 Senate majority under §3.2.e.</w:t>
      </w:r>
    </w:p>
    <w:p>
      <w:pPr>
        <w:spacing w:after="60" w:before="200"/>
        <w:ind w:left="431"/>
        <w:jc w:val="left"/>
      </w:pPr>
      <w:r>
        <w:rPr>
          <w:rFonts w:ascii="Courier New" w:cs="Courier New" w:eastAsia="Courier New" w:hAnsi="Courier New"/>
          <w:b/>
          <w:bCs/>
          <w:color w:val="1B2A4A"/>
          <w:sz w:val="18"/>
          <w:szCs w:val="18"/>
        </w:rPr>
        <w:t xml:space="preserve">§2.1.j  </w:t>
      </w:r>
      <w:r>
        <w:rPr>
          <w:rFonts w:ascii="Garamond" w:cs="Garamond" w:eastAsia="Garamond" w:hAnsi="Garamond"/>
          <w:b/>
          <w:bCs/>
          <w:i w:val="false"/>
          <w:iCs w:val="false"/>
          <w:color w:val="1B2A4A"/>
          <w:sz w:val="22"/>
          <w:szCs w:val="22"/>
        </w:rPr>
        <w:t xml:space="preserve">Presidential Officer Appointments and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nominates the Director of Intelligence, Secretary for Foreign Affairs, and Secretary for Defense. The Senate confirms each nomination by simple majority within a period the Legislature defines by statute. If the Senate has not voted within that period, the President may name an Acting officer from among civil service employees or existing confirmed executive branch officers. All nominations, confirmations, and Acting appointments are published to the NRS within 24 hours. Acting status runs for up to 6 months from the date of appointment. After 6 months, the Acting officer must either be confirmed by the Senate under the standard process or be re-appointed by the President for one further 30-day extension. After that extension expires without Senate confirmation, the most senior career officer in the relevant department holds the role until a nomination is confirmed. The one-extension limit prevents indefinite Acting appointments circumventing Senate confirmation. An officer subject to an active §3.8 impeachment proceeding may not be removed by the President until those proceedings conclude.</w:t>
      </w:r>
    </w:p>
    <w:p>
      <w:pPr>
        <w:spacing w:after="60" w:before="200"/>
        <w:ind w:left="431"/>
        <w:jc w:val="left"/>
      </w:pPr>
      <w:r>
        <w:rPr>
          <w:rFonts w:ascii="Courier New" w:cs="Courier New" w:eastAsia="Courier New" w:hAnsi="Courier New"/>
          <w:b/>
          <w:bCs/>
          <w:color w:val="1B2A4A"/>
          <w:sz w:val="18"/>
          <w:szCs w:val="18"/>
        </w:rPr>
        <w:t xml:space="preserve">§2.1.k  </w:t>
      </w:r>
      <w:r>
        <w:rPr>
          <w:rFonts w:ascii="Garamond" w:cs="Garamond" w:eastAsia="Garamond" w:hAnsi="Garamond"/>
          <w:b/>
          <w:bCs/>
          <w:i w:val="false"/>
          <w:iCs w:val="false"/>
          <w:color w:val="1B2A4A"/>
          <w:sz w:val="22"/>
          <w:szCs w:val="22"/>
        </w:rPr>
        <w:t xml:space="preserve">General Domain Default and Dispute Resolution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domain of a proposed executive action is disputed outside the context of active military operations, the PM's residual authority under §2.2 is presumptive pending resolution — the President's authority is enumerated, so a Presidential domain claim must identify the enumerated power engaged. The JEC under §2.11 is the first forum for resolution. Where resolution is not achieved through the JEC, either executive may petition the SC for a domain determination; the SC must rule within 30 days of petition. Pending the SC ruling, the PM's residual authority governs except for matters expressly listed in §2.1. This provision does not apply to disputes arising during active military operations, which are governed exclusively by §2.1.h.</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The Prime Minister — Domestic Executive Domain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holds residual executive authority over all functions not enumerated as Presidential. To be eligible, a person must have held citizenship for at least 10 years. The PM answers to the House through the confidence mechanism and does not require presidential confirmation for the exercise of the domestic domain.</w:t>
      </w:r>
    </w:p>
    <w:p>
      <w:pPr>
        <w:spacing w:after="60" w:before="200"/>
        <w:ind w:left="431"/>
        <w:jc w:val="left"/>
      </w:pPr>
      <w:r>
        <w:rPr>
          <w:rFonts w:ascii="Courier New" w:cs="Courier New" w:eastAsia="Courier New" w:hAnsi="Courier New"/>
          <w:b/>
          <w:bCs/>
          <w:color w:val="1B2A4A"/>
          <w:sz w:val="18"/>
          <w:szCs w:val="18"/>
        </w:rPr>
        <w:t xml:space="preserve">§2.2.a  </w:t>
      </w:r>
      <w:r>
        <w:rPr>
          <w:rFonts w:ascii="Garamond" w:cs="Garamond" w:eastAsia="Garamond" w:hAnsi="Garamond"/>
          <w:b/>
          <w:bCs/>
          <w:i w:val="false"/>
          <w:iCs w:val="false"/>
          <w:color w:val="1B2A4A"/>
          <w:sz w:val="22"/>
          <w:szCs w:val="22"/>
        </w:rPr>
        <w:t xml:space="preserve">Domestic Policy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Prime Minister holds authority over all domestic policy — healthcare, education, infrastructure, housing, labour, environment, and all domestic regulatory frameworks. This authority is residual: it covers every function not expressly enumerated as Presidential under §2.1.</w:t>
      </w:r>
    </w:p>
    <w:p>
      <w:pPr>
        <w:spacing w:after="60" w:before="200"/>
        <w:ind w:left="431"/>
        <w:jc w:val="left"/>
      </w:pPr>
      <w:r>
        <w:rPr>
          <w:rFonts w:ascii="Courier New" w:cs="Courier New" w:eastAsia="Courier New" w:hAnsi="Courier New"/>
          <w:b/>
          <w:bCs/>
          <w:color w:val="1B2A4A"/>
          <w:sz w:val="18"/>
          <w:szCs w:val="18"/>
        </w:rPr>
        <w:t xml:space="preserve">§2.2.b  </w:t>
      </w:r>
      <w:r>
        <w:rPr>
          <w:rFonts w:ascii="Garamond" w:cs="Garamond" w:eastAsia="Garamond" w:hAnsi="Garamond"/>
          <w:b/>
          <w:bCs/>
          <w:i w:val="false"/>
          <w:iCs w:val="false"/>
          <w:color w:val="1B2A4A"/>
          <w:sz w:val="22"/>
          <w:szCs w:val="22"/>
        </w:rPr>
        <w:t xml:space="preserve">Ministerial Appointments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PM appoints senior domestic officers from candidates whose qualifications have been certified by the JI against criteria established by statute.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431"/>
        <w:jc w:val="left"/>
      </w:pPr>
      <w:r>
        <w:rPr>
          <w:rFonts w:ascii="Courier New" w:cs="Courier New" w:eastAsia="Courier New" w:hAnsi="Courier New"/>
          <w:b/>
          <w:bCs/>
          <w:color w:val="1B2A4A"/>
          <w:sz w:val="18"/>
          <w:szCs w:val="18"/>
        </w:rPr>
        <w:t xml:space="preserve">§2.2.c  </w:t>
      </w:r>
      <w:r>
        <w:rPr>
          <w:rFonts w:ascii="Garamond" w:cs="Garamond" w:eastAsia="Garamond" w:hAnsi="Garamond"/>
          <w:b/>
          <w:bCs/>
          <w:i w:val="false"/>
          <w:iCs w:val="false"/>
          <w:color w:val="1B2A4A"/>
          <w:sz w:val="22"/>
          <w:szCs w:val="22"/>
        </w:rPr>
        <w:t xml:space="preserve">PM Fiscal and Budget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431"/>
        <w:jc w:val="left"/>
      </w:pPr>
      <w:r>
        <w:rPr>
          <w:rFonts w:ascii="Courier New" w:cs="Courier New" w:eastAsia="Courier New" w:hAnsi="Courier New"/>
          <w:b/>
          <w:bCs/>
          <w:color w:val="1B2A4A"/>
          <w:sz w:val="18"/>
          <w:szCs w:val="18"/>
        </w:rPr>
        <w:t xml:space="preserve">§2.2.d  </w:t>
      </w:r>
      <w:r>
        <w:rPr>
          <w:rFonts w:ascii="Garamond" w:cs="Garamond" w:eastAsia="Garamond" w:hAnsi="Garamond"/>
          <w:b/>
          <w:bCs/>
          <w:i w:val="false"/>
          <w:iCs w:val="false"/>
          <w:color w:val="1B2A4A"/>
          <w:sz w:val="22"/>
          <w:szCs w:val="22"/>
        </w:rPr>
        <w:t xml:space="preserve">Legislative Review Period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reviews all enacted legislation and may sign, apply a Fiscal Objection, or apply a Suspensive Veto. Silence within the Legislative Review Period triggers Deemed Enactment — there is no veto by inaction. The Suspensive Veto returns the bill to the Legislature, which may override by 2/3 of both chambers simultaneously.</w:t>
      </w:r>
    </w:p>
    <w:p>
      <w:pPr>
        <w:spacing w:after="60" w:before="200"/>
        <w:ind w:left="431"/>
        <w:jc w:val="left"/>
      </w:pPr>
      <w:r>
        <w:rPr>
          <w:rFonts w:ascii="Courier New" w:cs="Courier New" w:eastAsia="Courier New" w:hAnsi="Courier New"/>
          <w:b/>
          <w:bCs/>
          <w:color w:val="1B2A4A"/>
          <w:sz w:val="18"/>
          <w:szCs w:val="18"/>
        </w:rPr>
        <w:t xml:space="preserve">§2.2.e  </w:t>
      </w:r>
      <w:r>
        <w:rPr>
          <w:rFonts w:ascii="Garamond" w:cs="Garamond" w:eastAsia="Garamond" w:hAnsi="Garamond"/>
          <w:b/>
          <w:bCs/>
          <w:i w:val="false"/>
          <w:iCs w:val="false"/>
          <w:color w:val="1B2A4A"/>
          <w:sz w:val="22"/>
          <w:szCs w:val="22"/>
        </w:rPr>
        <w:t xml:space="preserve">Domestic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431"/>
        <w:jc w:val="left"/>
      </w:pPr>
      <w:r>
        <w:rPr>
          <w:rFonts w:ascii="Courier New" w:cs="Courier New" w:eastAsia="Courier New" w:hAnsi="Courier New"/>
          <w:b/>
          <w:bCs/>
          <w:color w:val="1B2A4A"/>
          <w:sz w:val="18"/>
          <w:szCs w:val="18"/>
        </w:rPr>
        <w:t xml:space="preserve">§2.2.f  </w:t>
      </w:r>
      <w:r>
        <w:rPr>
          <w:rFonts w:ascii="Garamond" w:cs="Garamond" w:eastAsia="Garamond" w:hAnsi="Garamond"/>
          <w:b/>
          <w:bCs/>
          <w:i w:val="false"/>
          <w:iCs w:val="false"/>
          <w:color w:val="1B2A4A"/>
          <w:sz w:val="22"/>
          <w:szCs w:val="22"/>
        </w:rPr>
        <w:t xml:space="preserve">PM 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431"/>
        <w:jc w:val="left"/>
      </w:pPr>
      <w:r>
        <w:rPr>
          <w:rFonts w:ascii="Courier New" w:cs="Courier New" w:eastAsia="Courier New" w:hAnsi="Courier New"/>
          <w:b/>
          <w:bCs/>
          <w:color w:val="1B2A4A"/>
          <w:sz w:val="18"/>
          <w:szCs w:val="18"/>
        </w:rPr>
        <w:t xml:space="preserve">§2.2.g  </w:t>
      </w:r>
      <w:r>
        <w:rPr>
          <w:rFonts w:ascii="Garamond" w:cs="Garamond" w:eastAsia="Garamond" w:hAnsi="Garamond"/>
          <w:b/>
          <w:bCs/>
          <w:i w:val="false"/>
          <w:iCs w:val="false"/>
          <w:color w:val="1B2A4A"/>
          <w:sz w:val="22"/>
          <w:szCs w:val="22"/>
        </w:rPr>
        <w:t xml:space="preserve">PM Information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§1.30.d applies equally to both executives.</w:t>
      </w:r>
    </w:p>
    <w:p>
      <w:pPr>
        <w:spacing w:after="60" w:before="200"/>
        <w:ind w:left="431"/>
        <w:jc w:val="left"/>
      </w:pPr>
      <w:r>
        <w:rPr>
          <w:rFonts w:ascii="Courier New" w:cs="Courier New" w:eastAsia="Courier New" w:hAnsi="Courier New"/>
          <w:b/>
          <w:bCs/>
          <w:color w:val="1B2A4A"/>
          <w:sz w:val="18"/>
          <w:szCs w:val="18"/>
        </w:rPr>
        <w:t xml:space="preserve">§2.2.h  </w:t>
      </w:r>
      <w:r>
        <w:rPr>
          <w:rFonts w:ascii="Garamond" w:cs="Garamond" w:eastAsia="Garamond" w:hAnsi="Garamond"/>
          <w:b/>
          <w:bCs/>
          <w:i w:val="false"/>
          <w:iCs w:val="false"/>
          <w:color w:val="1B2A4A"/>
          <w:sz w:val="22"/>
          <w:szCs w:val="22"/>
        </w:rPr>
        <w:t xml:space="preserve">Caretaker PM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PM is temporarily unable to exercise authority, the most senior confirmed Cabinet Minister by continuous length of service, as certified by the JI, serves as Caretaker PM. The Caretaker PM's authority is limited to maintaining existing policy and emergency functions. Caretaker status expires when a new PM is confirmed by the House or the PM resumes their duties, whichever occurs first.</w:t>
      </w:r>
    </w:p>
    <w:p>
      <w:pPr>
        <w:spacing w:after="60" w:before="200"/>
        <w:ind w:left="431"/>
        <w:jc w:val="left"/>
      </w:pPr>
      <w:r>
        <w:rPr>
          <w:rFonts w:ascii="Courier New" w:cs="Courier New" w:eastAsia="Courier New" w:hAnsi="Courier New"/>
          <w:b/>
          <w:bCs/>
          <w:color w:val="1B2A4A"/>
          <w:sz w:val="18"/>
          <w:szCs w:val="18"/>
        </w:rPr>
        <w:t xml:space="preserve">§2.2.i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or military member may comply with an order from either executive that would require them to violate a constitutional provision or any statute. Refusal of such an order creates no civil or criminal liability and constitutes no basis for dismissal, demotion, or any other penalty. The refusing person may report the order to the EI, who may investigate and publish findings to the NRS. The affected civil servant or military member may seek legal redress before any court of competent jurisdiction for any penalty imposed in connection with a refusal.</w:t>
      </w:r>
    </w:p>
    <w:p>
      <w:pPr>
        <w:spacing w:after="60" w:before="200"/>
        <w:ind w:left="431"/>
        <w:jc w:val="left"/>
      </w:pPr>
      <w:r>
        <w:rPr>
          <w:rFonts w:ascii="Courier New" w:cs="Courier New" w:eastAsia="Courier New" w:hAnsi="Courier New"/>
          <w:b/>
          <w:bCs/>
          <w:color w:val="1B2A4A"/>
          <w:sz w:val="18"/>
          <w:szCs w:val="18"/>
        </w:rPr>
        <w:t xml:space="preserve">§2.2.j  </w:t>
      </w:r>
      <w:r>
        <w:rPr>
          <w:rFonts w:ascii="Garamond" w:cs="Garamond" w:eastAsia="Garamond" w:hAnsi="Garamond"/>
          <w:b/>
          <w:bCs/>
          <w:i w:val="false"/>
          <w:iCs w:val="false"/>
          <w:color w:val="1B2A4A"/>
          <w:sz w:val="22"/>
          <w:szCs w:val="22"/>
        </w:rPr>
        <w:t xml:space="preserve">Civil Service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has constitutional responsibility for the integrity of the civil service. Civil service appointments, promotions, and assignments must be made on the basis of merit and qualification, not political affiliation. Civil servants are protected from retaliation for exercising their duty of refusal under §2.2.i. The Legislature must by statute establish a Civil Service Commission with independent oversight of hiring, promotion, and disciplinary processes within the civil service.</w:t>
      </w:r>
    </w:p>
    <w:p>
      <w:pPr>
        <w:spacing w:after="60" w:before="200"/>
        <w:ind w:left="431"/>
        <w:jc w:val="left"/>
      </w:pPr>
      <w:r>
        <w:rPr>
          <w:rFonts w:ascii="Courier New" w:cs="Courier New" w:eastAsia="Courier New" w:hAnsi="Courier New"/>
          <w:b/>
          <w:bCs/>
          <w:color w:val="1B2A4A"/>
          <w:sz w:val="18"/>
          <w:szCs w:val="18"/>
        </w:rPr>
        <w:t xml:space="preserve">§2.2.k  </w:t>
      </w:r>
      <w:r>
        <w:rPr>
          <w:rFonts w:ascii="Garamond" w:cs="Garamond" w:eastAsia="Garamond" w:hAnsi="Garamond"/>
          <w:b/>
          <w:bCs/>
          <w:i w:val="false"/>
          <w:iCs w:val="false"/>
          <w:color w:val="1B2A4A"/>
          <w:sz w:val="22"/>
          <w:szCs w:val="22"/>
        </w:rPr>
        <w:t xml:space="preserve">Domestic Affairs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administers domestic executive functions through the Domestic Affairs Council — the coordinating body of senior Cabinet Ministers responsible for the delivery of social state obligations under §10.1, oversight of devolved Territories, co-management of National Trust lands, and other domestic functions assigned by statute. The Domestic Affairs Council is chaired by the PM. Its membership, structure, and operational mandate are defined by statute. The Council operates under the PM's constitutional domestic authority and is not an independent constitutional body.</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Prime Minister — Accountability and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Prime Minister is accountable to the House through the mechanisms of this section. The House's power to remove the PM is matched by its constitutional obligation to maintain a functioning government.</w:t>
      </w:r>
    </w:p>
    <w:p>
      <w:pPr>
        <w:spacing w:after="60" w:before="200"/>
        <w:ind w:left="431"/>
        <w:jc w:val="left"/>
      </w:pPr>
      <w:r>
        <w:rPr>
          <w:rFonts w:ascii="Courier New" w:cs="Courier New" w:eastAsia="Courier New" w:hAnsi="Courier New"/>
          <w:b/>
          <w:bCs/>
          <w:color w:val="1B2A4A"/>
          <w:sz w:val="18"/>
          <w:szCs w:val="18"/>
        </w:rPr>
        <w:t xml:space="preserve">§2.3.a  </w:t>
      </w:r>
      <w:r>
        <w:rPr>
          <w:rFonts w:ascii="Garamond" w:cs="Garamond" w:eastAsia="Garamond" w:hAnsi="Garamond"/>
          <w:b/>
          <w:bCs/>
          <w:i w:val="false"/>
          <w:iCs w:val="false"/>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cannot simply vote 'no confidence' and leave a vacuum; it must simultaneously elect a replacement by absolute majority of full seated House membership. Both the removal and successor election occur in the same vote.</w:t>
      </w:r>
    </w:p>
    <w:p>
      <w:pPr>
        <w:spacing w:after="60" w:before="200"/>
        <w:ind w:left="431"/>
        <w:jc w:val="left"/>
      </w:pPr>
      <w:r>
        <w:rPr>
          <w:rFonts w:ascii="Courier New" w:cs="Courier New" w:eastAsia="Courier New" w:hAnsi="Courier New"/>
          <w:b/>
          <w:bCs/>
          <w:color w:val="1B2A4A"/>
          <w:sz w:val="18"/>
          <w:szCs w:val="18"/>
        </w:rPr>
        <w:t xml:space="preserve">§2.3.b  </w:t>
      </w:r>
      <w:r>
        <w:rPr>
          <w:rFonts w:ascii="Garamond" w:cs="Garamond" w:eastAsia="Garamond" w:hAnsi="Garamond"/>
          <w:b/>
          <w:bCs/>
          <w:i w:val="false"/>
          <w:iCs w:val="false"/>
          <w:color w:val="1B2A4A"/>
          <w:sz w:val="22"/>
          <w:szCs w:val="22"/>
        </w:rPr>
        <w:t xml:space="preserve">PM Maximum Consecutive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431"/>
        <w:jc w:val="left"/>
      </w:pPr>
      <w:r>
        <w:rPr>
          <w:rFonts w:ascii="Courier New" w:cs="Courier New" w:eastAsia="Courier New" w:hAnsi="Courier New"/>
          <w:b/>
          <w:bCs/>
          <w:color w:val="1B2A4A"/>
          <w:sz w:val="18"/>
          <w:szCs w:val="18"/>
        </w:rPr>
        <w:t xml:space="preserve">§2.3.c  </w:t>
      </w:r>
      <w:r>
        <w:rPr>
          <w:rFonts w:ascii="Garamond" w:cs="Garamond" w:eastAsia="Garamond" w:hAnsi="Garamond"/>
          <w:b/>
          <w:bCs/>
          <w:i w:val="false"/>
          <w:iCs w:val="false"/>
          <w:color w:val="1B2A4A"/>
          <w:sz w:val="22"/>
          <w:szCs w:val="22"/>
        </w:rPr>
        <w:t xml:space="preserve">PM Formation and Senate Designation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elects the PM by absolute majority of full seated membership within 30 days of any general election. The House may attempt to elect a PM at any time. If the House has not elected a PM within 30 days, the most senior confirmed Cabinet Minister by continuous length of service continues as Caretaker PM under §2.2.h.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 Where the House has not elected a PM within 30 days, the Legislative Inspectorate publishes a weekly report to the NRS naming each member's participation record — votes taken, candidates proposed, and each member's individual participation — forming the permanent constitutional accountability record for that term.</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Prime Minister —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holds two instruments for engaging the Legislature on enacted bills: the Suspensive Veto and the Fiscal Objection.</w:t>
      </w:r>
    </w:p>
    <w:p>
      <w:pPr>
        <w:spacing w:after="60" w:before="200"/>
        <w:ind w:left="431"/>
        <w:jc w:val="left"/>
      </w:pPr>
      <w:r>
        <w:rPr>
          <w:rFonts w:ascii="Courier New" w:cs="Courier New" w:eastAsia="Courier New" w:hAnsi="Courier New"/>
          <w:b/>
          <w:bCs/>
          <w:color w:val="1B2A4A"/>
          <w:sz w:val="18"/>
          <w:szCs w:val="18"/>
        </w:rPr>
        <w:t xml:space="preserve">§2.4.a  </w:t>
      </w:r>
      <w:r>
        <w:rPr>
          <w:rFonts w:ascii="Garamond" w:cs="Garamond" w:eastAsia="Garamond" w:hAnsi="Garamond"/>
          <w:b/>
          <w:bCs/>
          <w:i w:val="false"/>
          <w:iCs w:val="false"/>
          <w:color w:val="1B2A4A"/>
          <w:sz w:val="22"/>
          <w:szCs w:val="22"/>
        </w:rPr>
        <w:t xml:space="preserve">Suspensive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may return any bill to the Legislature with a written Statement of Objection specifying the constitutional, fiscal, or operational grounds. The statement is recorded permanently on the NRS. The Legislature may override by 2/3 of both chambers simultaneously. The suspensive veto may not be used on: the annual budget; any bill the Legislature has certified as directly implementing a constitutional obligation; or any bill passed under the §2.8 Emergency Governance Protocol. If the Legislature does not hold an override vote within 90 days of the bill being returned, the bill lapses. The PM may apply the suspensive veto to any single bill only once.</w:t>
      </w:r>
    </w:p>
    <w:p>
      <w:pPr>
        <w:spacing w:after="60" w:before="200"/>
        <w:ind w:left="431"/>
        <w:jc w:val="left"/>
      </w:pPr>
      <w:r>
        <w:rPr>
          <w:rFonts w:ascii="Courier New" w:cs="Courier New" w:eastAsia="Courier New" w:hAnsi="Courier New"/>
          <w:b/>
          <w:bCs/>
          <w:color w:val="1B2A4A"/>
          <w:sz w:val="18"/>
          <w:szCs w:val="18"/>
        </w:rPr>
        <w:t xml:space="preserve">§2.4.b  </w:t>
      </w:r>
      <w:r>
        <w:rPr>
          <w:rFonts w:ascii="Garamond" w:cs="Garamond" w:eastAsia="Garamond" w:hAnsi="Garamond"/>
          <w:b/>
          <w:bCs/>
          <w:i w:val="false"/>
          <w:iCs w:val="false"/>
          <w:color w:val="1B2A4A"/>
          <w:sz w:val="22"/>
          <w:szCs w:val="22"/>
        </w:rPr>
        <w:t xml:space="preserve">Fiscal Objection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w:t>
      </w:r>
    </w:p>
    <w:p>
      <w:pPr>
        <w:spacing w:after="60" w:before="200"/>
        <w:ind w:left="431"/>
        <w:jc w:val="left"/>
      </w:pPr>
      <w:r>
        <w:rPr>
          <w:rFonts w:ascii="Courier New" w:cs="Courier New" w:eastAsia="Courier New" w:hAnsi="Courier New"/>
          <w:b/>
          <w:bCs/>
          <w:color w:val="1B2A4A"/>
          <w:sz w:val="18"/>
          <w:szCs w:val="18"/>
        </w:rPr>
        <w:t xml:space="preserve">§2.4.c  </w:t>
      </w:r>
      <w:r>
        <w:rPr>
          <w:rFonts w:ascii="Garamond" w:cs="Garamond" w:eastAsia="Garamond" w:hAnsi="Garamond"/>
          <w:b/>
          <w:bCs/>
          <w:i w:val="false"/>
          <w:iCs w:val="false"/>
          <w:color w:val="1B2A4A"/>
          <w:sz w:val="22"/>
          <w:szCs w:val="22"/>
        </w:rPr>
        <w:t xml:space="preserve">Deemed Enactment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If the PM neither signs nor objects within the Legislative Review Period, the bill is automatically enacted. Silence is not a veto.</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Legislative Review Period</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hold a concurrent review period following final passage of any bill.</w:t>
      </w:r>
    </w:p>
    <w:p>
      <w:pPr>
        <w:spacing w:after="60" w:before="200"/>
        <w:ind w:left="431"/>
        <w:jc w:val="left"/>
      </w:pPr>
      <w:r>
        <w:rPr>
          <w:rFonts w:ascii="Courier New" w:cs="Courier New" w:eastAsia="Courier New" w:hAnsi="Courier New"/>
          <w:b/>
          <w:bCs/>
          <w:color w:val="1B2A4A"/>
          <w:sz w:val="18"/>
          <w:szCs w:val="18"/>
        </w:rPr>
        <w:t xml:space="preserve">§2.5.a  </w:t>
      </w:r>
      <w:r>
        <w:rPr>
          <w:rFonts w:ascii="Garamond" w:cs="Garamond" w:eastAsia="Garamond" w:hAnsi="Garamond"/>
          <w:b/>
          <w:bCs/>
          <w:i w:val="false"/>
          <w:iCs w:val="false"/>
          <w:color w:val="1B2A4A"/>
          <w:sz w:val="22"/>
          <w:szCs w:val="22"/>
        </w:rPr>
        <w:t xml:space="preserve">Legislative Review Period — Duration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presidential veto period may not exceed 20 days; the PM objection period may not exceed 45 days. The periods run concurrently from the date of final passage in both chambers. If neither executive acts within their respective period, the bill is deemed enacted. The President and PM may jointly agree to shorten a review period but may not extend it beyond the statutory maximum. Where both executives act on the same bill, the instruments operate in parallel. A legislative override of a Presidential veto restores the bill; any pending PM objection period continues from where it stands. Resolution of one executive's instrument does not moot the other's.</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Presidential Succession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President's succession and acting authority framework is established in §2.6.a through §2.6.c.</w:t>
      </w:r>
    </w:p>
    <w:p>
      <w:pPr>
        <w:spacing w:after="60" w:before="200"/>
        <w:ind w:left="431"/>
        <w:jc w:val="left"/>
      </w:pPr>
      <w:r>
        <w:rPr>
          <w:rFonts w:ascii="Courier New" w:cs="Courier New" w:eastAsia="Courier New" w:hAnsi="Courier New"/>
          <w:b/>
          <w:bCs/>
          <w:color w:val="1B2A4A"/>
          <w:sz w:val="18"/>
          <w:szCs w:val="18"/>
        </w:rPr>
        <w:t xml:space="preserve">§2.6.a  </w:t>
      </w:r>
      <w:r>
        <w:rPr>
          <w:rFonts w:ascii="Garamond" w:cs="Garamond" w:eastAsia="Garamond" w:hAnsi="Garamond"/>
          <w:b/>
          <w:bCs/>
          <w:i w:val="false"/>
          <w:iCs w:val="false"/>
          <w:color w:val="1B2A4A"/>
          <w:sz w:val="22"/>
          <w:szCs w:val="22"/>
        </w:rPr>
        <w:t xml:space="preserve">Presidential Succession Line</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Presidential death, resignation, removal, or certified permanent incapacity under §2.6.b. Authority transfers in order: (1) the Senate Speaker; (2) the Senate Deputy Speaker; (3) the most senior member of the Senate Armed Services Committee by years of Senate service. Where the Senate Speaker assumes the presidency, their Senate seat is immediately vacated and the Deputy Speaker assumes the Speaker role. The successor serves the remainder of the current presidential term under §2.6.c.</w:t>
      </w:r>
    </w:p>
    <w:p>
      <w:pPr>
        <w:spacing w:after="60" w:before="200"/>
        <w:ind w:left="431"/>
        <w:jc w:val="left"/>
      </w:pPr>
      <w:r>
        <w:rPr>
          <w:rFonts w:ascii="Courier New" w:cs="Courier New" w:eastAsia="Courier New" w:hAnsi="Courier New"/>
          <w:b/>
          <w:bCs/>
          <w:color w:val="1B2A4A"/>
          <w:sz w:val="18"/>
          <w:szCs w:val="18"/>
        </w:rPr>
        <w:t xml:space="preserve">§2.6.b  </w:t>
      </w:r>
      <w:r>
        <w:rPr>
          <w:rFonts w:ascii="Garamond" w:cs="Garamond" w:eastAsia="Garamond" w:hAnsi="Garamond"/>
          <w:b/>
          <w:bCs/>
          <w:i w:val="false"/>
          <w:iCs w:val="false"/>
          <w:color w:val="1B2A4A"/>
          <w:sz w:val="22"/>
          <w:szCs w:val="22"/>
        </w:rPr>
        <w:t xml:space="preserve">Temporary Acting Presidential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President is incapacitated and unable to exercise presidential authority, the EI and LI jointly assess capacity within 6 hours. If both Inspectorates certify incapacity, they publish a joint assessment to the NRS and Acting Presidential Authority transfers immediately to the Senate Speaker. The Speaker holds all presidential powers during the acting period; the Speaker's Senate seat is not vacated; no special presidential election is triggered; and the acting period does not constitute a succession event under §2.6.a or expend any presidential term. Acting Presidential Authority ends when the President publishes a restoration declaration to the NRS, or when the EI and LI jointly certify recovery and publish it to the NRS — in either case the President immediately resumes full authority. Where the EI and LI reach different conclusions, the President remains in office; either Inspectorate may petition the SC for a capacity determination, which must rule within 24 hours; the President remains in office pending that ruling. Where Acting Presidential Authority extends beyond 90 days without restoration, the Inspectorates must within 7 days reassess and publish findings; on joint certification of permanent incapacity, §2.6.a succession activates immediately — Acting Presidential Authority converts to full succession, the Speaker's Senate seat is vacated, and the Deputy Speaker assumes the Speaker role.</w:t>
      </w:r>
    </w:p>
    <w:p>
      <w:pPr>
        <w:spacing w:after="60" w:before="200"/>
        <w:ind w:left="431"/>
        <w:jc w:val="left"/>
      </w:pPr>
      <w:r>
        <w:rPr>
          <w:rFonts w:ascii="Courier New" w:cs="Courier New" w:eastAsia="Courier New" w:hAnsi="Courier New"/>
          <w:b/>
          <w:bCs/>
          <w:color w:val="1B2A4A"/>
          <w:sz w:val="18"/>
          <w:szCs w:val="18"/>
        </w:rPr>
        <w:t xml:space="preserve">§2.6.c  </w:t>
      </w:r>
      <w:r>
        <w:rPr>
          <w:rFonts w:ascii="Garamond" w:cs="Garamond" w:eastAsia="Garamond" w:hAnsi="Garamond"/>
          <w:b/>
          <w:bCs/>
          <w:i w:val="false"/>
          <w:iCs w:val="false"/>
          <w:color w:val="1B2A4A"/>
          <w:sz w:val="22"/>
          <w:szCs w:val="22"/>
        </w:rPr>
        <w:t xml:space="preserve">Succession-Based Presidential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A person who assumes the presidency by succession under §2.6.a serves the remainder of the current presidential term. No election is required to complete the term — succession is a constitutional appointment, and the successor is the President from the moment of succession. Service by succession does not constitute or consume the successor's single non-renewable presidential term; succession is a constitutional duty, not an electoral mandate. The successor is eligible to stand as a presidential candidate at the next regular presidential election under §7.2.</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Executive Transparency and NRS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Emergency Governance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Caretaker PM period extends beyond 90 days without a seated House — accounting for a 60-day election period and a 30-day seating grace period — the Senate automatically assumes joint emergency legislative authority by simple majority for three functions only: election administration, social state funding continuity under §10.1, and active national security obligations. All Senate emergency actions under this provision require co-signature of the Caretaker PM and are published to the NRS. This authority expires automatically the moment a new House is seated.</w:t>
      </w:r>
    </w:p>
    <w:p>
      <w:pPr>
        <w:spacing w:after="60" w:before="200"/>
        <w:ind w:left="431"/>
        <w:jc w:val="left"/>
      </w:pPr>
      <w:r>
        <w:rPr>
          <w:rFonts w:ascii="Courier New" w:cs="Courier New" w:eastAsia="Courier New" w:hAnsi="Courier New"/>
          <w:b/>
          <w:bCs/>
          <w:color w:val="1B2A4A"/>
          <w:sz w:val="18"/>
          <w:szCs w:val="18"/>
        </w:rPr>
        <w:t xml:space="preserve">§2.8.a  </w:t>
      </w:r>
      <w:r>
        <w:rPr>
          <w:rFonts w:ascii="Garamond" w:cs="Garamond" w:eastAsia="Garamond" w:hAnsi="Garamond"/>
          <w:b/>
          <w:bCs/>
          <w:i w:val="false"/>
          <w:iCs w:val="false"/>
          <w:color w:val="1B2A4A"/>
          <w:sz w:val="22"/>
          <w:szCs w:val="22"/>
        </w:rPr>
        <w:t xml:space="preserve">Expedited Activation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Legislature has been physically unable to convene due to an attack on the seat of government or other catastrophic external event, the 90-day waiting period of §2.8 is waived. Expedited activation requires joint certification by the Caretaker PM and the most senior available Supreme Court justice, published to the NRS, stating that the Legislature cannot convene due to catastrophic external circumstances. Upon such certification, the Senate may immediately assume the three emergency functions of §2.8 by majority of surviving members. Expedited activation expires automatically upon the House maintaining quorum and electing a Speaker.</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Clemency and Amnesty</w:t>
      </w:r>
    </w:p>
    <w:p>
      <w:pPr>
        <w:spacing w:after="120" w:before="0"/>
        <w:ind w:left="431"/>
        <w:jc w:val="both"/>
      </w:pPr>
      <w:r>
        <w:rPr>
          <w:rFonts w:ascii="Garamond" w:cs="Garamond" w:eastAsia="Garamond" w:hAnsi="Garamond"/>
          <w:b w:val="false"/>
          <w:bCs w:val="false"/>
          <w:i w:val="false"/>
          <w:iCs w:val="false"/>
          <w:color w:val="2a2520"/>
          <w:sz w:val="22"/>
          <w:szCs w:val="22"/>
        </w:rPr>
        <w:t xml:space="preserve">Clemency may only be granted within each executive's domain, with full transparency, and subject to cross-chamber review. Presidential clemency is subject to cross-chamber review under §2.9.c. Self-clemency is absolutely prohibited for all constitutional officers.</w:t>
      </w:r>
    </w:p>
    <w:p>
      <w:pPr>
        <w:spacing w:after="60" w:before="200"/>
        <w:ind w:left="431"/>
        <w:jc w:val="left"/>
      </w:pPr>
      <w:r>
        <w:rPr>
          <w:rFonts w:ascii="Courier New" w:cs="Courier New" w:eastAsia="Courier New" w:hAnsi="Courier New"/>
          <w:b/>
          <w:bCs/>
          <w:color w:val="1B2A4A"/>
          <w:sz w:val="18"/>
          <w:szCs w:val="18"/>
        </w:rPr>
        <w:t xml:space="preserve">§2.9.a  </w:t>
      </w:r>
      <w:r>
        <w:rPr>
          <w:rFonts w:ascii="Garamond" w:cs="Garamond" w:eastAsia="Garamond" w:hAnsi="Garamond"/>
          <w:b/>
          <w:bCs/>
          <w:i w:val="false"/>
          <w:iCs w:val="false"/>
          <w:color w:val="1B2A4A"/>
          <w:sz w:val="22"/>
          <w:szCs w:val="22"/>
        </w:rPr>
        <w:t xml:space="preserve">Legislative Amnesty</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Legislature may grant group amnesty, by simple majority of both chambers. No executive may grant group amnesty. Cannot extend to constitutional violations, official misconduct offenses, or crimes against the fundamental rights of §1.3 and §1.4. Subject to judicial review within 60 days of enactment.</w:t>
      </w:r>
    </w:p>
    <w:p>
      <w:pPr>
        <w:spacing w:after="60" w:before="200"/>
        <w:ind w:left="431"/>
        <w:jc w:val="left"/>
      </w:pPr>
      <w:r>
        <w:rPr>
          <w:rFonts w:ascii="Courier New" w:cs="Courier New" w:eastAsia="Courier New" w:hAnsi="Courier New"/>
          <w:b/>
          <w:bCs/>
          <w:color w:val="1B2A4A"/>
          <w:sz w:val="18"/>
          <w:szCs w:val="18"/>
        </w:rPr>
        <w:t xml:space="preserve">§2.9.b  </w:t>
      </w:r>
      <w:r>
        <w:rPr>
          <w:rFonts w:ascii="Garamond" w:cs="Garamond" w:eastAsia="Garamond" w:hAnsi="Garamond"/>
          <w:b/>
          <w:bCs/>
          <w:i w:val="false"/>
          <w:iCs w:val="false"/>
          <w:color w:val="1B2A4A"/>
          <w:sz w:val="22"/>
          <w:szCs w:val="22"/>
        </w:rPr>
        <w:t xml:space="preserve">Self-Clemency Absolute Prohibition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431"/>
        <w:jc w:val="left"/>
      </w:pPr>
      <w:r>
        <w:rPr>
          <w:rFonts w:ascii="Courier New" w:cs="Courier New" w:eastAsia="Courier New" w:hAnsi="Courier New"/>
          <w:b/>
          <w:bCs/>
          <w:color w:val="1B2A4A"/>
          <w:sz w:val="18"/>
          <w:szCs w:val="18"/>
        </w:rPr>
        <w:t xml:space="preserve">§2.9.c  </w:t>
      </w:r>
      <w:r>
        <w:rPr>
          <w:rFonts w:ascii="Garamond" w:cs="Garamond" w:eastAsia="Garamond" w:hAnsi="Garamond"/>
          <w:b/>
          <w:bCs/>
          <w:i w:val="false"/>
          <w:iCs w:val="false"/>
          <w:color w:val="1B2A4A"/>
          <w:sz w:val="22"/>
          <w:szCs w:val="22"/>
        </w:rPr>
        <w:t xml:space="preserve">Cross-Chamber Clemency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clemency grant — whether by the President under §2.1.g or by the PM under §2.2.f — is subject to cross-chamber transparency review. Within 7 days of any grant, the granting executive files a written explanatory report with the EI stating: the identity of the recipient, the nature of the offense pardoned, the grounds for the grant, and any circumstances considered. The EI reviews the report for factual accuracy and completeness within 14 days and publishes its findings to the NRS. The reviewing chamber (Senate for PM clemency; House for Presidential clemency) receives the EI report and may, within 45 days, hold a public hearing on the grant and publish formal observations to the NRS. The reviewing chamber may not void or reverse a clemency grant — clemency is the exclusive act of the granting executive, accountable through transparency and permanent NRS record rather than legislative veto. Neither executive may grant clemency for offenses committed within the other executive's domain; any such grant is void.</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Presidential Removal — Two Political Tracks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be removed on two independent tracks. The legislative track requires 2/3 of both chambers simultaneously following Inspectorate-certified findings. The popular track requires a Senate majority referral to a national recall referendum under §2.10.b.</w:t>
      </w:r>
    </w:p>
    <w:p>
      <w:pPr>
        <w:spacing w:after="60" w:before="200"/>
        <w:ind w:left="431"/>
        <w:jc w:val="left"/>
      </w:pPr>
      <w:r>
        <w:rPr>
          <w:rFonts w:ascii="Courier New" w:cs="Courier New" w:eastAsia="Courier New" w:hAnsi="Courier New"/>
          <w:b/>
          <w:bCs/>
          <w:color w:val="1B2A4A"/>
          <w:sz w:val="18"/>
          <w:szCs w:val="18"/>
        </w:rPr>
        <w:t xml:space="preserve">§2.10.a  </w:t>
      </w:r>
      <w:r>
        <w:rPr>
          <w:rFonts w:ascii="Garamond" w:cs="Garamond" w:eastAsia="Garamond" w:hAnsi="Garamond"/>
          <w:b/>
          <w:bCs/>
          <w:i w:val="false"/>
          <w:iCs w:val="false"/>
          <w:color w:val="1B2A4A"/>
          <w:sz w:val="22"/>
          <w:szCs w:val="22"/>
        </w:rPr>
        <w:t xml:space="preserve">Legislative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w:t>
      </w:r>
    </w:p>
    <w:p>
      <w:pPr>
        <w:spacing w:after="60" w:before="200"/>
        <w:ind w:left="431"/>
        <w:jc w:val="left"/>
      </w:pPr>
      <w:r>
        <w:rPr>
          <w:rFonts w:ascii="Courier New" w:cs="Courier New" w:eastAsia="Courier New" w:hAnsi="Courier New"/>
          <w:b/>
          <w:bCs/>
          <w:color w:val="1B2A4A"/>
          <w:sz w:val="18"/>
          <w:szCs w:val="18"/>
        </w:rPr>
        <w:t xml:space="preserve">§2.10.b  </w:t>
      </w:r>
      <w:r>
        <w:rPr>
          <w:rFonts w:ascii="Garamond" w:cs="Garamond" w:eastAsia="Garamond" w:hAnsi="Garamond"/>
          <w:b/>
          <w:bCs/>
          <w:i w:val="false"/>
          <w:iCs w:val="false"/>
          <w:color w:val="1B2A4A"/>
          <w:sz w:val="22"/>
          <w:szCs w:val="22"/>
        </w:rPr>
        <w:t xml:space="preserve">Senate Referral to Popular Recall</w:t>
      </w:r>
    </w:p>
    <w:p>
      <w:pPr>
        <w:spacing w:after="120" w:before="0"/>
        <w:ind w:left="431"/>
        <w:jc w:val="both"/>
      </w:pPr>
      <w:r>
        <w:rPr>
          <w:rFonts w:ascii="Garamond" w:cs="Garamond" w:eastAsia="Garamond" w:hAnsi="Garamond"/>
          <w:b w:val="false"/>
          <w:bCs w:val="false"/>
          <w:i w:val="false"/>
          <w:iCs w:val="false"/>
          <w:color w:val="2a2520"/>
          <w:sz w:val="22"/>
          <w:szCs w:val="22"/>
        </w:rPr>
        <w:t xml:space="preserve">A simple majority of the full Senate membership may refer the question of presidential removal to a national recall referendum. The EC administers the referendum within 90 days of the Senate vote. The President is removed if 60% of votes cast are affirmative with at least 55% citizen participation. A failed referendum cannot be re-initiated within the same presidential term. The Senate Speaker assumes Acting Presidential Authority under §2.6.b from the date the Senate votes to refer until the referendum result is certified — the Speaker's Senate seat is not vacated during this period. If the referendum fails, the President resumes full authority immediately upon certification. If the referendum succeeds, §2.6.a permanent succession activates at the moment of result certification.</w:t>
      </w:r>
    </w:p>
    <w:p>
      <w:pPr>
        <w:spacing w:after="60" w:before="200"/>
        <w:ind w:left="431"/>
        <w:jc w:val="left"/>
      </w:pPr>
      <w:r>
        <w:rPr>
          <w:rFonts w:ascii="Courier New" w:cs="Courier New" w:eastAsia="Courier New" w:hAnsi="Courier New"/>
          <w:b/>
          <w:bCs/>
          <w:color w:val="1B2A4A"/>
          <w:sz w:val="18"/>
          <w:szCs w:val="18"/>
        </w:rPr>
        <w:t xml:space="preserve">§2.10.c  </w:t>
      </w:r>
      <w:r>
        <w:rPr>
          <w:rFonts w:ascii="Garamond" w:cs="Garamond" w:eastAsia="Garamond" w:hAnsi="Garamond"/>
          <w:b/>
          <w:bCs/>
          <w:i w:val="false"/>
          <w:iCs w:val="false"/>
          <w:color w:val="1B2A4A"/>
          <w:sz w:val="22"/>
          <w:szCs w:val="22"/>
        </w:rPr>
        <w:t xml:space="preserve">One Referral Per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Joint Executive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Executive Council comprises the President's domain officers under §2.1.j and the PM's Cabinet ministers under §2.2.b meeting jointly as a standing cross-executive coordination body. The Council serves as the primary forum for matters that cross executive domains. Where a proposed executive action materially affects the domain of the other executive, the proposing executive notifies the Council before acting and presents the matter for coordinated discussion at the next session — absent a declared emergency under §2.8 or an immediate operational requirement under §2.1.a. The Council makes recommendations and coordinates positions; it does not exercise executive authority, and nothing in this section limits either executive's constitutional authority within their own domain. Both the President and PM must each attend at least one Council session per calendar quarter; for sessions an executive does not attend, their officers must provide a written brief to that executive within 48 hours of the session closing. Meeting frequency, agenda procedures, chairing arrangements, and all other operational parameters are defined by statute. A summary record of each session — covering agenda items and agreed positions — is published to the NRS within 14 days. The existence and general subject of each session may not be classified.</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House of Representatives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of Representatives is the proportional chamber of the Legislature — directly elected by citizens on the basis of population. All legislation originates in the House and the PM is elected and accountable to it. Both States and Territories send voting members to the House. Territorial members hold full voting rights on all House business, including legislation, confidence motions, and committee assignments. There are no second-class members of the House.</w:t>
      </w:r>
    </w:p>
    <w:p>
      <w:pPr>
        <w:spacing w:after="60" w:before="200"/>
        <w:ind w:left="431"/>
        <w:jc w:val="left"/>
      </w:pPr>
      <w:r>
        <w:rPr>
          <w:rFonts w:ascii="Courier New" w:cs="Courier New" w:eastAsia="Courier New" w:hAnsi="Courier New"/>
          <w:b/>
          <w:bCs/>
          <w:color w:val="1B2A4A"/>
          <w:sz w:val="18"/>
          <w:szCs w:val="18"/>
        </w:rPr>
        <w:t xml:space="preserve">§3.1.a  </w:t>
      </w:r>
      <w:r>
        <w:rPr>
          <w:rFonts w:ascii="Garamond" w:cs="Garamond" w:eastAsia="Garamond" w:hAnsi="Garamond"/>
          <w:b/>
          <w:bCs/>
          <w:i w:val="false"/>
          <w:iCs w:val="false"/>
          <w:color w:val="1B2A4A"/>
          <w:sz w:val="22"/>
          <w:szCs w:val="22"/>
        </w:rPr>
        <w:t xml:space="preserve">House Seat Allocation — Webster Method</w:t>
      </w:r>
    </w:p>
    <w:p>
      <w:pPr>
        <w:spacing w:after="120" w:before="0"/>
        <w:ind w:left="431"/>
        <w:jc w:val="both"/>
      </w:pPr>
      <w:r>
        <w:rPr>
          <w:rFonts w:ascii="Garamond" w:cs="Garamond" w:eastAsia="Garamond" w:hAnsi="Garamond"/>
          <w:b w:val="false"/>
          <w:bCs w:val="false"/>
          <w:i w:val="false"/>
          <w:iCs w:val="false"/>
          <w:color w:val="2a2520"/>
          <w:sz w:val="22"/>
          <w:szCs w:val="22"/>
        </w:rPr>
        <w:t xml:space="preserve">House seats are allocated by the Webster method: each State and Territory receives the number of seats nearest to its population divided by the Republic's standard constituency divisor, with a minimum of one seat per State or Territory regardless of population. The constituency divisor is set at 750,000 citizens per seat and may be adjusted by the Legislature by statute, provided no adjustment reduces any State or Territory below its one-seat minimum and no adjustment takes effect until the census following its enactment. The LI administers the allocation following each census and publishes the certified seat counts to the NRS within 30 days of census completion. No adjustment to the constituency divisor may be made in the 12 months preceding or during a census year.</w:t>
      </w:r>
    </w:p>
    <w:p>
      <w:pPr>
        <w:spacing w:after="60" w:before="200"/>
        <w:ind w:left="431"/>
        <w:jc w:val="left"/>
      </w:pPr>
      <w:r>
        <w:rPr>
          <w:rFonts w:ascii="Courier New" w:cs="Courier New" w:eastAsia="Courier New" w:hAnsi="Courier New"/>
          <w:b/>
          <w:bCs/>
          <w:color w:val="1B2A4A"/>
          <w:sz w:val="18"/>
          <w:szCs w:val="18"/>
        </w:rPr>
        <w:t xml:space="preserve">§3.1.b  </w:t>
      </w:r>
      <w:r>
        <w:rPr>
          <w:rFonts w:ascii="Garamond" w:cs="Garamond" w:eastAsia="Garamond" w:hAnsi="Garamond"/>
          <w:b/>
          <w:bCs/>
          <w:i w:val="false"/>
          <w:iCs w:val="false"/>
          <w:color w:val="1B2A4A"/>
          <w:sz w:val="22"/>
          <w:szCs w:val="22"/>
        </w:rPr>
        <w:t xml:space="preserve">Census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population census is conducted every ten years and whenever the Legislature requires reapportionment. The census is administered by a statutory independent agency established by the Legislature under §3.7. The Legislature defines census methodology by statute; methods may include mathematical models, statistical sampling, or administrative data integration where the Legislature determines these are more accurate or efficient than direct enumeration. The LI audits the census process and results for constitutional compliance and publishes its findings to the NRS within 30 days of census completion. Census results are published to the NRS within 90 days of completion and used as the basis for House seat allocation under §3.1.a.</w:t>
      </w:r>
    </w:p>
    <w:p>
      <w:pPr>
        <w:spacing w:after="60" w:before="200"/>
        <w:ind w:left="431"/>
        <w:jc w:val="left"/>
      </w:pPr>
      <w:r>
        <w:rPr>
          <w:rFonts w:ascii="Courier New" w:cs="Courier New" w:eastAsia="Courier New" w:hAnsi="Courier New"/>
          <w:b/>
          <w:bCs/>
          <w:color w:val="1B2A4A"/>
          <w:sz w:val="18"/>
          <w:szCs w:val="18"/>
        </w:rPr>
        <w:t xml:space="preserve">§3.1.c  </w:t>
      </w:r>
      <w:r>
        <w:rPr>
          <w:rFonts w:ascii="Garamond" w:cs="Garamond" w:eastAsia="Garamond" w:hAnsi="Garamond"/>
          <w:b/>
          <w:bCs/>
          <w:i w:val="false"/>
          <w:iCs w:val="false"/>
          <w:color w:val="1B2A4A"/>
          <w:sz w:val="22"/>
          <w:szCs w:val="22"/>
        </w:rPr>
        <w:t xml:space="preserve">Single-Subject Rule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431"/>
        <w:jc w:val="left"/>
      </w:pPr>
      <w:r>
        <w:rPr>
          <w:rFonts w:ascii="Courier New" w:cs="Courier New" w:eastAsia="Courier New" w:hAnsi="Courier New"/>
          <w:b/>
          <w:bCs/>
          <w:color w:val="1B2A4A"/>
          <w:sz w:val="18"/>
          <w:szCs w:val="18"/>
        </w:rPr>
        <w:t xml:space="preserve">§3.1.d  </w:t>
      </w:r>
      <w:r>
        <w:rPr>
          <w:rFonts w:ascii="Garamond" w:cs="Garamond" w:eastAsia="Garamond" w:hAnsi="Garamond"/>
          <w:b/>
          <w:bCs/>
          <w:i w:val="false"/>
          <w:iCs w:val="false"/>
          <w:color w:val="1B2A4A"/>
          <w:sz w:val="22"/>
          <w:szCs w:val="22"/>
        </w:rPr>
        <w:t xml:space="preserve">Bill Exposure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431"/>
        <w:jc w:val="left"/>
      </w:pPr>
      <w:r>
        <w:rPr>
          <w:rFonts w:ascii="Courier New" w:cs="Courier New" w:eastAsia="Courier New" w:hAnsi="Courier New"/>
          <w:b/>
          <w:bCs/>
          <w:color w:val="1B2A4A"/>
          <w:sz w:val="18"/>
          <w:szCs w:val="18"/>
        </w:rPr>
        <w:t xml:space="preserve">§3.1.e  </w:t>
      </w:r>
      <w:r>
        <w:rPr>
          <w:rFonts w:ascii="Garamond" w:cs="Garamond" w:eastAsia="Garamond" w:hAnsi="Garamond"/>
          <w:b/>
          <w:bCs/>
          <w:i w:val="false"/>
          <w:iCs w:val="false"/>
          <w:color w:val="1B2A4A"/>
          <w:sz w:val="22"/>
          <w:szCs w:val="22"/>
        </w:rPr>
        <w:t xml:space="preserve">Legislative Calendar and Session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431"/>
        <w:jc w:val="left"/>
      </w:pPr>
      <w:r>
        <w:rPr>
          <w:rFonts w:ascii="Courier New" w:cs="Courier New" w:eastAsia="Courier New" w:hAnsi="Courier New"/>
          <w:b/>
          <w:bCs/>
          <w:color w:val="1B2A4A"/>
          <w:sz w:val="18"/>
          <w:szCs w:val="18"/>
        </w:rPr>
        <w:t xml:space="preserve">§3.1.f  </w:t>
      </w:r>
      <w:r>
        <w:rPr>
          <w:rFonts w:ascii="Garamond" w:cs="Garamond" w:eastAsia="Garamond" w:hAnsi="Garamond"/>
          <w:b/>
          <w:bCs/>
          <w:i w:val="false"/>
          <w:iCs w:val="false"/>
          <w:color w:val="1B2A4A"/>
          <w:sz w:val="22"/>
          <w:szCs w:val="22"/>
        </w:rPr>
        <w:t xml:space="preserve">Legislative Compensation and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jc w:val="left"/>
      </w:pPr>
      <w:r>
        <w:rPr>
          <w:rFonts w:ascii="Courier New" w:cs="Courier New" w:eastAsia="Courier New" w:hAnsi="Courier New"/>
          <w:b/>
          <w:bCs/>
          <w:color w:val="1B2A4A"/>
          <w:sz w:val="18"/>
          <w:szCs w:val="18"/>
        </w:rPr>
        <w:t xml:space="preserve">§3.1.g  </w:t>
      </w:r>
      <w:r>
        <w:rPr>
          <w:rFonts w:ascii="Garamond" w:cs="Garamond" w:eastAsia="Garamond" w:hAnsi="Garamond"/>
          <w:b/>
          <w:bCs/>
          <w:i w:val="false"/>
          <w:iCs w:val="false"/>
          <w:color w:val="1B2A4A"/>
          <w:sz w:val="22"/>
          <w:szCs w:val="22"/>
        </w:rPr>
        <w:t xml:space="preserve">House Term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serve more than six consecutive 2-year terms in the House — a maximum of 12 consecutive years. After six consecutive terms, the member must sit out one full House electoral cycle (2 years) before standing again. After the cooling-off period, the member is again eligible with no further cumulative lifetime restriction. A partial term served following a mid-term vacancy counts as a full consecutive term.</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Senate — States as Constitutional Actors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6-year staggered terms. The Senate serves as the checking chamber: it must act on every House-passed bill within the Legislature-defined period, may amend within the bounds of germaneness, and holds exclusive authority over judicial confirmations and treaty ratification.</w:t>
      </w:r>
    </w:p>
    <w:p>
      <w:pPr>
        <w:spacing w:after="60" w:before="200"/>
        <w:ind w:left="431"/>
        <w:jc w:val="left"/>
      </w:pPr>
      <w:r>
        <w:rPr>
          <w:rFonts w:ascii="Courier New" w:cs="Courier New" w:eastAsia="Courier New" w:hAnsi="Courier New"/>
          <w:b/>
          <w:bCs/>
          <w:color w:val="1B2A4A"/>
          <w:sz w:val="18"/>
          <w:szCs w:val="18"/>
        </w:rPr>
        <w:t xml:space="preserve">§3.2.a  </w:t>
      </w:r>
      <w:r>
        <w:rPr>
          <w:rFonts w:ascii="Garamond" w:cs="Garamond" w:eastAsia="Garamond" w:hAnsi="Garamond"/>
          <w:b/>
          <w:bCs/>
          <w:i w:val="false"/>
          <w:iCs w:val="false"/>
          <w:color w:val="1B2A4A"/>
          <w:sz w:val="22"/>
          <w:szCs w:val="22"/>
        </w:rPr>
        <w:t xml:space="preserve">Senate Composition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Two senators per State regardless of population, elected by citizens of that State for 6-year staggered terms. No Senator may serve more than two consecutive terms (12 consecutive years). After two consecutive terms, a Senator must sit out one full term (6 years) before standing for Senate election again. After the cooling-off period, the Senator is again eligible with no further cumulative lifetime restriction.</w:t>
      </w:r>
    </w:p>
    <w:p>
      <w:pPr>
        <w:spacing w:after="60" w:before="200"/>
        <w:ind w:left="431"/>
        <w:jc w:val="left"/>
      </w:pPr>
      <w:r>
        <w:rPr>
          <w:rFonts w:ascii="Courier New" w:cs="Courier New" w:eastAsia="Courier New" w:hAnsi="Courier New"/>
          <w:b/>
          <w:bCs/>
          <w:color w:val="1B2A4A"/>
          <w:sz w:val="18"/>
          <w:szCs w:val="18"/>
        </w:rPr>
        <w:t xml:space="preserve">§3.2.b  </w:t>
      </w:r>
      <w:r>
        <w:rPr>
          <w:rFonts w:ascii="Garamond" w:cs="Garamond" w:eastAsia="Garamond" w:hAnsi="Garamond"/>
          <w:b/>
          <w:bCs/>
          <w:i w:val="false"/>
          <w:iCs w:val="false"/>
          <w:color w:val="1B2A4A"/>
          <w:sz w:val="22"/>
          <w:szCs w:val="22"/>
        </w:rPr>
        <w:t xml:space="preserve">Legislative Origination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All legislation must originate in the House. The Senate reviews, may amend within the bounds of germaneness, and may pass or decline — but may not initiate any bill. All revenue measures, appropriations, and debt ceiling changes must additionally originate in the House; the Senate may amend fiscal legislation but cannot initiate it.</w:t>
      </w:r>
    </w:p>
    <w:p>
      <w:pPr>
        <w:spacing w:after="60" w:before="200"/>
        <w:ind w:left="431"/>
        <w:jc w:val="left"/>
      </w:pPr>
      <w:r>
        <w:rPr>
          <w:rFonts w:ascii="Courier New" w:cs="Courier New" w:eastAsia="Courier New" w:hAnsi="Courier New"/>
          <w:b/>
          <w:bCs/>
          <w:color w:val="1B2A4A"/>
          <w:sz w:val="18"/>
          <w:szCs w:val="18"/>
        </w:rPr>
        <w:t xml:space="preserve">§3.2.c  </w:t>
      </w:r>
      <w:r>
        <w:rPr>
          <w:rFonts w:ascii="Garamond" w:cs="Garamond" w:eastAsia="Garamond" w:hAnsi="Garamond"/>
          <w:b/>
          <w:bCs/>
          <w:i w:val="false"/>
          <w:iCs w:val="false"/>
          <w:color w:val="1B2A4A"/>
          <w:sz w:val="22"/>
          <w:szCs w:val="22"/>
        </w:rPr>
        <w:t xml:space="preserve">Senate Must Act on Every House Bill</w:t>
      </w:r>
    </w:p>
    <w:p>
      <w:pPr>
        <w:spacing w:after="120" w:before="0"/>
        <w:ind w:left="431"/>
        <w:jc w:val="both"/>
      </w:pPr>
      <w:r>
        <w:rPr>
          <w:rFonts w:ascii="Garamond" w:cs="Garamond" w:eastAsia="Garamond" w:hAnsi="Garamond"/>
          <w:b w:val="false"/>
          <w:bCs w:val="false"/>
          <w:i w:val="false"/>
          <w:iCs w:val="false"/>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431"/>
        <w:jc w:val="left"/>
      </w:pPr>
      <w:r>
        <w:rPr>
          <w:rFonts w:ascii="Courier New" w:cs="Courier New" w:eastAsia="Courier New" w:hAnsi="Courier New"/>
          <w:b/>
          <w:bCs/>
          <w:color w:val="1B2A4A"/>
          <w:sz w:val="18"/>
          <w:szCs w:val="18"/>
        </w:rPr>
        <w:t xml:space="preserve">§3.2.d  </w:t>
      </w:r>
      <w:r>
        <w:rPr>
          <w:rFonts w:ascii="Garamond" w:cs="Garamond" w:eastAsia="Garamond" w:hAnsi="Garamond"/>
          <w:b/>
          <w:bCs/>
          <w:i w:val="false"/>
          <w:iCs w:val="false"/>
          <w:color w:val="1B2A4A"/>
          <w:sz w:val="22"/>
          <w:szCs w:val="22"/>
        </w:rPr>
        <w:t xml:space="preserve">Judicial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confirms all inferior court judicial appointments by a supermajority defined by statute. Failure to vote within the confirmation period triggers Deemed Confirmation at 180 days. Supreme Court justice confirmation is governed exclusively by §4.2.d, which sets an independent 2/3 threshold, no deemed confirmation, and its own time ceilings.</w:t>
      </w:r>
    </w:p>
    <w:p>
      <w:pPr>
        <w:spacing w:after="60" w:before="200"/>
        <w:ind w:left="431"/>
        <w:jc w:val="left"/>
      </w:pPr>
      <w:r>
        <w:rPr>
          <w:rFonts w:ascii="Courier New" w:cs="Courier New" w:eastAsia="Courier New" w:hAnsi="Courier New"/>
          <w:b/>
          <w:bCs/>
          <w:color w:val="1B2A4A"/>
          <w:sz w:val="18"/>
          <w:szCs w:val="18"/>
        </w:rPr>
        <w:t xml:space="preserve">§3.2.e  </w:t>
      </w:r>
      <w:r>
        <w:rPr>
          <w:rFonts w:ascii="Garamond" w:cs="Garamond" w:eastAsia="Garamond" w:hAnsi="Garamond"/>
          <w:b/>
          <w:bCs/>
          <w:i w:val="false"/>
          <w:iCs w:val="false"/>
          <w:color w:val="1B2A4A"/>
          <w:sz w:val="22"/>
          <w:szCs w:val="22"/>
        </w:rPr>
        <w:t xml:space="preserve">Treaty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ratification requires a 2/3 majority of the full seated Senate.</w:t>
      </w:r>
    </w:p>
    <w:p>
      <w:pPr>
        <w:spacing w:after="60" w:before="200"/>
        <w:ind w:left="431"/>
        <w:jc w:val="left"/>
      </w:pPr>
      <w:r>
        <w:rPr>
          <w:rFonts w:ascii="Courier New" w:cs="Courier New" w:eastAsia="Courier New" w:hAnsi="Courier New"/>
          <w:b/>
          <w:bCs/>
          <w:color w:val="1B2A4A"/>
          <w:sz w:val="18"/>
          <w:szCs w:val="18"/>
        </w:rPr>
        <w:t xml:space="preserve">§3.2.e.i  </w:t>
      </w:r>
      <w:r>
        <w:rPr>
          <w:rFonts w:ascii="Garamond" w:cs="Garamond" w:eastAsia="Garamond" w:hAnsi="Garamond"/>
          <w:b/>
          <w:bCs/>
          <w:i w:val="false"/>
          <w:iCs w:val="false"/>
          <w:color w:val="1B2A4A"/>
          <w:sz w:val="22"/>
          <w:szCs w:val="22"/>
        </w:rPr>
        <w:t xml:space="preserve">Treaty Domestic Application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431"/>
        <w:jc w:val="left"/>
      </w:pPr>
      <w:r>
        <w:rPr>
          <w:rFonts w:ascii="Courier New" w:cs="Courier New" w:eastAsia="Courier New" w:hAnsi="Courier New"/>
          <w:b/>
          <w:bCs/>
          <w:color w:val="1B2A4A"/>
          <w:sz w:val="18"/>
          <w:szCs w:val="18"/>
        </w:rPr>
        <w:t xml:space="preserve">§3.2.e.ii  </w:t>
      </w:r>
      <w:r>
        <w:rPr>
          <w:rFonts w:ascii="Garamond" w:cs="Garamond" w:eastAsia="Garamond" w:hAnsi="Garamond"/>
          <w:b/>
          <w:bCs/>
          <w:i w:val="false"/>
          <w:iCs w:val="false"/>
          <w:color w:val="1B2A4A"/>
          <w:sz w:val="22"/>
          <w:szCs w:val="22"/>
        </w:rPr>
        <w:t xml:space="preserve">Non-Disaggregable Treaties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431"/>
        <w:jc w:val="left"/>
      </w:pPr>
      <w:r>
        <w:rPr>
          <w:rFonts w:ascii="Courier New" w:cs="Courier New" w:eastAsia="Courier New" w:hAnsi="Courier New"/>
          <w:b/>
          <w:bCs/>
          <w:color w:val="1B2A4A"/>
          <w:sz w:val="18"/>
          <w:szCs w:val="18"/>
        </w:rPr>
        <w:t xml:space="preserve">§3.2.e.iii  </w:t>
      </w:r>
      <w:r>
        <w:rPr>
          <w:rFonts w:ascii="Garamond" w:cs="Garamond" w:eastAsia="Garamond" w:hAnsi="Garamond"/>
          <w:b/>
          <w:bCs/>
          <w:i w:val="false"/>
          <w:iCs w:val="false"/>
          <w:color w:val="1B2A4A"/>
          <w:sz w:val="22"/>
          <w:szCs w:val="22"/>
        </w:rPr>
        <w:t xml:space="preserve">Treaty Withdrawal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initiate withdrawal from any ratified treaty by publishing a formal notice of withdrawal to the NRS specifying the treaty, the effective withdrawal date (not less than 6 months from NRS publication), and the grounds. Withdrawal operates differently by treaty type: (a) General treaties — the Senate may block withdrawal by simple majority within the 6-month notice period; if the Senate does not vote to block, withdrawal takes effect automatically on the effective date; (b) Mutual defense treaties — the Senate must affirmatively confirm withdrawal by simple majority within the 6-month period; if the Senate does not confirm, the treaty remains in force; withdrawal from a mutual defense treaty may not be initiated while the Republic is engaged in active Tier 2 or Tier 3 operations under that treaty; (c) Indigenous treaties — no treaty with an indigenous nation recognized under Article XIV may be withdrawn or unilaterally modified; Article XIV governs. All withdrawal notices, blocking votes, confirmation votes, and withdrawal completion dates are published to the NRS as permanent records.</w:t>
      </w:r>
    </w:p>
    <w:p>
      <w:pPr>
        <w:spacing w:after="60" w:before="200"/>
        <w:ind w:left="431"/>
        <w:jc w:val="left"/>
      </w:pPr>
      <w:r>
        <w:rPr>
          <w:rFonts w:ascii="Courier New" w:cs="Courier New" w:eastAsia="Courier New" w:hAnsi="Courier New"/>
          <w:b/>
          <w:bCs/>
          <w:color w:val="1B2A4A"/>
          <w:sz w:val="18"/>
          <w:szCs w:val="18"/>
        </w:rPr>
        <w:t xml:space="preserve">§3.2.f  </w:t>
      </w:r>
      <w:r>
        <w:rPr>
          <w:rFonts w:ascii="Garamond" w:cs="Garamond" w:eastAsia="Garamond" w:hAnsi="Garamond"/>
          <w:b/>
          <w:bCs/>
          <w:i w:val="false"/>
          <w:iCs w:val="false"/>
          <w:color w:val="1B2A4A"/>
          <w:sz w:val="22"/>
          <w:szCs w:val="22"/>
        </w:rPr>
        <w:t xml:space="preserve">Senate Electoral Functions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administers the Presidential election in the absence of a functioning Elections Panel of the Digital Infrastructure Commission — as certified by the JI following a finding that the Elections Panel cannot administer a constitutionally valid election — presides over contested electoral proceedings, and certifies Presidential election results. A direct role in executive accountability that does not depend on the House.</w:t>
      </w:r>
    </w:p>
    <w:p>
      <w:pPr>
        <w:spacing w:after="60" w:before="200"/>
        <w:ind w:left="431"/>
        <w:jc w:val="left"/>
      </w:pPr>
      <w:r>
        <w:rPr>
          <w:rFonts w:ascii="Courier New" w:cs="Courier New" w:eastAsia="Courier New" w:hAnsi="Courier New"/>
          <w:b/>
          <w:bCs/>
          <w:color w:val="1B2A4A"/>
          <w:sz w:val="18"/>
          <w:szCs w:val="18"/>
        </w:rPr>
        <w:t xml:space="preserve">§3.2.g  </w:t>
      </w:r>
      <w:r>
        <w:rPr>
          <w:rFonts w:ascii="Garamond" w:cs="Garamond" w:eastAsia="Garamond" w:hAnsi="Garamond"/>
          <w:b/>
          <w:bCs/>
          <w:i w:val="false"/>
          <w:iCs w:val="false"/>
          <w:color w:val="1B2A4A"/>
          <w:sz w:val="22"/>
          <w:szCs w:val="22"/>
        </w:rPr>
        <w:t xml:space="preserve">Senate Internal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431"/>
        <w:jc w:val="left"/>
      </w:pPr>
      <w:r>
        <w:rPr>
          <w:rFonts w:ascii="Courier New" w:cs="Courier New" w:eastAsia="Courier New" w:hAnsi="Courier New"/>
          <w:b/>
          <w:bCs/>
          <w:color w:val="1B2A4A"/>
          <w:sz w:val="18"/>
          <w:szCs w:val="18"/>
        </w:rPr>
        <w:t xml:space="preserve">§3.2.h  </w:t>
      </w:r>
      <w:r>
        <w:rPr>
          <w:rFonts w:ascii="Garamond" w:cs="Garamond" w:eastAsia="Garamond" w:hAnsi="Garamond"/>
          <w:b/>
          <w:bCs/>
          <w:i w:val="false"/>
          <w:iCs w:val="false"/>
          <w:color w:val="1B2A4A"/>
          <w:sz w:val="22"/>
          <w:szCs w:val="22"/>
        </w:rPr>
        <w:t xml:space="preserve">Senate Committees</w:t>
      </w:r>
    </w:p>
    <w:p>
      <w:pPr>
        <w:spacing w:after="120" w:before="0"/>
        <w:ind w:left="431"/>
        <w:jc w:val="both"/>
      </w:pPr>
      <w:r>
        <w:rPr>
          <w:rFonts w:ascii="Garamond" w:cs="Garamond" w:eastAsia="Garamond" w:hAnsi="Garamond"/>
          <w:b w:val="false"/>
          <w:bCs w:val="false"/>
          <w:i w:val="false"/>
          <w:iCs w:val="false"/>
          <w:color w:val="2a2520"/>
          <w:sz w:val="22"/>
          <w:szCs w:val="22"/>
        </w:rPr>
        <w:t xml:space="preserve">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431"/>
        <w:jc w:val="left"/>
      </w:pPr>
      <w:r>
        <w:rPr>
          <w:rFonts w:ascii="Courier New" w:cs="Courier New" w:eastAsia="Courier New" w:hAnsi="Courier New"/>
          <w:b/>
          <w:bCs/>
          <w:color w:val="1B2A4A"/>
          <w:sz w:val="18"/>
          <w:szCs w:val="18"/>
        </w:rPr>
        <w:t xml:space="preserve">§3.2.i  </w:t>
      </w:r>
      <w:r>
        <w:rPr>
          <w:rFonts w:ascii="Garamond" w:cs="Garamond" w:eastAsia="Garamond" w:hAnsi="Garamond"/>
          <w:b/>
          <w:bCs/>
          <w:i w:val="false"/>
          <w:iCs w:val="false"/>
          <w:color w:val="1B2A4A"/>
          <w:sz w:val="22"/>
          <w:szCs w:val="22"/>
        </w:rPr>
        <w:t xml:space="preserve">Senate Amendment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w:t>
      </w:r>
    </w:p>
    <w:p>
      <w:pPr>
        <w:spacing w:after="60" w:before="200"/>
        <w:ind w:left="431"/>
        <w:jc w:val="left"/>
      </w:pPr>
      <w:r>
        <w:rPr>
          <w:rFonts w:ascii="Courier New" w:cs="Courier New" w:eastAsia="Courier New" w:hAnsi="Courier New"/>
          <w:b/>
          <w:bCs/>
          <w:color w:val="1B2A4A"/>
          <w:sz w:val="18"/>
          <w:szCs w:val="18"/>
        </w:rPr>
        <w:t xml:space="preserve">§3.2.j  </w:t>
      </w:r>
      <w:r>
        <w:rPr>
          <w:rFonts w:ascii="Garamond" w:cs="Garamond" w:eastAsia="Garamond" w:hAnsi="Garamond"/>
          <w:b/>
          <w:bCs/>
          <w:i w:val="false"/>
          <w:iCs w:val="false"/>
          <w:color w:val="1B2A4A"/>
          <w:sz w:val="22"/>
          <w:szCs w:val="22"/>
        </w:rPr>
        <w:t xml:space="preserve">Senate Speaker Role Limit</w:t>
      </w:r>
    </w:p>
    <w:p>
      <w:pPr>
        <w:spacing w:after="120" w:before="0"/>
        <w:ind w:left="431"/>
        <w:jc w:val="both"/>
      </w:pPr>
      <w:r>
        <w:rPr>
          <w:rFonts w:ascii="Garamond" w:cs="Garamond" w:eastAsia="Garamond" w:hAnsi="Garamond"/>
          <w:b w:val="false"/>
          <w:bCs w:val="false"/>
          <w:i w:val="false"/>
          <w:iCs w:val="false"/>
          <w:color w:val="2a2520"/>
          <w:sz w:val="22"/>
          <w:szCs w:val="22"/>
        </w:rPr>
        <w:t xml:space="preserve">No Senator may serve as Speaker for more than three consecutive sessions (6 years). After three consecutive sessions as Speaker, the Senator must sit out at least one full session as a non-Speaker Senator before standing for Speaker again. This limit applies to the Speaker role only and does not affect the Senator's ability to continue serving their State in their Senate seat.</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become law by absolute majority of the full seated membership of both chambers; higher thresholds apply as specified.</w:t>
      </w:r>
    </w:p>
    <w:p>
      <w:pPr>
        <w:spacing w:after="60" w:before="200"/>
        <w:ind w:left="431"/>
        <w:jc w:val="left"/>
      </w:pPr>
      <w:r>
        <w:rPr>
          <w:rFonts w:ascii="Courier New" w:cs="Courier New" w:eastAsia="Courier New" w:hAnsi="Courier New"/>
          <w:b/>
          <w:bCs/>
          <w:color w:val="1B2A4A"/>
          <w:sz w:val="18"/>
          <w:szCs w:val="18"/>
        </w:rPr>
        <w:t xml:space="preserve">§3.3.a  </w:t>
      </w:r>
      <w:r>
        <w:rPr>
          <w:rFonts w:ascii="Garamond" w:cs="Garamond" w:eastAsia="Garamond" w:hAnsi="Garamond"/>
          <w:b/>
          <w:bCs/>
          <w:i w:val="false"/>
          <w:iCs w:val="false"/>
          <w:color w:val="1B2A4A"/>
          <w:sz w:val="22"/>
          <w:szCs w:val="22"/>
        </w:rPr>
        <w:t xml:space="preserve">Standard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431"/>
        <w:jc w:val="left"/>
      </w:pPr>
      <w:r>
        <w:rPr>
          <w:rFonts w:ascii="Courier New" w:cs="Courier New" w:eastAsia="Courier New" w:hAnsi="Courier New"/>
          <w:b/>
          <w:bCs/>
          <w:color w:val="1B2A4A"/>
          <w:sz w:val="18"/>
          <w:szCs w:val="18"/>
        </w:rPr>
        <w:t xml:space="preserve">§3.3.b  </w:t>
      </w:r>
      <w:r>
        <w:rPr>
          <w:rFonts w:ascii="Garamond" w:cs="Garamond" w:eastAsia="Garamond" w:hAnsi="Garamond"/>
          <w:b/>
          <w:bCs/>
          <w:i w:val="false"/>
          <w:iCs w:val="false"/>
          <w:color w:val="1B2A4A"/>
          <w:sz w:val="22"/>
          <w:szCs w:val="22"/>
        </w:rPr>
        <w:t xml:space="preserve">Presidential Veto Override</w:t>
      </w:r>
    </w:p>
    <w:p>
      <w:pPr>
        <w:spacing w:after="120" w:before="0"/>
        <w:ind w:left="431"/>
        <w:jc w:val="both"/>
      </w:pPr>
      <w:r>
        <w:rPr>
          <w:rFonts w:ascii="Garamond" w:cs="Garamond" w:eastAsia="Garamond" w:hAnsi="Garamond"/>
          <w:b w:val="false"/>
          <w:bCs w:val="false"/>
          <w:i w:val="false"/>
          <w:iCs w:val="false"/>
          <w:color w:val="2a2520"/>
          <w:sz w:val="22"/>
          <w:szCs w:val="22"/>
        </w:rPr>
        <w:t xml:space="preserve">Requires 2/3 of both chambers simultaneously. The simultaneous requirement means both chambers must vote in the same session. The SC reviews the presidential veto under §2.1.f.i before any override vote may proceed.</w:t>
      </w:r>
    </w:p>
    <w:p>
      <w:pPr>
        <w:spacing w:after="60" w:before="200"/>
        <w:ind w:left="431"/>
        <w:jc w:val="left"/>
      </w:pPr>
      <w:r>
        <w:rPr>
          <w:rFonts w:ascii="Courier New" w:cs="Courier New" w:eastAsia="Courier New" w:hAnsi="Courier New"/>
          <w:b/>
          <w:bCs/>
          <w:color w:val="1B2A4A"/>
          <w:sz w:val="18"/>
          <w:szCs w:val="18"/>
        </w:rPr>
        <w:t xml:space="preserve">§3.3.c  </w:t>
      </w:r>
      <w:r>
        <w:rPr>
          <w:rFonts w:ascii="Garamond" w:cs="Garamond" w:eastAsia="Garamond" w:hAnsi="Garamond"/>
          <w:b/>
          <w:bCs/>
          <w:i w:val="false"/>
          <w:iCs w:val="false"/>
          <w:color w:val="1B2A4A"/>
          <w:sz w:val="22"/>
          <w:szCs w:val="22"/>
        </w:rPr>
        <w:t xml:space="preserve">Record System Entry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431"/>
        <w:jc w:val="left"/>
      </w:pPr>
      <w:r>
        <w:rPr>
          <w:rFonts w:ascii="Courier New" w:cs="Courier New" w:eastAsia="Courier New" w:hAnsi="Courier New"/>
          <w:b/>
          <w:bCs/>
          <w:color w:val="1B2A4A"/>
          <w:sz w:val="18"/>
          <w:szCs w:val="18"/>
        </w:rPr>
        <w:t xml:space="preserve">§3.3.d  </w:t>
      </w:r>
      <w:r>
        <w:rPr>
          <w:rFonts w:ascii="Garamond" w:cs="Garamond" w:eastAsia="Garamond" w:hAnsi="Garamond"/>
          <w:b/>
          <w:bCs/>
          <w:i w:val="false"/>
          <w:iCs w:val="false"/>
          <w:color w:val="1B2A4A"/>
          <w:sz w:val="22"/>
          <w:szCs w:val="22"/>
        </w:rPr>
        <w:t xml:space="preserve">Legislative Mandate Enforcement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House district maps following each census, subject to compliance review by the Legislative Inspectorate against the criteria established in §3.4.a. Where a State fails repeated review, the Elections Panel of the Digital Infrastructure Commission draws an interim compliant map under §3.4.b pending State compliance. A State may request drawing consulting from the Elections Panel at any point in the redistricting process; such consulting is advisory and does not transfer the State's map-drawing responsibility to the Elections Panel. Territorial district maps are drawn by the Elections Panel of the Digital Infrastructure Commission under §3.4.c, subject to the same §3.4.a criteria and LI compliance review. District maps are drawn after each census, every ten years. Emergency redistricting may occur if a State's population changes significantly between census cycles. A State may not redistrict more than once per census cycle without LI approval.</w:t>
      </w:r>
    </w:p>
    <w:p>
      <w:pPr>
        <w:spacing w:after="60" w:before="200"/>
        <w:ind w:left="431"/>
        <w:jc w:val="left"/>
      </w:pPr>
      <w:r>
        <w:rPr>
          <w:rFonts w:ascii="Courier New" w:cs="Courier New" w:eastAsia="Courier New" w:hAnsi="Courier New"/>
          <w:b/>
          <w:bCs/>
          <w:color w:val="1B2A4A"/>
          <w:sz w:val="18"/>
          <w:szCs w:val="18"/>
        </w:rPr>
        <w:t xml:space="preserve">§3.4.a  </w:t>
      </w:r>
      <w:r>
        <w:rPr>
          <w:rFonts w:ascii="Garamond" w:cs="Garamond" w:eastAsia="Garamond" w:hAnsi="Garamond"/>
          <w:b/>
          <w:bCs/>
          <w:i w:val="false"/>
          <w:iCs w:val="false"/>
          <w:color w:val="1B2A4A"/>
          <w:sz w:val="22"/>
          <w:szCs w:val="22"/>
        </w:rPr>
        <w:t xml:space="preserve">Criteria Hierarchy</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 district maps must meet five criteria: population equality within tolerance, geographic contiguity, compliance with §1.9 non-discrimination, no intentional dilution of minority voting power, and reasonable geographic compactness. States have discretion within these bounds — there is no single correct map. The following data may not be used at any stage of the district-drawing process: partisan registration data, voting history data, incumbent or candidate residence, and racial or ethnic composition as a primary consideration.</w:t>
      </w:r>
    </w:p>
    <w:p>
      <w:pPr>
        <w:spacing w:after="60" w:before="200"/>
        <w:ind w:left="431"/>
        <w:jc w:val="left"/>
      </w:pPr>
      <w:r>
        <w:rPr>
          <w:rFonts w:ascii="Courier New" w:cs="Courier New" w:eastAsia="Courier New" w:hAnsi="Courier New"/>
          <w:b/>
          <w:bCs/>
          <w:color w:val="1B2A4A"/>
          <w:sz w:val="18"/>
          <w:szCs w:val="18"/>
        </w:rPr>
        <w:t xml:space="preserve">§3.4.b  </w:t>
      </w:r>
      <w:r>
        <w:rPr>
          <w:rFonts w:ascii="Garamond" w:cs="Garamond" w:eastAsia="Garamond" w:hAnsi="Garamond"/>
          <w:b/>
          <w:bCs/>
          <w:i w:val="false"/>
          <w:iCs w:val="false"/>
          <w:color w:val="1B2A4A"/>
          <w:sz w:val="22"/>
          <w:szCs w:val="22"/>
        </w:rPr>
        <w:t xml:space="preserve">LI Redistricting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reviews all State-drawn district maps within 60 days of submission and publishes its compliance findings to the NRS. If a map fails the §3.4.a criteria, the LI publishes specific findings and the State must submit a corrected map within 30 days. If the corrected map still fails, the Elections Panel of the Digital Infrastructure Commission draws an interim compliant map using the §3.4.a criteria, which takes effect at the next election. The Elections Panel-drawn interim map is not permanent — it is retired automatically when the State submits and the LI certifies a compliant State-drawn map. Until then, elections proceed on the Elections Panel-drawn map. The LI cannot draw district maps; its role is compliance review only. The EC cannot impose a permanent map; its interim map creates an incentive for State compliance, not a substitute for it.</w:t>
      </w:r>
    </w:p>
    <w:p>
      <w:pPr>
        <w:spacing w:after="60" w:before="200"/>
        <w:ind w:left="431"/>
        <w:jc w:val="left"/>
      </w:pPr>
      <w:r>
        <w:rPr>
          <w:rFonts w:ascii="Courier New" w:cs="Courier New" w:eastAsia="Courier New" w:hAnsi="Courier New"/>
          <w:b/>
          <w:bCs/>
          <w:color w:val="1B2A4A"/>
          <w:sz w:val="18"/>
          <w:szCs w:val="18"/>
        </w:rPr>
        <w:t xml:space="preserve">§3.4.c  </w:t>
      </w:r>
      <w:r>
        <w:rPr>
          <w:rFonts w:ascii="Garamond" w:cs="Garamond" w:eastAsia="Garamond" w:hAnsi="Garamond"/>
          <w:b/>
          <w:bCs/>
          <w:i w:val="false"/>
          <w:iCs w:val="false"/>
          <w:color w:val="1B2A4A"/>
          <w:sz w:val="22"/>
          <w:szCs w:val="22"/>
        </w:rPr>
        <w:t xml:space="preserve">Territorial District Drawing</w:t>
      </w:r>
    </w:p>
    <w:p>
      <w:pPr>
        <w:spacing w:after="120" w:before="0"/>
        <w:ind w:left="431"/>
        <w:jc w:val="both"/>
      </w:pPr>
      <w:r>
        <w:rPr>
          <w:rFonts w:ascii="Garamond" w:cs="Garamond" w:eastAsia="Garamond" w:hAnsi="Garamond"/>
          <w:b w:val="false"/>
          <w:bCs w:val="false"/>
          <w:i w:val="false"/>
          <w:iCs w:val="false"/>
          <w:color w:val="2a2520"/>
          <w:sz w:val="22"/>
          <w:szCs w:val="22"/>
        </w:rPr>
        <w:t xml:space="preserve">For Territories holding one House seat, the Territory is a single at-large constituency — no district drawing is required and the Elections Panel administers the election directly through the NVS. For Territories holding two or more House seats, the Elections Panel of the Digital Infrastructure Commission draws district boundaries following each census using the criteria established in §3.4.a. The EC publishes a draft map to the NRS and opens a 60-day public comment period during which the Territory's governing council may submit formal written objections. The EC must respond in writing to each formal objection before publishing a final proposed map. The LI then reviews the final proposed map under §3.4.a standards and publishes its compliance findings to the NRS within 30 days. If the LI finds criteria violations, the Elections Panel must revise and republish within 30 days; the LI reviews the revision within 14 days. A map that passes LI review is certified and takes effect at the next general election. The EC administers all Territorial House elections through the NVS on the same schedule as State elections.</w:t>
      </w:r>
    </w:p>
    <w:p>
      <w:pPr>
        <w:spacing w:after="60" w:before="200"/>
        <w:ind w:left="431"/>
        <w:jc w:val="left"/>
      </w:pPr>
      <w:r>
        <w:rPr>
          <w:rFonts w:ascii="Courier New" w:cs="Courier New" w:eastAsia="Courier New" w:hAnsi="Courier New"/>
          <w:b/>
          <w:bCs/>
          <w:color w:val="1B2A4A"/>
          <w:sz w:val="18"/>
          <w:szCs w:val="18"/>
        </w:rPr>
        <w:t xml:space="preserve">§3.4.e  </w:t>
      </w:r>
      <w:r>
        <w:rPr>
          <w:rFonts w:ascii="Garamond" w:cs="Garamond" w:eastAsia="Garamond" w:hAnsi="Garamond"/>
          <w:b/>
          <w:bCs/>
          <w:i w:val="false"/>
          <w:iCs w:val="false"/>
          <w:color w:val="1B2A4A"/>
          <w:sz w:val="22"/>
          <w:szCs w:val="22"/>
        </w:rPr>
        <w:t xml:space="preserve">At-Large Seats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431"/>
        <w:jc w:val="left"/>
      </w:pPr>
      <w:r>
        <w:rPr>
          <w:rFonts w:ascii="Courier New" w:cs="Courier New" w:eastAsia="Courier New" w:hAnsi="Courier New"/>
          <w:b/>
          <w:bCs/>
          <w:color w:val="1B2A4A"/>
          <w:sz w:val="18"/>
          <w:szCs w:val="18"/>
        </w:rPr>
        <w:t xml:space="preserve">§3.4.f  </w:t>
      </w:r>
      <w:r>
        <w:rPr>
          <w:rFonts w:ascii="Garamond" w:cs="Garamond" w:eastAsia="Garamond" w:hAnsi="Garamond"/>
          <w:b/>
          <w:bCs/>
          <w:i w:val="false"/>
          <w:iCs w:val="false"/>
          <w:color w:val="1B2A4A"/>
          <w:sz w:val="22"/>
          <w:szCs w:val="22"/>
        </w:rPr>
        <w:t xml:space="preserve">District Vacancy</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House district seat falls vacant mid-term, the Elections Panel of the Digital Infrastructure Commission administers a special election within 90 days. The replacement serves only the remainder of the original term. If fewer than 90 days remain in the term, the vacancy is not filled.</w:t>
      </w:r>
    </w:p>
    <w:p>
      <w:pPr>
        <w:spacing w:after="60" w:before="200"/>
        <w:ind w:left="431"/>
        <w:jc w:val="left"/>
      </w:pPr>
      <w:r>
        <w:rPr>
          <w:rFonts w:ascii="Courier New" w:cs="Courier New" w:eastAsia="Courier New" w:hAnsi="Courier New"/>
          <w:b/>
          <w:bCs/>
          <w:color w:val="1B2A4A"/>
          <w:sz w:val="18"/>
          <w:szCs w:val="18"/>
        </w:rPr>
        <w:t xml:space="preserve">§3.4.g  </w:t>
      </w:r>
      <w:r>
        <w:rPr>
          <w:rFonts w:ascii="Garamond" w:cs="Garamond" w:eastAsia="Garamond" w:hAnsi="Garamond"/>
          <w:b/>
          <w:bCs/>
          <w:i w:val="false"/>
          <w:iCs w:val="false"/>
          <w:color w:val="1B2A4A"/>
          <w:sz w:val="22"/>
          <w:szCs w:val="22"/>
        </w:rPr>
        <w:t xml:space="preserve">Redistricting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jc w:val="left"/>
      </w:pPr>
      <w:r>
        <w:rPr>
          <w:rFonts w:ascii="Courier New" w:cs="Courier New" w:eastAsia="Courier New" w:hAnsi="Courier New"/>
          <w:b/>
          <w:bCs/>
          <w:color w:val="1B2A4A"/>
          <w:sz w:val="18"/>
          <w:szCs w:val="18"/>
        </w:rPr>
        <w:t xml:space="preserve">§3.4.h  </w:t>
      </w:r>
      <w:r>
        <w:rPr>
          <w:rFonts w:ascii="Garamond" w:cs="Garamond" w:eastAsia="Garamond" w:hAnsi="Garamond"/>
          <w:b/>
          <w:bCs/>
          <w:i w:val="false"/>
          <w:iCs w:val="false"/>
          <w:color w:val="1B2A4A"/>
          <w:sz w:val="22"/>
          <w:szCs w:val="22"/>
        </w:rPr>
        <w:t xml:space="preserve">Redistricting Challenge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House — Composition and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of Representatives is structured and administered as established in this section and §3.1.</w:t>
      </w:r>
    </w:p>
    <w:p>
      <w:pPr>
        <w:spacing w:after="60" w:before="200"/>
        <w:ind w:left="431"/>
        <w:jc w:val="left"/>
      </w:pPr>
      <w:r>
        <w:rPr>
          <w:rFonts w:ascii="Courier New" w:cs="Courier New" w:eastAsia="Courier New" w:hAnsi="Courier New"/>
          <w:b/>
          <w:bCs/>
          <w:color w:val="1B2A4A"/>
          <w:sz w:val="18"/>
          <w:szCs w:val="18"/>
        </w:rPr>
        <w:t xml:space="preserve">§3.5.a  </w:t>
      </w:r>
      <w:r>
        <w:rPr>
          <w:rFonts w:ascii="Garamond" w:cs="Garamond" w:eastAsia="Garamond" w:hAnsi="Garamond"/>
          <w:b/>
          <w:bCs/>
          <w:i w:val="false"/>
          <w:iCs w:val="false"/>
          <w:color w:val="1B2A4A"/>
          <w:sz w:val="22"/>
          <w:szCs w:val="22"/>
        </w:rPr>
        <w:t xml:space="preserve">House Membership Formula</w:t>
      </w:r>
    </w:p>
    <w:p>
      <w:pPr>
        <w:spacing w:after="120" w:before="0"/>
        <w:ind w:left="431"/>
        <w:jc w:val="both"/>
      </w:pPr>
      <w:r>
        <w:rPr>
          <w:rFonts w:ascii="Garamond" w:cs="Garamond" w:eastAsia="Garamond" w:hAnsi="Garamond"/>
          <w:b w:val="false"/>
          <w:bCs w:val="false"/>
          <w:i w:val="false"/>
          <w:iCs w:val="false"/>
          <w:color w:val="2a2520"/>
          <w:sz w:val="22"/>
          <w:szCs w:val="22"/>
        </w:rPr>
        <w:t xml:space="preserve">Seat allocation follows the Webster method defined in §3.1.a. Where a reapportionment event creates or eliminates seats, the EC coordinates with affected States on district boundary adjustments before the next general election. The LI resolves any dispute between States about seat allocation methodology.</w:t>
      </w:r>
    </w:p>
    <w:p>
      <w:pPr>
        <w:spacing w:after="60" w:before="200"/>
        <w:ind w:left="431"/>
        <w:jc w:val="left"/>
      </w:pPr>
      <w:r>
        <w:rPr>
          <w:rFonts w:ascii="Courier New" w:cs="Courier New" w:eastAsia="Courier New" w:hAnsi="Courier New"/>
          <w:b/>
          <w:bCs/>
          <w:color w:val="1B2A4A"/>
          <w:sz w:val="18"/>
          <w:szCs w:val="18"/>
        </w:rPr>
        <w:t xml:space="preserve">§3.5.b  </w:t>
      </w:r>
      <w:r>
        <w:rPr>
          <w:rFonts w:ascii="Garamond" w:cs="Garamond" w:eastAsia="Garamond" w:hAnsi="Garamond"/>
          <w:b/>
          <w:bCs/>
          <w:i w:val="false"/>
          <w:iCs w:val="false"/>
          <w:color w:val="1B2A4A"/>
          <w:sz w:val="22"/>
          <w:szCs w:val="22"/>
        </w:rPr>
        <w:t xml:space="preserve">House Speaker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Speaker is elected by the House from among its members by absolute majority. The Speaker presides over House proceedings, manages the legislative calendar, and maintains the impartiality of the chair on all House business. The Speaker does not hold a position in the presidential succession line, which runs through the Senate under §2.6.a.</w:t>
      </w:r>
    </w:p>
    <w:p>
      <w:pPr>
        <w:spacing w:after="60" w:before="200"/>
        <w:ind w:left="431"/>
        <w:jc w:val="left"/>
      </w:pPr>
      <w:r>
        <w:rPr>
          <w:rFonts w:ascii="Courier New" w:cs="Courier New" w:eastAsia="Courier New" w:hAnsi="Courier New"/>
          <w:b/>
          <w:bCs/>
          <w:color w:val="1B2A4A"/>
          <w:sz w:val="18"/>
          <w:szCs w:val="18"/>
        </w:rPr>
        <w:t xml:space="preserve">§3.5.d  </w:t>
      </w:r>
      <w:r>
        <w:rPr>
          <w:rFonts w:ascii="Garamond" w:cs="Garamond" w:eastAsia="Garamond" w:hAnsi="Garamond"/>
          <w:b/>
          <w:bCs/>
          <w:i w:val="false"/>
          <w:iCs w:val="false"/>
          <w:color w:val="1B2A4A"/>
          <w:sz w:val="22"/>
          <w:szCs w:val="22"/>
        </w:rPr>
        <w:t xml:space="preserve">House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Legislative Oversight and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operates under continuous Inspectorate oversight — the Inspectorates publish findings but do not direct legislative outcomes.</w:t>
      </w:r>
    </w:p>
    <w:p>
      <w:pPr>
        <w:spacing w:after="60" w:before="200"/>
        <w:ind w:left="431"/>
        <w:jc w:val="left"/>
      </w:pPr>
      <w:r>
        <w:rPr>
          <w:rFonts w:ascii="Courier New" w:cs="Courier New" w:eastAsia="Courier New" w:hAnsi="Courier New"/>
          <w:b/>
          <w:bCs/>
          <w:color w:val="1B2A4A"/>
          <w:sz w:val="18"/>
          <w:szCs w:val="18"/>
        </w:rPr>
        <w:t xml:space="preserve">§3.6.a  </w:t>
      </w:r>
      <w:r>
        <w:rPr>
          <w:rFonts w:ascii="Garamond" w:cs="Garamond" w:eastAsia="Garamond" w:hAnsi="Garamond"/>
          <w:b/>
          <w:bCs/>
          <w:i w:val="false"/>
          <w:iCs w:val="false"/>
          <w:color w:val="1B2A4A"/>
          <w:sz w:val="22"/>
          <w:szCs w:val="22"/>
        </w:rPr>
        <w:t xml:space="preserve">Inspectorate Access to Legislative Records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Inspectorates have full access to legislative records, committee deliberations, voting records, and draft legislation. The Legislature may not classify records from the Inspectorates.</w:t>
      </w:r>
    </w:p>
    <w:p>
      <w:pPr>
        <w:spacing w:after="60" w:before="200"/>
        <w:ind w:left="431"/>
        <w:jc w:val="left"/>
      </w:pPr>
      <w:r>
        <w:rPr>
          <w:rFonts w:ascii="Courier New" w:cs="Courier New" w:eastAsia="Courier New" w:hAnsi="Courier New"/>
          <w:b/>
          <w:bCs/>
          <w:color w:val="1B2A4A"/>
          <w:sz w:val="18"/>
          <w:szCs w:val="18"/>
        </w:rPr>
        <w:t xml:space="preserve">§3.6.b  </w:t>
      </w:r>
      <w:r>
        <w:rPr>
          <w:rFonts w:ascii="Garamond" w:cs="Garamond" w:eastAsia="Garamond" w:hAnsi="Garamond"/>
          <w:b/>
          <w:bCs/>
          <w:i w:val="false"/>
          <w:iCs w:val="false"/>
          <w:color w:val="1B2A4A"/>
          <w:sz w:val="22"/>
          <w:szCs w:val="22"/>
        </w:rPr>
        <w:t xml:space="preserve">LI Pre-Passage Constitutional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publishes a constitutional compliance analysis of any enacted law during the legislative review period under §2.4 and §2.5, enabling citizens and legislators to assess constitutional implications before the law takes full effect. The LI may also publish a compliance analysis of any bill at any stage of the legislative process on written request from any member of either chamber; such analysis is advisory and creates no obligation on any member to act upon it. The LI does not initiate constitutional review of pending legislation on its own motion — pre-enactment review is triggered by member request only. All compliance analyses are published to the NRS.</w:t>
      </w:r>
    </w:p>
    <w:p>
      <w:pPr>
        <w:spacing w:after="60" w:before="200"/>
        <w:ind w:left="431"/>
        <w:jc w:val="left"/>
      </w:pPr>
      <w:r>
        <w:rPr>
          <w:rFonts w:ascii="Courier New" w:cs="Courier New" w:eastAsia="Courier New" w:hAnsi="Courier New"/>
          <w:b/>
          <w:bCs/>
          <w:color w:val="1B2A4A"/>
          <w:sz w:val="18"/>
          <w:szCs w:val="18"/>
        </w:rPr>
        <w:t xml:space="preserve">§3.6.c  </w:t>
      </w:r>
      <w:r>
        <w:rPr>
          <w:rFonts w:ascii="Garamond" w:cs="Garamond" w:eastAsia="Garamond" w:hAnsi="Garamond"/>
          <w:b/>
          <w:bCs/>
          <w:i w:val="false"/>
          <w:iCs w:val="false"/>
          <w:color w:val="1B2A4A"/>
          <w:sz w:val="22"/>
          <w:szCs w:val="22"/>
        </w:rPr>
        <w:t xml:space="preserve">Committee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chambers must maintain standing committees for their constitutionally assigned functions. Committees may not be abolished while they hold a constitutional mandate. The LI audits committee operations annually.</w:t>
      </w:r>
    </w:p>
    <w:p>
      <w:pPr>
        <w:spacing w:after="60" w:before="200"/>
        <w:ind w:left="431"/>
        <w:jc w:val="left"/>
      </w:pPr>
      <w:r>
        <w:rPr>
          <w:rFonts w:ascii="Courier New" w:cs="Courier New" w:eastAsia="Courier New" w:hAnsi="Courier New"/>
          <w:b/>
          <w:bCs/>
          <w:color w:val="1B2A4A"/>
          <w:sz w:val="18"/>
          <w:szCs w:val="18"/>
        </w:rPr>
        <w:t xml:space="preserve">§3.6.d  </w:t>
      </w:r>
      <w:r>
        <w:rPr>
          <w:rFonts w:ascii="Garamond" w:cs="Garamond" w:eastAsia="Garamond" w:hAnsi="Garamond"/>
          <w:b/>
          <w:bCs/>
          <w:i w:val="false"/>
          <w:iCs w:val="false"/>
          <w:color w:val="1B2A4A"/>
          <w:sz w:val="22"/>
          <w:szCs w:val="22"/>
        </w:rPr>
        <w:t xml:space="preserve">Joint Sessions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431"/>
        <w:jc w:val="left"/>
      </w:pPr>
      <w:r>
        <w:rPr>
          <w:rFonts w:ascii="Courier New" w:cs="Courier New" w:eastAsia="Courier New" w:hAnsi="Courier New"/>
          <w:b/>
          <w:bCs/>
          <w:color w:val="1B2A4A"/>
          <w:sz w:val="18"/>
          <w:szCs w:val="18"/>
        </w:rPr>
        <w:t xml:space="preserve">§3.6.e  </w:t>
      </w:r>
      <w:r>
        <w:rPr>
          <w:rFonts w:ascii="Garamond" w:cs="Garamond" w:eastAsia="Garamond" w:hAnsi="Garamond"/>
          <w:b/>
          <w:bCs/>
          <w:i w:val="false"/>
          <w:iCs w:val="false"/>
          <w:color w:val="1B2A4A"/>
          <w:sz w:val="22"/>
          <w:szCs w:val="22"/>
        </w:rPr>
        <w:t xml:space="preserve">Legislative Ethics and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431"/>
        <w:jc w:val="left"/>
      </w:pPr>
      <w:r>
        <w:rPr>
          <w:rFonts w:ascii="Courier New" w:cs="Courier New" w:eastAsia="Courier New" w:hAnsi="Courier New"/>
          <w:b/>
          <w:bCs/>
          <w:color w:val="1B2A4A"/>
          <w:sz w:val="18"/>
          <w:szCs w:val="18"/>
        </w:rPr>
        <w:t xml:space="preserve">§3.6.f  </w:t>
      </w:r>
      <w:r>
        <w:rPr>
          <w:rFonts w:ascii="Garamond" w:cs="Garamond" w:eastAsia="Garamond" w:hAnsi="Garamond"/>
          <w:b/>
          <w:bCs/>
          <w:i w:val="false"/>
          <w:iCs w:val="false"/>
          <w:color w:val="1B2A4A"/>
          <w:sz w:val="22"/>
          <w:szCs w:val="22"/>
        </w:rPr>
        <w:t xml:space="preserve">Legislative Privilege</w:t>
      </w:r>
    </w:p>
    <w:p>
      <w:pPr>
        <w:spacing w:after="120" w:before="0"/>
        <w:ind w:left="431"/>
        <w:jc w:val="both"/>
      </w:pPr>
      <w:r>
        <w:rPr>
          <w:rFonts w:ascii="Garamond" w:cs="Garamond" w:eastAsia="Garamond" w:hAnsi="Garamond"/>
          <w:b w:val="false"/>
          <w:bCs w:val="false"/>
          <w:i w:val="false"/>
          <w:iCs w:val="false"/>
          <w:color w:val="2a2520"/>
          <w:sz w:val="22"/>
          <w:szCs w:val="22"/>
        </w:rPr>
        <w:t xml:space="preserve">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Independent Statutory Officers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authorizes a class of statutory officers who operate independently of both executives. Their independence is structural — fixed terms, appointment from a JI-maintained registry, and removal only on the grounds specified in enabling statute.</w:t>
      </w:r>
    </w:p>
    <w:p>
      <w:pPr>
        <w:spacing w:after="60" w:before="200"/>
        <w:ind w:left="431"/>
        <w:jc w:val="left"/>
      </w:pPr>
      <w:r>
        <w:rPr>
          <w:rFonts w:ascii="Courier New" w:cs="Courier New" w:eastAsia="Courier New" w:hAnsi="Courier New"/>
          <w:b/>
          <w:bCs/>
          <w:color w:val="1B2A4A"/>
          <w:sz w:val="18"/>
          <w:szCs w:val="18"/>
        </w:rPr>
        <w:t xml:space="preserve">§3.7.a  </w:t>
      </w:r>
      <w:r>
        <w:rPr>
          <w:rFonts w:ascii="Garamond" w:cs="Garamond" w:eastAsia="Garamond" w:hAnsi="Garamond"/>
          <w:b/>
          <w:bCs/>
          <w:i w:val="false"/>
          <w:iCs w:val="false"/>
          <w:color w:val="1B2A4A"/>
          <w:sz w:val="22"/>
          <w:szCs w:val="22"/>
        </w:rPr>
        <w:t xml:space="preserve">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create independent statutory offices outside both executive domains. They exercise regulatory, quasi-judicial, or administrative functions with constitutional independence — neither executive may direct their operations. Where this Constitution assigns a specific function to a statutory independent agency, the Legislature shall establish the relevant agency; any enabling statute must meet the standards of this section and specify the establishment timeframe. An assigned function for which no agency has been established may be administered on an interim basis by the responsible Inspectorate until the agency is established.</w:t>
      </w:r>
    </w:p>
    <w:p>
      <w:pPr>
        <w:spacing w:after="60" w:before="200"/>
        <w:ind w:left="431"/>
        <w:jc w:val="left"/>
      </w:pPr>
      <w:r>
        <w:rPr>
          <w:rFonts w:ascii="Courier New" w:cs="Courier New" w:eastAsia="Courier New" w:hAnsi="Courier New"/>
          <w:b/>
          <w:bCs/>
          <w:color w:val="1B2A4A"/>
          <w:sz w:val="18"/>
          <w:szCs w:val="18"/>
        </w:rPr>
        <w:t xml:space="preserve">§3.7.b  </w:t>
      </w:r>
      <w:r>
        <w:rPr>
          <w:rFonts w:ascii="Garamond" w:cs="Garamond" w:eastAsia="Garamond" w:hAnsi="Garamond"/>
          <w:b/>
          <w:bCs/>
          <w:i w:val="false"/>
          <w:iCs w:val="false"/>
          <w:color w:val="1B2A4A"/>
          <w:sz w:val="22"/>
          <w:szCs w:val="22"/>
        </w:rPr>
        <w:t xml:space="preserve">Appointment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431"/>
        <w:jc w:val="left"/>
      </w:pPr>
      <w:r>
        <w:rPr>
          <w:rFonts w:ascii="Courier New" w:cs="Courier New" w:eastAsia="Courier New" w:hAnsi="Courier New"/>
          <w:b/>
          <w:bCs/>
          <w:color w:val="1B2A4A"/>
          <w:sz w:val="18"/>
          <w:szCs w:val="18"/>
        </w:rPr>
        <w:t xml:space="preserve">§3.7.c  </w:t>
      </w:r>
      <w:r>
        <w:rPr>
          <w:rFonts w:ascii="Garamond" w:cs="Garamond" w:eastAsia="Garamond" w:hAnsi="Garamond"/>
          <w:b/>
          <w:bCs/>
          <w:i w:val="false"/>
          <w:iCs w:val="false"/>
          <w:color w:val="1B2A4A"/>
          <w:sz w:val="22"/>
          <w:szCs w:val="22"/>
        </w:rPr>
        <w:t xml:space="preserve">Senate Confirmation of Independent Officers</w:t>
      </w:r>
    </w:p>
    <w:p>
      <w:pPr>
        <w:spacing w:after="120" w:before="0"/>
        <w:ind w:left="431"/>
        <w:jc w:val="both"/>
      </w:pPr>
      <w:r>
        <w:rPr>
          <w:rFonts w:ascii="Garamond" w:cs="Garamond" w:eastAsia="Garamond" w:hAnsi="Garamond"/>
          <w:b w:val="false"/>
          <w:bCs w:val="false"/>
          <w:i w:val="false"/>
          <w:iCs w:val="false"/>
          <w:color w:val="2a2520"/>
          <w:sz w:val="22"/>
          <w:szCs w:val="22"/>
        </w:rPr>
        <w:t xml:space="preserve">Confirmed by the Senate. Thresholds defined by the enabling statute within constitutional bounds. The Senate may not confirm an officer the EI has flagged for a material disclosure inaccuracy until the discrepancy is resolved.</w:t>
      </w:r>
    </w:p>
    <w:p>
      <w:pPr>
        <w:spacing w:after="60" w:before="200"/>
        <w:ind w:left="431"/>
        <w:jc w:val="left"/>
      </w:pPr>
      <w:r>
        <w:rPr>
          <w:rFonts w:ascii="Courier New" w:cs="Courier New" w:eastAsia="Courier New" w:hAnsi="Courier New"/>
          <w:b/>
          <w:bCs/>
          <w:color w:val="1B2A4A"/>
          <w:sz w:val="18"/>
          <w:szCs w:val="18"/>
        </w:rPr>
        <w:t xml:space="preserve">§3.7.d  </w:t>
      </w:r>
      <w:r>
        <w:rPr>
          <w:rFonts w:ascii="Garamond" w:cs="Garamond" w:eastAsia="Garamond" w:hAnsi="Garamond"/>
          <w:b/>
          <w:bCs/>
          <w:i w:val="false"/>
          <w:iCs w:val="false"/>
          <w:color w:val="1B2A4A"/>
          <w:sz w:val="22"/>
          <w:szCs w:val="22"/>
        </w:rPr>
        <w:t xml:space="preserve">Removal of Independent Officers</w:t>
      </w:r>
    </w:p>
    <w:p>
      <w:pPr>
        <w:spacing w:after="120" w:before="0"/>
        <w:ind w:left="431"/>
        <w:jc w:val="both"/>
      </w:pPr>
      <w:r>
        <w:rPr>
          <w:rFonts w:ascii="Garamond" w:cs="Garamond" w:eastAsia="Garamond" w:hAnsi="Garamond"/>
          <w:b w:val="false"/>
          <w:bCs w:val="false"/>
          <w:i w:val="false"/>
          <w:iCs w:val="false"/>
          <w:color w:val="2a2520"/>
          <w:sz w:val="22"/>
          <w:szCs w:val="22"/>
        </w:rPr>
        <w:t xml:space="preserve">Removal requires a for-cause finding. The JI must publish a factual finding before any removal vote. The EI may certify the breach that triggers the proceeding, but the JI — which has no oversight relationship with the officer being removed — makes the independent factual finding for the removal proceeding itself. Removal is by 2/3 of both chambers simultaneously. Neither executive may remove a statutory independent officer unilaterally.</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may initiate impeachment proceedings against officers appointed to and serving in the President's executive domain, and against inferior court judges. The President is not subject to this section — presidential removal is governed exclusively by §2.10. The Prime Minister is not subject to this section — PM removal is governed exclusively by §2.3.a. Supreme Court justices are not subject to this section — SC removal is governed exclusively by §4.1.d. Legislative members are not subject to this section — their removal is governed exclusively by §3.6.</w:t>
      </w:r>
    </w:p>
    <w:p>
      <w:pPr>
        <w:spacing w:after="60" w:before="200"/>
        <w:ind w:left="431"/>
        <w:jc w:val="left"/>
      </w:pPr>
      <w:r>
        <w:rPr>
          <w:rFonts w:ascii="Courier New" w:cs="Courier New" w:eastAsia="Courier New" w:hAnsi="Courier New"/>
          <w:b/>
          <w:bCs/>
          <w:color w:val="1B2A4A"/>
          <w:sz w:val="18"/>
          <w:szCs w:val="18"/>
        </w:rPr>
        <w:t xml:space="preserve">§3.8.a  </w:t>
      </w:r>
      <w:r>
        <w:rPr>
          <w:rFonts w:ascii="Garamond" w:cs="Garamond" w:eastAsia="Garamond" w:hAnsi="Garamond"/>
          <w:b/>
          <w:bCs/>
          <w:i w:val="false"/>
          <w:iCs w:val="false"/>
          <w:color w:val="1B2A4A"/>
          <w:sz w:val="22"/>
          <w:szCs w:val="22"/>
        </w:rPr>
        <w:t xml:space="preserve">Impeachment Inquiry</w:t>
      </w:r>
    </w:p>
    <w:p>
      <w:pPr>
        <w:spacing w:after="120" w:before="0"/>
        <w:ind w:left="431"/>
        <w:jc w:val="both"/>
      </w:pPr>
      <w:r>
        <w:rPr>
          <w:rFonts w:ascii="Garamond" w:cs="Garamond" w:eastAsia="Garamond" w:hAnsi="Garamond"/>
          <w:b w:val="false"/>
          <w:bCs w:val="false"/>
          <w:i w:val="false"/>
          <w:iCs w:val="false"/>
          <w:color w:val="2a2520"/>
          <w:sz w:val="22"/>
          <w:szCs w:val="22"/>
        </w:rPr>
        <w:t xml:space="preserve">Any 1/3 minority of the House may open a formal impeachment inquiry. The inquiry is conducted by a House committee with findings published to the NRS. An inquiry carries no immediate consequences for the subject official. Inquiries lapse 120 days after opening if no Articles of Impeachment are filed.</w:t>
      </w:r>
    </w:p>
    <w:p>
      <w:pPr>
        <w:spacing w:after="60" w:before="200"/>
        <w:ind w:left="431"/>
        <w:jc w:val="left"/>
      </w:pPr>
      <w:r>
        <w:rPr>
          <w:rFonts w:ascii="Courier New" w:cs="Courier New" w:eastAsia="Courier New" w:hAnsi="Courier New"/>
          <w:b/>
          <w:bCs/>
          <w:color w:val="1B2A4A"/>
          <w:sz w:val="18"/>
          <w:szCs w:val="18"/>
        </w:rPr>
        <w:t xml:space="preserve">§3.8.b  </w:t>
      </w:r>
      <w:r>
        <w:rPr>
          <w:rFonts w:ascii="Garamond" w:cs="Garamond" w:eastAsia="Garamond" w:hAnsi="Garamond"/>
          <w:b/>
          <w:bCs/>
          <w:i w:val="false"/>
          <w:iCs w:val="false"/>
          <w:color w:val="1B2A4A"/>
          <w:sz w:val="22"/>
          <w:szCs w:val="22"/>
        </w:rPr>
        <w:t xml:space="preserve">Articles of 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full House votes on Articles of Impeachment by absolute majority of full seated membership. Passage transmits the Articles immediately to the Senate and publishes them permanently to the NRS. The Articles must state specific grounds in plain language. The subject official continues in office pending the Senate trial. Impeachment proceedings and Inspectorate findings proceed concurrently on independent tracks; the more restrictive consequence applies where both converge.</w:t>
      </w:r>
    </w:p>
    <w:p>
      <w:pPr>
        <w:spacing w:after="60" w:before="200"/>
        <w:ind w:left="431"/>
        <w:jc w:val="left"/>
      </w:pPr>
      <w:r>
        <w:rPr>
          <w:rFonts w:ascii="Courier New" w:cs="Courier New" w:eastAsia="Courier New" w:hAnsi="Courier New"/>
          <w:b/>
          <w:bCs/>
          <w:color w:val="1B2A4A"/>
          <w:sz w:val="18"/>
          <w:szCs w:val="18"/>
        </w:rPr>
        <w:t xml:space="preserve">§3.8.c  </w:t>
      </w:r>
      <w:r>
        <w:rPr>
          <w:rFonts w:ascii="Garamond" w:cs="Garamond" w:eastAsia="Garamond" w:hAnsi="Garamond"/>
          <w:b/>
          <w:bCs/>
          <w:i w:val="false"/>
          <w:iCs w:val="false"/>
          <w:color w:val="1B2A4A"/>
          <w:sz w:val="22"/>
          <w:szCs w:val="22"/>
        </w:rPr>
        <w:t xml:space="preserve">Senate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presides over Senate impeachment trials without voting on the final removal question. Where the President is the subject of proceedings under §2.10, the most senior available Supreme Court justice presides under the same conditions. The trial is conducted in public and recorded on the NRS. Conviction and removal requires 2/3 of the full seated Senate membership. On conviction: removal is automatic and immediate; the Senate may additionally bar the convicted official from future federal office by simple majority vote; all criminal liability remains separately pursuable. Acquittal is final — no further impeachment proceedings on the same Articles and the same conduct may be initiated. An acquitted or convicted official retains all Article I rights.</w:t>
      </w:r>
    </w:p>
    <w:p>
      <w:pPr>
        <w:spacing w:after="60" w:before="200"/>
        <w:ind w:left="431"/>
        <w:jc w:val="left"/>
      </w:pPr>
      <w:r>
        <w:rPr>
          <w:rFonts w:ascii="Courier New" w:cs="Courier New" w:eastAsia="Courier New" w:hAnsi="Courier New"/>
          <w:b/>
          <w:bCs/>
          <w:color w:val="1B2A4A"/>
          <w:sz w:val="18"/>
          <w:szCs w:val="18"/>
        </w:rPr>
        <w:t xml:space="preserve">§3.8.d  </w:t>
      </w:r>
      <w:r>
        <w:rPr>
          <w:rFonts w:ascii="Garamond" w:cs="Garamond" w:eastAsia="Garamond" w:hAnsi="Garamond"/>
          <w:b/>
          <w:bCs/>
          <w:i w:val="false"/>
          <w:iCs w:val="false"/>
          <w:color w:val="1B2A4A"/>
          <w:sz w:val="22"/>
          <w:szCs w:val="22"/>
        </w:rPr>
        <w:t xml:space="preserve">Executive Continuity During 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Impeachment of an officer within the President's executive domain activates the relevant succession protocols for that officer's functions from the date the House passes Articles, pending the Senate trial's conclusion. The impeached official retains personal Article I rights but is relieved of executive authority pending the Senate trial.</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(fact-finding and evidence), Appellate Courts (rules compliance), and the Supreme Court (final constitutional authority). States may maintain specialized court structures by statute, provided any constitutional question arising in any proceeding may be referred to the Supreme Court by any party or by the presiding court of its own motion.</w:t>
      </w:r>
    </w:p>
    <w:p>
      <w:pPr>
        <w:spacing w:after="60" w:before="200"/>
        <w:ind w:left="431"/>
        <w:jc w:val="left"/>
      </w:pPr>
      <w:r>
        <w:rPr>
          <w:rFonts w:ascii="Courier New" w:cs="Courier New" w:eastAsia="Courier New" w:hAnsi="Courier New"/>
          <w:b/>
          <w:bCs/>
          <w:color w:val="1B2A4A"/>
          <w:sz w:val="18"/>
          <w:szCs w:val="18"/>
        </w:rPr>
        <w:t xml:space="preserve">§4.1.a  </w:t>
      </w:r>
      <w:r>
        <w:rPr>
          <w:rFonts w:ascii="Garamond" w:cs="Garamond" w:eastAsia="Garamond" w:hAnsi="Garamond"/>
          <w:b/>
          <w:bCs/>
          <w:i w:val="false"/>
          <w:iCs w:val="false"/>
          <w:color w:val="1B2A4A"/>
          <w:sz w:val="22"/>
          <w:szCs w:val="22"/>
        </w:rPr>
        <w:t xml:space="preserve">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431"/>
        <w:jc w:val="left"/>
      </w:pPr>
      <w:r>
        <w:rPr>
          <w:rFonts w:ascii="Courier New" w:cs="Courier New" w:eastAsia="Courier New" w:hAnsi="Courier New"/>
          <w:b/>
          <w:bCs/>
          <w:color w:val="1B2A4A"/>
          <w:sz w:val="18"/>
          <w:szCs w:val="18"/>
        </w:rPr>
        <w:t xml:space="preserve">§4.1.b  </w:t>
      </w:r>
      <w:r>
        <w:rPr>
          <w:rFonts w:ascii="Garamond" w:cs="Garamond" w:eastAsia="Garamond" w:hAnsi="Garamond"/>
          <w:b/>
          <w:bCs/>
          <w:i w:val="false"/>
          <w:iCs w:val="false"/>
          <w:color w:val="1B2A4A"/>
          <w:sz w:val="22"/>
          <w:szCs w:val="22"/>
        </w:rPr>
        <w:t xml:space="preserve">Appointment of Inferior Courts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nominates inferior court judges within 90 days of a vacancy. The Senate confirms by a supermajority defined by statute, ensuring Senate confirmation requires meaningful cross-party support.</w:t>
      </w:r>
    </w:p>
    <w:p>
      <w:pPr>
        <w:spacing w:after="60" w:before="200"/>
        <w:ind w:left="431"/>
        <w:jc w:val="left"/>
      </w:pPr>
      <w:r>
        <w:rPr>
          <w:rFonts w:ascii="Courier New" w:cs="Courier New" w:eastAsia="Courier New" w:hAnsi="Courier New"/>
          <w:b/>
          <w:bCs/>
          <w:color w:val="1B2A4A"/>
          <w:sz w:val="18"/>
          <w:szCs w:val="18"/>
        </w:rPr>
        <w:t xml:space="preserve">§4.1.c  </w:t>
      </w:r>
      <w:r>
        <w:rPr>
          <w:rFonts w:ascii="Garamond" w:cs="Garamond" w:eastAsia="Garamond" w:hAnsi="Garamond"/>
          <w:b/>
          <w:bCs/>
          <w:i w:val="false"/>
          <w:iCs w:val="false"/>
          <w:color w:val="1B2A4A"/>
          <w:sz w:val="22"/>
          <w:szCs w:val="22"/>
        </w:rPr>
        <w:t xml:space="preserve">Judicial Tenure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Inferior court judges serve a single non-renewable term of 15 years. During the term a judge may be removed only for cause under §4.1.d. At the conclusion of the term the judge may not be reappointed to any inferior court seat. The Legislature may establish a mandatory retirement age by statute, provided no retirement age is set below 70; where a 15-year term would extend beyond the mandatory retirement age, the term ends at the retirement age.</w:t>
      </w:r>
    </w:p>
    <w:p>
      <w:pPr>
        <w:spacing w:after="60" w:before="200"/>
        <w:ind w:left="431"/>
        <w:jc w:val="left"/>
      </w:pPr>
      <w:r>
        <w:rPr>
          <w:rFonts w:ascii="Courier New" w:cs="Courier New" w:eastAsia="Courier New" w:hAnsi="Courier New"/>
          <w:b/>
          <w:bCs/>
          <w:color w:val="1B2A4A"/>
          <w:sz w:val="18"/>
          <w:szCs w:val="18"/>
        </w:rPr>
        <w:t xml:space="preserve">§4.1.d  </w:t>
      </w:r>
      <w:r>
        <w:rPr>
          <w:rFonts w:ascii="Garamond" w:cs="Garamond" w:eastAsia="Garamond" w:hAnsi="Garamond"/>
          <w:b/>
          <w:bCs/>
          <w:i w:val="false"/>
          <w:iCs w:val="false"/>
          <w:color w:val="1B2A4A"/>
          <w:sz w:val="22"/>
          <w:szCs w:val="22"/>
        </w:rPr>
        <w:t xml:space="preserve">Judicial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Inferior court judges may be removed through three tracks: legislative removal by 2/3 of both chambers for constitutional breach or demonstrated incapacity; judicial discipline through a process the Legislature establishes by statute, subject to SC oversight; and criminal conviction for disqualifying offenses. The EI must publish a factual finding before any legislative removal vote.</w:t>
      </w:r>
    </w:p>
    <w:p>
      <w:pPr>
        <w:spacing w:after="60" w:before="200"/>
        <w:ind w:left="431"/>
        <w:jc w:val="left"/>
      </w:pPr>
      <w:r>
        <w:rPr>
          <w:rFonts w:ascii="Courier New" w:cs="Courier New" w:eastAsia="Courier New" w:hAnsi="Courier New"/>
          <w:b/>
          <w:bCs/>
          <w:color w:val="1B2A4A"/>
          <w:sz w:val="18"/>
          <w:szCs w:val="18"/>
        </w:rPr>
        <w:t xml:space="preserve">§4.1.e  </w:t>
      </w:r>
      <w:r>
        <w:rPr>
          <w:rFonts w:ascii="Garamond" w:cs="Garamond" w:eastAsia="Garamond" w:hAnsi="Garamond"/>
          <w:b/>
          <w:bCs/>
          <w:i w:val="false"/>
          <w:iCs w:val="false"/>
          <w:color w:val="1B2A4A"/>
          <w:sz w:val="22"/>
          <w:szCs w:val="22"/>
        </w:rPr>
        <w:t xml:space="preserve">Supreme Court Composition and Size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initially consists of nine justices. The Legislature may increase the number of justices by ordinary statute; any seat added is assigned to the class with the fewest current members — ties broken by public lot drawn by the JI — and must be filled through §4.2.d within 18 months of enactment or the seat expires by operation of law. The Legislature may decrease the number of justices only by statute passed by 2/3 of both chambers; a reduction takes effect through natural attrition only — by leaving the next scheduled vacancy in the designated class unfilled — and never by removing a sitting justice. The number of justices may not fall below three. Where the Court is equally divided on any question — whether by reason of court size, recusal, or vacancy — the challenged ruling of the lower court or government body stands without further order.</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Supreme Court justices are nominated by the PM from the SC Candidate Registry and confirmed by the Senate by 2/3 supermajority of full seated membership. The Court is composed of the number of justices established under §4.1.e, organised into three staggered classes; each justice serves a single non-renewable 12-year term.</w:t>
      </w:r>
    </w:p>
    <w:p>
      <w:pPr>
        <w:spacing w:after="60" w:before="200"/>
        <w:ind w:left="431"/>
        <w:jc w:val="left"/>
      </w:pPr>
      <w:r>
        <w:rPr>
          <w:rFonts w:ascii="Courier New" w:cs="Courier New" w:eastAsia="Courier New" w:hAnsi="Courier New"/>
          <w:b/>
          <w:bCs/>
          <w:color w:val="1B2A4A"/>
          <w:sz w:val="18"/>
          <w:szCs w:val="18"/>
        </w:rPr>
        <w:t xml:space="preserve">§4.2.d  </w:t>
      </w:r>
      <w:r>
        <w:rPr>
          <w:rFonts w:ascii="Garamond" w:cs="Garamond" w:eastAsia="Garamond" w:hAnsi="Garamond"/>
          <w:b/>
          <w:bCs/>
          <w:i w:val="false"/>
          <w:iCs w:val="false"/>
          <w:color w:val="1B2A4A"/>
          <w:sz w:val="22"/>
          <w:szCs w:val="22"/>
        </w:rPr>
        <w:t xml:space="preserve">PM Nomination and Senate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nominates any current member of the SC Candidate Registry. For scheduled vacancies, the PM must nominate within 60 days of the outgoing justice's term ending. For mid-term vacancies, the PM must nominate within 45 days of the vacancy arising. Within 14 days of nomination, the JI confirms the nominee's current registry status and publishes that confirmation to the NRS; the nominee's full registry record — including the EI financial disclosure under §8.4.e — is simultaneously published for Senate reference. The Senate must vote within 90 days of the JI confirmation being published. Failure to vote within 90 days is a constitutional compliance breach certified by the LI. No deemed confirmation applies — the Senate must hold an affirmative vote. If the Senate declines to confirm, the PM submits a new nomination within 30 days and the process restarts. The confirmed justice takes the Official Oath; the confirmation and registry record are published to the NRS as permanent records. From this moment the justice serves a single non-renewable 12-year term.</w:t>
      </w:r>
    </w:p>
    <w:p>
      <w:pPr>
        <w:spacing w:after="60" w:before="200"/>
        <w:ind w:left="431"/>
        <w:jc w:val="left"/>
      </w:pPr>
      <w:r>
        <w:rPr>
          <w:rFonts w:ascii="Courier New" w:cs="Courier New" w:eastAsia="Courier New" w:hAnsi="Courier New"/>
          <w:b/>
          <w:bCs/>
          <w:color w:val="1B2A4A"/>
          <w:sz w:val="18"/>
          <w:szCs w:val="18"/>
        </w:rPr>
        <w:t xml:space="preserve">§4.2.e  </w:t>
      </w:r>
      <w:r>
        <w:rPr>
          <w:rFonts w:ascii="Garamond" w:cs="Garamond" w:eastAsia="Garamond" w:hAnsi="Garamond"/>
          <w:b/>
          <w:bCs/>
          <w:i w:val="false"/>
          <w:iCs w:val="false"/>
          <w:color w:val="1B2A4A"/>
          <w:sz w:val="22"/>
          <w:szCs w:val="22"/>
        </w:rPr>
        <w:t xml:space="preserve">Mid-Term Vacancies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mid-term vacancy triggers immediate nomination under §4.2.d using the 45-day nomination window. The full process — PM nomination, JI assessment, and Senate confirmation — must be completed within 180 days of the vacancy. The replacement serves only the remainder of the original 12-year term — not a new full term.</w:t>
      </w:r>
    </w:p>
    <w:p>
      <w:pPr>
        <w:spacing w:after="60" w:before="200"/>
        <w:ind w:left="431"/>
        <w:jc w:val="left"/>
      </w:pPr>
      <w:r>
        <w:rPr>
          <w:rFonts w:ascii="Courier New" w:cs="Courier New" w:eastAsia="Courier New" w:hAnsi="Courier New"/>
          <w:b/>
          <w:bCs/>
          <w:color w:val="1B2A4A"/>
          <w:sz w:val="18"/>
          <w:szCs w:val="18"/>
        </w:rPr>
        <w:t xml:space="preserve">§4.2.f  </w:t>
      </w:r>
      <w:r>
        <w:rPr>
          <w:rFonts w:ascii="Garamond" w:cs="Garamond" w:eastAsia="Garamond" w:hAnsi="Garamond"/>
          <w:b/>
          <w:bCs/>
          <w:i w:val="false"/>
          <w:iCs w:val="false"/>
          <w:color w:val="1B2A4A"/>
          <w:sz w:val="22"/>
          <w:szCs w:val="22"/>
        </w:rPr>
        <w:t xml:space="preserve">Emergency Panel for Tier 1 Scope Challenges</w:t>
      </w:r>
    </w:p>
    <w:p>
      <w:pPr>
        <w:spacing w:after="120" w:before="0"/>
        <w:ind w:left="431"/>
        <w:jc w:val="both"/>
      </w:pPr>
      <w:r>
        <w:rPr>
          <w:rFonts w:ascii="Garamond" w:cs="Garamond" w:eastAsia="Garamond" w:hAnsi="Garamond"/>
          <w:b w:val="false"/>
          <w:bCs w:val="false"/>
          <w:i w:val="false"/>
          <w:iCs w:val="false"/>
          <w:color w:val="2a2520"/>
          <w:sz w:val="22"/>
          <w:szCs w:val="22"/>
        </w:rPr>
        <w:t xml:space="preserve">Four justices are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431"/>
        <w:jc w:val="left"/>
      </w:pPr>
      <w:r>
        <w:rPr>
          <w:rFonts w:ascii="Courier New" w:cs="Courier New" w:eastAsia="Courier New" w:hAnsi="Courier New"/>
          <w:b/>
          <w:bCs/>
          <w:color w:val="1B2A4A"/>
          <w:sz w:val="18"/>
          <w:szCs w:val="18"/>
        </w:rPr>
        <w:t xml:space="preserve">§4.2.g  </w:t>
      </w:r>
      <w:r>
        <w:rPr>
          <w:rFonts w:ascii="Garamond" w:cs="Garamond" w:eastAsia="Garamond" w:hAnsi="Garamond"/>
          <w:b/>
          <w:bCs/>
          <w:i w:val="false"/>
          <w:iCs w:val="false"/>
          <w:color w:val="1B2A4A"/>
          <w:sz w:val="22"/>
          <w:szCs w:val="22"/>
        </w:rPr>
        <w:t xml:space="preserve">Vacancy Operating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431"/>
        <w:jc w:val="left"/>
      </w:pPr>
      <w:r>
        <w:rPr>
          <w:rFonts w:ascii="Courier New" w:cs="Courier New" w:eastAsia="Courier New" w:hAnsi="Courier New"/>
          <w:b/>
          <w:bCs/>
          <w:color w:val="1B2A4A"/>
          <w:sz w:val="18"/>
          <w:szCs w:val="18"/>
        </w:rPr>
        <w:t xml:space="preserve">§4.2.h  </w:t>
      </w:r>
      <w:r>
        <w:rPr>
          <w:rFonts w:ascii="Garamond" w:cs="Garamond" w:eastAsia="Garamond" w:hAnsi="Garamond"/>
          <w:b/>
          <w:bCs/>
          <w:i w:val="false"/>
          <w:iCs w:val="false"/>
          <w:color w:val="1B2A4A"/>
          <w:sz w:val="22"/>
          <w:szCs w:val="22"/>
        </w:rPr>
        <w:t xml:space="preserve">Initial Class Assignment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At Phase 3, the initial nine seats are filled simultaneously by PM nomination and Senate confirmation under §4.2.d, then assigned to three classes by public lot drawn by the JI. Class A: 4-year initial term. Class B: 8-year initial term. Class C: 12-year initial term. All subsequent terms: 12 years. The lot assignment is published to the NRS before any justice takes the oath. Three seats confirmed every 4 years thereafter.</w:t>
      </w:r>
    </w:p>
    <w:p>
      <w:pPr>
        <w:spacing w:after="60" w:before="200"/>
        <w:ind w:left="431"/>
        <w:jc w:val="left"/>
      </w:pPr>
      <w:r>
        <w:rPr>
          <w:rFonts w:ascii="Courier New" w:cs="Courier New" w:eastAsia="Courier New" w:hAnsi="Courier New"/>
          <w:b/>
          <w:bCs/>
          <w:color w:val="1B2A4A"/>
          <w:sz w:val="18"/>
          <w:szCs w:val="18"/>
        </w:rPr>
        <w:t xml:space="preserve">§4.2.i  </w:t>
      </w:r>
      <w:r>
        <w:rPr>
          <w:rFonts w:ascii="Garamond" w:cs="Garamond" w:eastAsia="Garamond" w:hAnsi="Garamond"/>
          <w:b/>
          <w:bCs/>
          <w:i w:val="false"/>
          <w:iCs w:val="false"/>
          <w:color w:val="1B2A4A"/>
          <w:sz w:val="22"/>
          <w:szCs w:val="22"/>
        </w:rPr>
        <w:t xml:space="preserve">Judicial Recusal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by statute establish a recusal framework for Supreme Court justices within two years of Phase 4 activation. The framework must require recusal where a justice received material campaign support from any party to a pending case, or holds a financial interest in the outcome. A justice who fails to recuse under mandatory circumstances may be reported to the JI, which publishes its finding to the NRS. In the absence of a statutory framework two years after Phase 4 activation, a justice must recuse from any proceeding where their impartiality could reasonably be questioned by an informed observer with knowledge of the relevant facts. This default is self-executing; any party may petition for recusal and the determination is made by the remaining justices.</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Judicial Independence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act only on cases brought by a party with a concrete, articulable injury. Judges may not issue advisory opinions or preemptive rulings. All decisions altering legal status require full merits briefings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i w:val="false"/>
          <w:iCs w:val="false"/>
          <w:color w:val="1B2A4A"/>
          <w:sz w:val="22"/>
          <w:szCs w:val="22"/>
        </w:rPr>
        <w:t xml:space="preserve">Judicial Review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i w:val="false"/>
          <w:iCs w:val="false"/>
          <w:color w:val="1B2A4A"/>
          <w:sz w:val="22"/>
          <w:szCs w:val="22"/>
        </w:rPr>
        <w:t xml:space="preserve">Judicial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431"/>
        <w:jc w:val="left"/>
      </w:pPr>
      <w:r>
        <w:rPr>
          <w:rFonts w:ascii="Courier New" w:cs="Courier New" w:eastAsia="Courier New" w:hAnsi="Courier New"/>
          <w:b/>
          <w:bCs/>
          <w:color w:val="1B2A4A"/>
          <w:sz w:val="18"/>
          <w:szCs w:val="18"/>
        </w:rPr>
        <w:t xml:space="preserve">§4.3.c  </w:t>
      </w:r>
      <w:r>
        <w:rPr>
          <w:rFonts w:ascii="Garamond" w:cs="Garamond" w:eastAsia="Garamond" w:hAnsi="Garamond"/>
          <w:b/>
          <w:bCs/>
          <w:i w:val="false"/>
          <w:iCs w:val="false"/>
          <w:color w:val="1B2A4A"/>
          <w:sz w:val="22"/>
          <w:szCs w:val="22"/>
        </w:rPr>
        <w:t xml:space="preserve">Statutory Interpretation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431"/>
        <w:jc w:val="left"/>
      </w:pPr>
      <w:r>
        <w:rPr>
          <w:rFonts w:ascii="Courier New" w:cs="Courier New" w:eastAsia="Courier New" w:hAnsi="Courier New"/>
          <w:b/>
          <w:bCs/>
          <w:color w:val="1B2A4A"/>
          <w:sz w:val="18"/>
          <w:szCs w:val="18"/>
        </w:rPr>
        <w:t xml:space="preserve">§4.3.d  </w:t>
      </w:r>
      <w:r>
        <w:rPr>
          <w:rFonts w:ascii="Garamond" w:cs="Garamond" w:eastAsia="Garamond" w:hAnsi="Garamond"/>
          <w:b/>
          <w:bCs/>
          <w:i w:val="false"/>
          <w:iCs w:val="false"/>
          <w:color w:val="1B2A4A"/>
          <w:sz w:val="22"/>
          <w:szCs w:val="22"/>
        </w:rPr>
        <w:t xml:space="preserve">Original Jurisdiction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431"/>
        <w:jc w:val="left"/>
      </w:pPr>
      <w:r>
        <w:rPr>
          <w:rFonts w:ascii="Courier New" w:cs="Courier New" w:eastAsia="Courier New" w:hAnsi="Courier New"/>
          <w:b/>
          <w:bCs/>
          <w:color w:val="1B2A4A"/>
          <w:sz w:val="18"/>
          <w:szCs w:val="18"/>
        </w:rPr>
        <w:t xml:space="preserve">§4.3.e  </w:t>
      </w:r>
      <w:r>
        <w:rPr>
          <w:rFonts w:ascii="Garamond" w:cs="Garamond" w:eastAsia="Garamond" w:hAnsi="Garamond"/>
          <w:b/>
          <w:bCs/>
          <w:i w:val="false"/>
          <w:iCs w:val="false"/>
          <w:color w:val="1B2A4A"/>
          <w:sz w:val="22"/>
          <w:szCs w:val="22"/>
        </w:rPr>
        <w:t xml:space="preserve">Inspectorate Findings in Constitutional Proceedings</w:t>
      </w:r>
    </w:p>
    <w:p>
      <w:pPr>
        <w:spacing w:after="120" w:before="0"/>
        <w:ind w:left="431"/>
        <w:jc w:val="both"/>
      </w:pPr>
      <w:r>
        <w:rPr>
          <w:rFonts w:ascii="Garamond" w:cs="Garamond" w:eastAsia="Garamond" w:hAnsi="Garamond"/>
          <w:b w:val="false"/>
          <w:bCs w:val="false"/>
          <w:i w:val="false"/>
          <w:iCs w:val="false"/>
          <w:color w:val="2a2520"/>
          <w:sz w:val="22"/>
          <w:szCs w:val="22"/>
        </w:rPr>
        <w:t xml:space="preserve">Inspectorate findings published to the NRS are admissible in any judicial proceeding where they are relevant. Courts must give such findings due consideration and appropriate weight in their determinations. Where a court's factual conclusions differ from a prior Inspectorate finding, the court must address the inconsistency in its written decision. Inspectorate findings are not judicial determinations — the court retains full and independent authority to reach different factual conclusions.</w:t>
      </w:r>
    </w:p>
    <w:p>
      <w:pPr>
        <w:spacing w:after="60" w:before="200"/>
        <w:ind w:left="431"/>
        <w:jc w:val="left"/>
      </w:pPr>
      <w:r>
        <w:rPr>
          <w:rFonts w:ascii="Courier New" w:cs="Courier New" w:eastAsia="Courier New" w:hAnsi="Courier New"/>
          <w:b/>
          <w:bCs/>
          <w:color w:val="1B2A4A"/>
          <w:sz w:val="18"/>
          <w:szCs w:val="18"/>
        </w:rPr>
        <w:t xml:space="preserve">§4.3.f  </w:t>
      </w:r>
      <w:r>
        <w:rPr>
          <w:rFonts w:ascii="Garamond" w:cs="Garamond" w:eastAsia="Garamond" w:hAnsi="Garamond"/>
          <w:b/>
          <w:bCs/>
          <w:i w:val="false"/>
          <w:iCs w:val="false"/>
          <w:color w:val="1B2A4A"/>
          <w:sz w:val="22"/>
          <w:szCs w:val="22"/>
        </w:rPr>
        <w:t xml:space="preserve">Organizational Standing</w:t>
      </w:r>
    </w:p>
    <w:p>
      <w:pPr>
        <w:spacing w:after="120" w:before="0"/>
        <w:ind w:left="431"/>
        <w:jc w:val="both"/>
      </w:pPr>
      <w:r>
        <w:rPr>
          <w:rFonts w:ascii="Garamond" w:cs="Garamond" w:eastAsia="Garamond" w:hAnsi="Garamond"/>
          <w:b w:val="false"/>
          <w:bCs w:val="false"/>
          <w:i w:val="false"/>
          <w:iCs w:val="false"/>
          <w:color w:val="2a2520"/>
          <w:sz w:val="22"/>
          <w:szCs w:val="22"/>
        </w:rPr>
        <w:t xml:space="preserve">An organization may bring a constitutional claim on behalf of its members where: (a) at least one member would individually have standing; (b) the claim is germane to the organization's established constitutional purpose; and (c) neither the claim nor the relief sought requires the participation of individual members as named parties. The organization must identify at least one member with specific, articulable injury and publish that identification to the NRS concurrent with filing.</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Judgment Recognition and Authentication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The NRS is the authentication infrastructure for this cross-jurisdictional recognition.</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i w:val="false"/>
          <w:iCs w:val="false"/>
          <w:color w:val="1B2A4A"/>
          <w:sz w:val="22"/>
          <w:szCs w:val="22"/>
        </w:rPr>
        <w:t xml:space="preserve">Judicial Judgments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Non-recognition grounds are exhaustive: the issuing court lacked jurisdiction; the judgment was obtained by fraud; or enforcement would require an act the Legislature has defined as categorically unenforceable. These three grounds are the only bases on which a Republic court may decline to recognize a judgment valid in another jurisdiction. Any judgment contrary to Article I is void by operation of §15.6 and requires no separate non-recognition finding.</w:t>
      </w:r>
    </w:p>
    <w:p>
      <w:pPr>
        <w:spacing w:after="60" w:before="200"/>
        <w:ind w:left="431"/>
        <w:jc w:val="left"/>
      </w:pPr>
      <w:r>
        <w:rPr>
          <w:rFonts w:ascii="Courier New" w:cs="Courier New" w:eastAsia="Courier New" w:hAnsi="Courier New"/>
          <w:b/>
          <w:bCs/>
          <w:color w:val="1B2A4A"/>
          <w:sz w:val="18"/>
          <w:szCs w:val="18"/>
        </w:rPr>
        <w:t xml:space="preserve">§4.4.b  </w:t>
      </w:r>
      <w:r>
        <w:rPr>
          <w:rFonts w:ascii="Garamond" w:cs="Garamond" w:eastAsia="Garamond" w:hAnsi="Garamond"/>
          <w:b/>
          <w:bCs/>
          <w:i w:val="false"/>
          <w:iCs w:val="false"/>
          <w:color w:val="1B2A4A"/>
          <w:sz w:val="22"/>
          <w:szCs w:val="22"/>
        </w:rPr>
        <w:t xml:space="preserve">NRS Authentication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431"/>
        <w:jc w:val="left"/>
      </w:pPr>
      <w:r>
        <w:rPr>
          <w:rFonts w:ascii="Courier New" w:cs="Courier New" w:eastAsia="Courier New" w:hAnsi="Courier New"/>
          <w:b/>
          <w:bCs/>
          <w:color w:val="1B2A4A"/>
          <w:sz w:val="18"/>
          <w:szCs w:val="18"/>
        </w:rPr>
        <w:t xml:space="preserve">§4.4.c  </w:t>
      </w:r>
      <w:r>
        <w:rPr>
          <w:rFonts w:ascii="Garamond" w:cs="Garamond" w:eastAsia="Garamond" w:hAnsi="Garamond"/>
          <w:b/>
          <w:bCs/>
          <w:i w:val="false"/>
          <w:iCs w:val="false"/>
          <w:color w:val="1B2A4A"/>
          <w:sz w:val="22"/>
          <w:szCs w:val="22"/>
        </w:rPr>
        <w:t xml:space="preserve">Public Acts and Official Records</w:t>
      </w:r>
    </w:p>
    <w:p>
      <w:pPr>
        <w:spacing w:after="120" w:before="0"/>
        <w:ind w:left="431"/>
        <w:jc w:val="both"/>
      </w:pPr>
      <w:r>
        <w:rPr>
          <w:rFonts w:ascii="Garamond" w:cs="Garamond" w:eastAsia="Garamond" w:hAnsi="Garamond"/>
          <w:b w:val="false"/>
          <w:bCs w:val="false"/>
          <w:i w:val="false"/>
          <w:iCs w:val="false"/>
          <w:color w:val="2a2520"/>
          <w:sz w:val="22"/>
          <w:szCs w:val="22"/>
        </w:rPr>
        <w:t xml:space="preserve">Official records published to the NRS are self-authenticating — no re-certification is required for use in any legal or administrative proceeding.</w:t>
      </w:r>
    </w:p>
    <w:p>
      <w:pPr>
        <w:spacing w:after="60" w:before="200"/>
        <w:ind w:left="431"/>
        <w:jc w:val="left"/>
      </w:pPr>
      <w:r>
        <w:rPr>
          <w:rFonts w:ascii="Courier New" w:cs="Courier New" w:eastAsia="Courier New" w:hAnsi="Courier New"/>
          <w:b/>
          <w:bCs/>
          <w:color w:val="1B2A4A"/>
          <w:sz w:val="18"/>
          <w:szCs w:val="18"/>
        </w:rPr>
        <w:t xml:space="preserve">§4.4.d  </w:t>
      </w:r>
      <w:r>
        <w:rPr>
          <w:rFonts w:ascii="Garamond" w:cs="Garamond" w:eastAsia="Garamond" w:hAnsi="Garamond"/>
          <w:b/>
          <w:bCs/>
          <w:i w:val="false"/>
          <w:iCs w:val="false"/>
          <w:color w:val="1B2A4A"/>
          <w:sz w:val="22"/>
          <w:szCs w:val="22"/>
        </w:rPr>
        <w:t xml:space="preserve">Status Orders — Special Protections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Protective orders, custody determinations, and other status orders take immediate effect in every State and Territory upon publication to the NRS. No waiting period, no local re-registration.</w:t>
      </w:r>
    </w:p>
    <w:p>
      <w:pPr>
        <w:spacing w:after="60" w:before="200"/>
        <w:ind w:left="431"/>
        <w:jc w:val="left"/>
      </w:pPr>
      <w:r>
        <w:rPr>
          <w:rFonts w:ascii="Courier New" w:cs="Courier New" w:eastAsia="Courier New" w:hAnsi="Courier New"/>
          <w:b/>
          <w:bCs/>
          <w:color w:val="1B2A4A"/>
          <w:sz w:val="18"/>
          <w:szCs w:val="18"/>
        </w:rPr>
        <w:t xml:space="preserve">§4.4.e  </w:t>
      </w:r>
      <w:r>
        <w:rPr>
          <w:rFonts w:ascii="Garamond" w:cs="Garamond" w:eastAsia="Garamond" w:hAnsi="Garamond"/>
          <w:b/>
          <w:bCs/>
          <w:i w:val="false"/>
          <w:iCs w:val="false"/>
          <w:color w:val="1B2A4A"/>
          <w:sz w:val="22"/>
          <w:szCs w:val="22"/>
        </w:rPr>
        <w:t xml:space="preserve">Non-Discrimination in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431"/>
        <w:jc w:val="left"/>
      </w:pPr>
      <w:r>
        <w:rPr>
          <w:rFonts w:ascii="Courier New" w:cs="Courier New" w:eastAsia="Courier New" w:hAnsi="Courier New"/>
          <w:b/>
          <w:bCs/>
          <w:color w:val="1B2A4A"/>
          <w:sz w:val="18"/>
          <w:szCs w:val="18"/>
        </w:rPr>
        <w:t xml:space="preserve">§4.4.f  </w:t>
      </w:r>
      <w:r>
        <w:rPr>
          <w:rFonts w:ascii="Garamond" w:cs="Garamond" w:eastAsia="Garamond" w:hAnsi="Garamond"/>
          <w:b/>
          <w:bCs/>
          <w:i w:val="false"/>
          <w:iCs w:val="false"/>
          <w:color w:val="1B2A4A"/>
          <w:sz w:val="22"/>
          <w:szCs w:val="22"/>
        </w:rPr>
        <w:t xml:space="preserve">Legislative Implementation Mandates</w:t>
      </w:r>
    </w:p>
    <w:p>
      <w:pPr>
        <w:spacing w:after="120" w:before="0"/>
        <w:ind w:left="431"/>
        <w:jc w:val="both"/>
      </w:pPr>
      <w:r>
        <w:rPr>
          <w:rFonts w:ascii="Garamond" w:cs="Garamond" w:eastAsia="Garamond" w:hAnsi="Garamond"/>
          <w:b w:val="false"/>
          <w:bCs w:val="false"/>
          <w:i w:val="false"/>
          <w:iCs w:val="false"/>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the national median daily income rate, as the Legislature defines by statute. Unexcused refusal is subject to civil consequences the Legislature defines by statute.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under the conditions of this section. Citizens hold the full rights established in Article I and are eligible to vote, hold office, and stand for election.</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Inherent 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431"/>
        <w:jc w:val="left"/>
      </w:pPr>
      <w:r>
        <w:rPr>
          <w:rFonts w:ascii="Courier New" w:cs="Courier New" w:eastAsia="Courier New" w:hAnsi="Courier New"/>
          <w:b/>
          <w:bCs/>
          <w:color w:val="1B2A4A"/>
          <w:sz w:val="18"/>
          <w:szCs w:val="18"/>
        </w:rPr>
        <w:t xml:space="preserve">§5.1.a.i  </w:t>
      </w:r>
      <w:r>
        <w:rPr>
          <w:rFonts w:ascii="Garamond" w:cs="Garamond" w:eastAsia="Garamond" w:hAnsi="Garamond"/>
          <w:b/>
          <w:bCs/>
          <w:i w:val="false"/>
          <w:iCs w:val="false"/>
          <w:color w:val="1B2A4A"/>
          <w:sz w:val="22"/>
          <w:szCs w:val="22"/>
        </w:rPr>
        <w:t xml:space="preserve">Statelessness Prevention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on Republic territory to parents holding neither Citizen nor Legal Resident status is an Inhabitant from birth, with full Article I protections and access to social state systems under §10.1.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Coming of Age</w:t>
      </w:r>
    </w:p>
    <w:p>
      <w:pPr>
        <w:spacing w:after="120" w:before="0"/>
        <w:ind w:left="431"/>
        <w:jc w:val="both"/>
      </w:pPr>
      <w:r>
        <w:rPr>
          <w:rFonts w:ascii="Garamond" w:cs="Garamond" w:eastAsia="Garamond" w:hAnsi="Garamond"/>
          <w:b w:val="false"/>
          <w:bCs w:val="false"/>
          <w:i w:val="false"/>
          <w:iCs w:val="false"/>
          <w:color w:val="2a2520"/>
          <w:sz w:val="22"/>
          <w:szCs w:val="22"/>
        </w:rPr>
        <w:t xml:space="preserve">Children of citizens are Inhabitants at birth with full Article I protections. Full citizenship rights — including the right to vote — activate at 18.</w:t>
      </w:r>
    </w:p>
    <w:p>
      <w:pPr>
        <w:spacing w:after="60" w:before="200"/>
        <w:ind w:left="431"/>
        <w:jc w:val="left"/>
      </w:pPr>
      <w:r>
        <w:rPr>
          <w:rFonts w:ascii="Courier New" w:cs="Courier New" w:eastAsia="Courier New" w:hAnsi="Courier New"/>
          <w:b/>
          <w:bCs/>
          <w:color w:val="1B2A4A"/>
          <w:sz w:val="18"/>
          <w:szCs w:val="18"/>
        </w:rPr>
        <w:t xml:space="preserve">§5.1.c  </w:t>
      </w:r>
      <w:r>
        <w:rPr>
          <w:rFonts w:ascii="Garamond" w:cs="Garamond" w:eastAsia="Garamond" w:hAnsi="Garamond"/>
          <w:b/>
          <w:bCs/>
          <w:i w:val="false"/>
          <w:iCs w:val="false"/>
          <w:color w:val="1B2A4A"/>
          <w:sz w:val="22"/>
          <w:szCs w:val="22"/>
        </w:rPr>
        <w:t xml:space="preserve">Naturalization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five continuous years of residency, a clean legal record, and passing the Constitutional Logic Test.</w:t>
      </w:r>
    </w:p>
    <w:p>
      <w:pPr>
        <w:spacing w:after="60" w:before="200"/>
        <w:ind w:left="431"/>
        <w:jc w:val="left"/>
      </w:pPr>
      <w:r>
        <w:rPr>
          <w:rFonts w:ascii="Courier New" w:cs="Courier New" w:eastAsia="Courier New" w:hAnsi="Courier New"/>
          <w:b/>
          <w:bCs/>
          <w:color w:val="1B2A4A"/>
          <w:sz w:val="18"/>
          <w:szCs w:val="18"/>
        </w:rPr>
        <w:t xml:space="preserve">§5.1.d  </w:t>
      </w:r>
      <w:r>
        <w:rPr>
          <w:rFonts w:ascii="Garamond" w:cs="Garamond" w:eastAsia="Garamond" w:hAnsi="Garamond"/>
          <w:b/>
          <w:bCs/>
          <w:i w:val="false"/>
          <w:iCs w:val="false"/>
          <w:color w:val="1B2A4A"/>
          <w:sz w:val="22"/>
          <w:szCs w:val="22"/>
        </w:rPr>
        <w:t xml:space="preserve">National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through honorable completion of military or national service — a service path that runs parallel to the residency path.</w:t>
      </w:r>
    </w:p>
    <w:p>
      <w:pPr>
        <w:spacing w:after="60" w:before="200"/>
        <w:ind w:left="431"/>
        <w:jc w:val="left"/>
      </w:pPr>
      <w:r>
        <w:rPr>
          <w:rFonts w:ascii="Courier New" w:cs="Courier New" w:eastAsia="Courier New" w:hAnsi="Courier New"/>
          <w:b/>
          <w:bCs/>
          <w:color w:val="1B2A4A"/>
          <w:sz w:val="18"/>
          <w:szCs w:val="18"/>
        </w:rPr>
        <w:t xml:space="preserve">§5.1.e  </w:t>
      </w:r>
      <w:r>
        <w:rPr>
          <w:rFonts w:ascii="Garamond" w:cs="Garamond" w:eastAsia="Garamond" w:hAnsi="Garamond"/>
          <w:b/>
          <w:bCs/>
          <w:i w:val="false"/>
          <w:iCs w:val="false"/>
          <w:color w:val="1B2A4A"/>
          <w:sz w:val="22"/>
          <w:szCs w:val="22"/>
        </w:rPr>
        <w:t xml:space="preserve">Citizenship Irrevocability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431"/>
        <w:jc w:val="left"/>
      </w:pPr>
      <w:r>
        <w:rPr>
          <w:rFonts w:ascii="Courier New" w:cs="Courier New" w:eastAsia="Courier New" w:hAnsi="Courier New"/>
          <w:b/>
          <w:bCs/>
          <w:color w:val="1B2A4A"/>
          <w:sz w:val="18"/>
          <w:szCs w:val="18"/>
        </w:rPr>
        <w:t xml:space="preserve">§5.1.f  </w:t>
      </w:r>
      <w:r>
        <w:rPr>
          <w:rFonts w:ascii="Garamond" w:cs="Garamond" w:eastAsia="Garamond" w:hAnsi="Garamond"/>
          <w:b/>
          <w:bCs/>
          <w:i w:val="false"/>
          <w:iCs w:val="false"/>
          <w:color w:val="1B2A4A"/>
          <w:sz w:val="22"/>
          <w:szCs w:val="22"/>
        </w:rPr>
        <w:t xml:space="preserve">Derivative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access social state systems under §10.1, and participate in local elections where the Legislature authorizes. They hold all Article I rights as Inhabitants. What they lack that citizens hold: federal voting rights and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without providing for them.</w:t>
      </w:r>
    </w:p>
    <w:p>
      <w:pPr>
        <w:spacing w:after="60" w:before="200"/>
        <w:ind w:left="431"/>
        <w:jc w:val="left"/>
      </w:pPr>
      <w:r>
        <w:rPr>
          <w:rFonts w:ascii="Courier New" w:cs="Courier New" w:eastAsia="Courier New" w:hAnsi="Courier New"/>
          <w:b/>
          <w:bCs/>
          <w:color w:val="1B2A4A"/>
          <w:sz w:val="18"/>
          <w:szCs w:val="18"/>
        </w:rPr>
        <w:t xml:space="preserve">§5.4  </w:t>
      </w:r>
      <w:r>
        <w:rPr>
          <w:rFonts w:ascii="Garamond" w:cs="Garamond" w:eastAsia="Garamond" w:hAnsi="Garamond"/>
          <w:b/>
          <w:bCs/>
          <w:i w:val="false"/>
          <w:iCs w:val="false"/>
          <w:color w:val="1B2A4A"/>
          <w:sz w:val="22"/>
          <w:szCs w:val="22"/>
        </w:rPr>
        <w:t xml:space="preserve">The Constitutional Logic Test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431"/>
        <w:jc w:val="left"/>
      </w:pPr>
      <w:r>
        <w:rPr>
          <w:rFonts w:ascii="Courier New" w:cs="Courier New" w:eastAsia="Courier New" w:hAnsi="Courier New"/>
          <w:b/>
          <w:bCs/>
          <w:color w:val="1B2A4A"/>
          <w:sz w:val="18"/>
          <w:szCs w:val="18"/>
        </w:rPr>
        <w:t xml:space="preserve">§5.4.a  </w:t>
      </w:r>
      <w:r>
        <w:rPr>
          <w:rFonts w:ascii="Garamond" w:cs="Garamond" w:eastAsia="Garamond" w:hAnsi="Garamond"/>
          <w:b/>
          <w:bCs/>
          <w:i w:val="false"/>
          <w:iCs w:val="false"/>
          <w:color w:val="1B2A4A"/>
          <w:sz w:val="22"/>
          <w:szCs w:val="22"/>
        </w:rPr>
        <w:t xml:space="preserve">Senate Authority over the CLT Standard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431"/>
        <w:jc w:val="left"/>
      </w:pPr>
      <w:r>
        <w:rPr>
          <w:rFonts w:ascii="Courier New" w:cs="Courier New" w:eastAsia="Courier New" w:hAnsi="Courier New"/>
          <w:b/>
          <w:bCs/>
          <w:color w:val="1B2A4A"/>
          <w:sz w:val="18"/>
          <w:szCs w:val="18"/>
        </w:rPr>
        <w:t xml:space="preserve">§5.4.b  </w:t>
      </w:r>
      <w:r>
        <w:rPr>
          <w:rFonts w:ascii="Garamond" w:cs="Garamond" w:eastAsia="Garamond" w:hAnsi="Garamond"/>
          <w:b/>
          <w:bCs/>
          <w:i w:val="false"/>
          <w:iCs w:val="false"/>
          <w:color w:val="1B2A4A"/>
          <w:sz w:val="22"/>
          <w:szCs w:val="22"/>
        </w:rPr>
        <w:t xml:space="preserve">CLT Administrator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Constitutional Logic Test is administered by a CLT Administrator established as an independent statutory agency under §3.7. The enabling statute must ensure structural independence from partisan influence — the CLT process may not be used to create barriers that track political outcomes.</w:t>
      </w:r>
    </w:p>
    <w:p>
      <w:pPr>
        <w:spacing w:after="60" w:before="200"/>
        <w:ind w:left="431"/>
        <w:jc w:val="left"/>
      </w:pPr>
      <w:r>
        <w:rPr>
          <w:rFonts w:ascii="Courier New" w:cs="Courier New" w:eastAsia="Courier New" w:hAnsi="Courier New"/>
          <w:b/>
          <w:bCs/>
          <w:color w:val="1B2A4A"/>
          <w:sz w:val="18"/>
          <w:szCs w:val="18"/>
        </w:rPr>
        <w:t xml:space="preserve">§5.4.c  </w:t>
      </w:r>
      <w:r>
        <w:rPr>
          <w:rFonts w:ascii="Garamond" w:cs="Garamond" w:eastAsia="Garamond" w:hAnsi="Garamond"/>
          <w:b/>
          <w:bCs/>
          <w:i w:val="false"/>
          <w:iCs w:val="false"/>
          <w:color w:val="1B2A4A"/>
          <w:sz w:val="22"/>
          <w:szCs w:val="22"/>
        </w:rPr>
        <w:t xml:space="preserve">Status Quo Maintenance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Senate deadlock on CLT standard changes keeps the existing version in force.</w:t>
      </w:r>
    </w:p>
    <w:p>
      <w:pPr>
        <w:spacing w:after="60" w:before="200"/>
        <w:ind w:left="431"/>
        <w:jc w:val="left"/>
      </w:pPr>
      <w:r>
        <w:rPr>
          <w:rFonts w:ascii="Courier New" w:cs="Courier New" w:eastAsia="Courier New" w:hAnsi="Courier New"/>
          <w:b/>
          <w:bCs/>
          <w:color w:val="1B2A4A"/>
          <w:sz w:val="18"/>
          <w:szCs w:val="18"/>
        </w:rPr>
        <w:t xml:space="preserve">§5.5  </w:t>
      </w:r>
      <w:r>
        <w:rPr>
          <w:rFonts w:ascii="Garamond" w:cs="Garamond" w:eastAsia="Garamond" w:hAnsi="Garamond"/>
          <w:b/>
          <w:bCs/>
          <w:i w:val="false"/>
          <w:iCs w:val="false"/>
          <w:color w:val="1B2A4A"/>
          <w:sz w:val="22"/>
          <w:szCs w:val="22"/>
        </w:rPr>
        <w:t xml:space="preserve">Founding Generation 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individuals holding voting rights on Day Zero of ratification are automatically granted full citizenship as founding members of the Republic, as established in §5.5.a.</w:t>
      </w:r>
    </w:p>
    <w:p>
      <w:pPr>
        <w:spacing w:after="60" w:before="200"/>
        <w:ind w:left="431"/>
        <w:jc w:val="left"/>
      </w:pPr>
      <w:r>
        <w:rPr>
          <w:rFonts w:ascii="Courier New" w:cs="Courier New" w:eastAsia="Courier New" w:hAnsi="Courier New"/>
          <w:b/>
          <w:bCs/>
          <w:color w:val="1B2A4A"/>
          <w:sz w:val="18"/>
          <w:szCs w:val="18"/>
        </w:rPr>
        <w:t xml:space="preserve">§5.5.a  </w:t>
      </w:r>
      <w:r>
        <w:rPr>
          <w:rFonts w:ascii="Garamond" w:cs="Garamond" w:eastAsia="Garamond" w:hAnsi="Garamond"/>
          <w:b/>
          <w:bCs/>
          <w:i w:val="false"/>
          <w:iCs w:val="false"/>
          <w:color w:val="1B2A4A"/>
          <w:sz w:val="22"/>
          <w:szCs w:val="22"/>
        </w:rPr>
        <w:t xml:space="preserve">Automatic Citizenship Grant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Dual-Gate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gates: Gate 1 (State sponsorship) and Gate 2 (federal certification). Legal residency requires passing both gates. Gate 1 is State acceptance — States retain discretion over whom they sponsor, but may not apply sponsorship criteria that violate §1.9. Gate 2 is the federal substantive assessment — national standards that no State can circumvent or expand beyond the four certified categories. The Legislature holds supreme authority over immigration standards and may set aggregate limits on total applications processed in any period, provided limits are applied without §1.9 discrimination. Asylum proceedings under §6.4 are explicitly exempt from the Gate 1 requirement — the right to claim and have determined a §1.28 asylum claim exists independently of the dual-gate system, and no State's refusal to sponsor can extinguish it.</w:t>
      </w:r>
    </w:p>
    <w:p>
      <w:pPr>
        <w:spacing w:after="60" w:before="200"/>
        <w:ind w:left="431"/>
        <w:jc w:val="left"/>
      </w:pPr>
      <w:r>
        <w:rPr>
          <w:rFonts w:ascii="Courier New" w:cs="Courier New" w:eastAsia="Courier New" w:hAnsi="Courier New"/>
          <w:b/>
          <w:bCs/>
          <w:color w:val="1B2A4A"/>
          <w:sz w:val="18"/>
          <w:szCs w:val="18"/>
        </w:rPr>
        <w:t xml:space="preserve">§6.1.a  </w:t>
      </w:r>
      <w:r>
        <w:rPr>
          <w:rFonts w:ascii="Garamond" w:cs="Garamond" w:eastAsia="Garamond" w:hAnsi="Garamond"/>
          <w:b/>
          <w:bCs/>
          <w:i w:val="false"/>
          <w:iCs w:val="false"/>
          <w:color w:val="1B2A4A"/>
          <w:sz w:val="22"/>
          <w:szCs w:val="22"/>
        </w:rPr>
        <w:t xml:space="preserve">Gate 1 — State Sponsorship</w:t>
      </w:r>
    </w:p>
    <w:p>
      <w:pPr>
        <w:spacing w:after="120" w:before="0"/>
        <w:ind w:left="431"/>
        <w:jc w:val="both"/>
      </w:pPr>
      <w:r>
        <w:rPr>
          <w:rFonts w:ascii="Garamond" w:cs="Garamond" w:eastAsia="Garamond" w:hAnsi="Garamond"/>
          <w:b w:val="false"/>
          <w:bCs w:val="false"/>
          <w:i w:val="false"/>
          <w:iCs w:val="false"/>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431"/>
        <w:jc w:val="left"/>
      </w:pPr>
      <w:r>
        <w:rPr>
          <w:rFonts w:ascii="Courier New" w:cs="Courier New" w:eastAsia="Courier New" w:hAnsi="Courier New"/>
          <w:b/>
          <w:bCs/>
          <w:color w:val="1B2A4A"/>
          <w:sz w:val="18"/>
          <w:szCs w:val="18"/>
        </w:rPr>
        <w:t xml:space="preserve">§6.1.b  </w:t>
      </w:r>
      <w:r>
        <w:rPr>
          <w:rFonts w:ascii="Garamond" w:cs="Garamond" w:eastAsia="Garamond" w:hAnsi="Garamond"/>
          <w:b/>
          <w:bCs/>
          <w:i w:val="false"/>
          <w:iCs w:val="false"/>
          <w:color w:val="1B2A4A"/>
          <w:sz w:val="22"/>
          <w:szCs w:val="22"/>
        </w:rPr>
        <w:t xml:space="preserve">Gate 2 — Federal Certification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certification covers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431"/>
        <w:jc w:val="left"/>
      </w:pPr>
      <w:r>
        <w:rPr>
          <w:rFonts w:ascii="Courier New" w:cs="Courier New" w:eastAsia="Courier New" w:hAnsi="Courier New"/>
          <w:b/>
          <w:bCs/>
          <w:color w:val="1B2A4A"/>
          <w:sz w:val="18"/>
          <w:szCs w:val="18"/>
        </w:rPr>
        <w:t xml:space="preserve">§6.1.c  </w:t>
      </w:r>
      <w:r>
        <w:rPr>
          <w:rFonts w:ascii="Garamond" w:cs="Garamond" w:eastAsia="Garamond" w:hAnsi="Garamond"/>
          <w:b/>
          <w:bCs/>
          <w:i w:val="false"/>
          <w:iCs w:val="false"/>
          <w:color w:val="1B2A4A"/>
          <w:sz w:val="22"/>
          <w:szCs w:val="22"/>
        </w:rPr>
        <w:t xml:space="preserve">Presidential Role</w:t>
      </w:r>
    </w:p>
    <w:p>
      <w:pPr>
        <w:spacing w:after="120" w:before="0"/>
        <w:ind w:left="431"/>
        <w:jc w:val="both"/>
      </w:pPr>
      <w:r>
        <w:rPr>
          <w:rFonts w:ascii="Garamond" w:cs="Garamond" w:eastAsia="Garamond" w:hAnsi="Garamond"/>
          <w:b w:val="false"/>
          <w:bCs w:val="false"/>
          <w:i w:val="false"/>
          <w:iCs w:val="false"/>
          <w:color w:val="2a2520"/>
          <w:sz w:val="22"/>
          <w:szCs w:val="22"/>
        </w:rPr>
        <w:t xml:space="preserve">Once an applicant clears both gates, the President must ministerially issue residency credentials. Presidential interference with credential issuance is constitutionally prohibited.</w:t>
      </w:r>
    </w:p>
    <w:p>
      <w:pPr>
        <w:spacing w:after="60" w:before="200"/>
        <w:ind w:left="431"/>
        <w:jc w:val="left"/>
      </w:pPr>
      <w:r>
        <w:rPr>
          <w:rFonts w:ascii="Courier New" w:cs="Courier New" w:eastAsia="Courier New" w:hAnsi="Courier New"/>
          <w:b/>
          <w:bCs/>
          <w:color w:val="1B2A4A"/>
          <w:sz w:val="18"/>
          <w:szCs w:val="18"/>
        </w:rPr>
        <w:t xml:space="preserve">§6.1.d  </w:t>
      </w:r>
      <w:r>
        <w:rPr>
          <w:rFonts w:ascii="Garamond" w:cs="Garamond" w:eastAsia="Garamond" w:hAnsi="Garamond"/>
          <w:b/>
          <w:bCs/>
          <w:i w:val="false"/>
          <w:iCs w:val="false"/>
          <w:color w:val="1B2A4A"/>
          <w:sz w:val="22"/>
          <w:szCs w:val="22"/>
        </w:rPr>
        <w:t xml:space="preserve">Federal Sponsorship Category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and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 States may not conduct deportations independently. Removal occurs only for violations of laws the Legislature has defined — executive detention without statutory basis is not removal, it is unlawful detention subject to habeas corpus.</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Gate 2 Appeal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Gate 2 denials are judicially challengeable on three grounds: criterion outside the four certified categories; denial made on discriminatory grounds contrary to §1.9; or procedural violation affecting the outcome. Gate 1 denials are not reviewable on the merits of the sponsorship decision — a State's discretion over whom it sponsors is constitutionally protected. Gate 1 denials made on §1.9 discriminatory grounds are separately challengeable as constitutional violations, not as immigration appeals; a court finding discrimination may order the State to reconsider free of discriminatory criteria but may not compel sponsorship.</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Judicial Challenge</w:t>
      </w:r>
    </w:p>
    <w:p>
      <w:pPr>
        <w:spacing w:after="120" w:before="0"/>
        <w:ind w:left="431"/>
        <w:jc w:val="both"/>
      </w:pPr>
      <w:r>
        <w:rPr>
          <w:rFonts w:ascii="Garamond" w:cs="Garamond" w:eastAsia="Garamond" w:hAnsi="Garamond"/>
          <w:b w:val="false"/>
          <w:bCs w:val="false"/>
          <w:i w:val="false"/>
          <w:iCs w:val="false"/>
          <w:color w:val="2a2520"/>
          <w:sz w:val="22"/>
          <w:szCs w:val="22"/>
        </w:rPr>
        <w:t xml:space="preserve">An applicant may challenge a Gate 2 denial on three grounds: criterion outside the four certified categories; discriminatory application; or procedurally deficient process.</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National Security Denials — In-Camera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jc w:val="left"/>
      </w:pPr>
      <w:r>
        <w:rPr>
          <w:rFonts w:ascii="Courier New" w:cs="Courier New" w:eastAsia="Courier New" w:hAnsi="Courier New"/>
          <w:b/>
          <w:bCs/>
          <w:color w:val="1B2A4A"/>
          <w:sz w:val="18"/>
          <w:szCs w:val="18"/>
        </w:rPr>
        <w:t xml:space="preserve">§6.4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immigration system. An asylum filer under §1.28 becomes an Inhabitant at filing — not upon grant. Their claim must be determined before any removal order takes effect. The asylum track is explicitly exempt from Gate 1 state sponsorship: no state's refusal to sponsor can extinguish a §1.28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431"/>
        <w:jc w:val="left"/>
      </w:pPr>
      <w:r>
        <w:rPr>
          <w:rFonts w:ascii="Courier New" w:cs="Courier New" w:eastAsia="Courier New" w:hAnsi="Courier New"/>
          <w:b/>
          <w:bCs/>
          <w:color w:val="1B2A4A"/>
          <w:sz w:val="18"/>
          <w:szCs w:val="18"/>
        </w:rPr>
        <w:t xml:space="preserve">§6.4.a  </w:t>
      </w:r>
      <w:r>
        <w:rPr>
          <w:rFonts w:ascii="Garamond" w:cs="Garamond" w:eastAsia="Garamond" w:hAnsi="Garamond"/>
          <w:b/>
          <w:bCs/>
          <w:i w:val="false"/>
          <w:iCs w:val="false"/>
          <w:color w:val="1B2A4A"/>
          <w:sz w:val="22"/>
          <w:szCs w:val="22"/>
        </w:rPr>
        <w:t xml:space="preserve">Asylum Seekers as Inhabitants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who files an asylum claim under §1.28 is an Inhabitant of the Republic from the date of filing — immediately entitled to access social state systems under §10.1 and all Article I protections. Protection-first: the determination process does not happen in a rights-free zone.</w:t>
      </w:r>
    </w:p>
    <w:p>
      <w:pPr>
        <w:spacing w:after="60" w:before="200"/>
        <w:ind w:left="431"/>
        <w:jc w:val="left"/>
      </w:pPr>
      <w:r>
        <w:rPr>
          <w:rFonts w:ascii="Courier New" w:cs="Courier New" w:eastAsia="Courier New" w:hAnsi="Courier New"/>
          <w:b/>
          <w:bCs/>
          <w:color w:val="1B2A4A"/>
          <w:sz w:val="18"/>
          <w:szCs w:val="18"/>
        </w:rPr>
        <w:t xml:space="preserve">§6.4.b  </w:t>
      </w:r>
      <w:r>
        <w:rPr>
          <w:rFonts w:ascii="Garamond" w:cs="Garamond" w:eastAsia="Garamond" w:hAnsi="Garamond"/>
          <w:b/>
          <w:bCs/>
          <w:i w:val="false"/>
          <w:iCs w:val="false"/>
          <w:color w:val="1B2A4A"/>
          <w:sz w:val="22"/>
          <w:szCs w:val="22"/>
        </w:rPr>
        <w:t xml:space="preserve">Right to Determination and Protection During Proceedings</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431"/>
        <w:jc w:val="left"/>
      </w:pPr>
      <w:r>
        <w:rPr>
          <w:rFonts w:ascii="Courier New" w:cs="Courier New" w:eastAsia="Courier New" w:hAnsi="Courier New"/>
          <w:b/>
          <w:bCs/>
          <w:color w:val="1B2A4A"/>
          <w:sz w:val="18"/>
          <w:szCs w:val="18"/>
        </w:rPr>
        <w:t xml:space="preserve">§6.4.c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431"/>
        <w:jc w:val="left"/>
      </w:pPr>
      <w:r>
        <w:rPr>
          <w:rFonts w:ascii="Courier New" w:cs="Courier New" w:eastAsia="Courier New" w:hAnsi="Courier New"/>
          <w:b/>
          <w:bCs/>
          <w:color w:val="1B2A4A"/>
          <w:sz w:val="18"/>
          <w:szCs w:val="18"/>
        </w:rPr>
        <w:t xml:space="preserve">§6.4.d  </w:t>
      </w:r>
      <w:r>
        <w:rPr>
          <w:rFonts w:ascii="Garamond" w:cs="Garamond" w:eastAsia="Garamond" w:hAnsi="Garamond"/>
          <w:b/>
          <w:bCs/>
          <w:i w:val="false"/>
          <w:iCs w:val="false"/>
          <w:color w:val="1B2A4A"/>
          <w:sz w:val="22"/>
          <w:szCs w:val="22"/>
        </w:rPr>
        <w:t xml:space="preserve">Non-Penalization for Irregular Entry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431"/>
        <w:jc w:val="left"/>
      </w:pPr>
      <w:r>
        <w:rPr>
          <w:rFonts w:ascii="Courier New" w:cs="Courier New" w:eastAsia="Courier New" w:hAnsi="Courier New"/>
          <w:b/>
          <w:bCs/>
          <w:color w:val="1B2A4A"/>
          <w:sz w:val="18"/>
          <w:szCs w:val="18"/>
        </w:rPr>
        <w:t xml:space="preserve">§6.4.e  </w:t>
      </w:r>
      <w:r>
        <w:rPr>
          <w:rFonts w:ascii="Garamond" w:cs="Garamond" w:eastAsia="Garamond" w:hAnsi="Garamond"/>
          <w:b/>
          <w:bCs/>
          <w:i w:val="false"/>
          <w:iCs w:val="false"/>
          <w:color w:val="1B2A4A"/>
          <w:sz w:val="22"/>
          <w:szCs w:val="22"/>
        </w:rPr>
        <w:t xml:space="preserve">Unexecutable Removal Orders</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§1.28. The constitution does not allow indefinite stateless detention.</w:t>
      </w:r>
    </w:p>
    <w:p>
      <w:pPr>
        <w:spacing w:after="60" w:before="200"/>
        <w:ind w:left="431"/>
        <w:jc w:val="left"/>
      </w:pPr>
      <w:r>
        <w:rPr>
          <w:rFonts w:ascii="Courier New" w:cs="Courier New" w:eastAsia="Courier New" w:hAnsi="Courier New"/>
          <w:b/>
          <w:bCs/>
          <w:color w:val="1B2A4A"/>
          <w:sz w:val="18"/>
          <w:szCs w:val="18"/>
        </w:rPr>
        <w:t xml:space="preserve">§6.4.f  </w:t>
      </w:r>
      <w:r>
        <w:rPr>
          <w:rFonts w:ascii="Garamond" w:cs="Garamond" w:eastAsia="Garamond" w:hAnsi="Garamond"/>
          <w:b/>
          <w:bCs/>
          <w:i w:val="false"/>
          <w:iCs w:val="false"/>
          <w:color w:val="1B2A4A"/>
          <w:sz w:val="22"/>
          <w:szCs w:val="22"/>
        </w:rPr>
        <w:t xml:space="preserve">Security and Criminal Protection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Asylum Court grants §1.28 protection to a person who poses a documented security threat, removal remains constitutionally barred. Indefinite unreviewed detention is not a constitutionally available outcome. Where removal is barred under §1.28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431"/>
        <w:jc w:val="left"/>
      </w:pPr>
      <w:r>
        <w:rPr>
          <w:rFonts w:ascii="Courier New" w:cs="Courier New" w:eastAsia="Courier New" w:hAnsi="Courier New"/>
          <w:b/>
          <w:bCs/>
          <w:color w:val="1B2A4A"/>
          <w:sz w:val="18"/>
          <w:szCs w:val="18"/>
        </w:rPr>
        <w:t xml:space="preserve">§6.4.g  </w:t>
      </w:r>
      <w:r>
        <w:rPr>
          <w:rFonts w:ascii="Garamond" w:cs="Garamond" w:eastAsia="Garamond" w:hAnsi="Garamond"/>
          <w:b/>
          <w:bCs/>
          <w:i w:val="false"/>
          <w:iCs w:val="false"/>
          <w:color w:val="1B2A4A"/>
          <w:sz w:val="22"/>
          <w:szCs w:val="22"/>
        </w:rPr>
        <w:t xml:space="preserve">Territory Accessibility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431"/>
        <w:jc w:val="left"/>
      </w:pPr>
      <w:r>
        <w:rPr>
          <w:rFonts w:ascii="Courier New" w:cs="Courier New" w:eastAsia="Courier New" w:hAnsi="Courier New"/>
          <w:b/>
          <w:bCs/>
          <w:color w:val="1B2A4A"/>
          <w:sz w:val="18"/>
          <w:szCs w:val="18"/>
        </w:rPr>
        <w:t xml:space="preserve">§6.4.h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or presenting to Republic authorities is an Inhabitant from the moment of contact and holds full §1.28 protection. A federal legal guardian must be appointed within 24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Standard Elections — Ranked Choice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federal elections on National Election Day, every two years. All elections for House, Senate, and Director of the Digital Infrastructure Commission use Ranked Choice Voting — majority required, not plurality. No federal elections outside National Election Day except special elections for vacancies.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Presidential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is elected through two concurrent requirements: a national RCV majority and a State plurality qualification. A candidate wins outright by satisfying both. Where a candidate's national RCV majority exceeds 60% of active ballots, the State plurality requirement is waived — a margin of that scale constitutes its own geographic legitimacy. Where no candidate wins outright, a runoff is conducted under §7.2.f.</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National Ranked-Choice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Presidential elections use Ranked Choice Voting conducted nationally. Votes transfer until one candidate holds a majority of active ballots nationwide. The Elections Panel of the Digital Infrastructure Commission administers the national election and certifies results under §7.2.e.</w:t>
      </w:r>
    </w:p>
    <w:p>
      <w:pPr>
        <w:spacing w:after="60" w:before="200"/>
        <w:ind w:left="431"/>
        <w:jc w:val="left"/>
      </w:pPr>
      <w:r>
        <w:rPr>
          <w:rFonts w:ascii="Courier New" w:cs="Courier New" w:eastAsia="Courier New" w:hAnsi="Courier New"/>
          <w:b/>
          <w:bCs/>
          <w:color w:val="1B2A4A"/>
          <w:sz w:val="18"/>
          <w:szCs w:val="18"/>
        </w:rPr>
        <w:t xml:space="preserve">§7.2.b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Where the national RCV majority exceeds 60% of active ballots, this requirement is waived under §7.2. Territory votes count toward the national first-preference and RCV totals but not the State plurality calculation — Territories are not States for this purpose. The Elections Panel certifies State-by-State first-preference results as part of the overall election certification under §7.2.e.</w:t>
      </w:r>
    </w:p>
    <w:p>
      <w:pPr>
        <w:spacing w:after="60" w:before="200"/>
        <w:ind w:left="431"/>
        <w:jc w:val="left"/>
      </w:pPr>
      <w:r>
        <w:rPr>
          <w:rFonts w:ascii="Courier New" w:cs="Courier New" w:eastAsia="Courier New" w:hAnsi="Courier New"/>
          <w:b/>
          <w:bCs/>
          <w:color w:val="1B2A4A"/>
          <w:sz w:val="18"/>
          <w:szCs w:val="18"/>
        </w:rPr>
        <w:t xml:space="preserve">§7.2.d  </w:t>
      </w:r>
      <w:r>
        <w:rPr>
          <w:rFonts w:ascii="Garamond" w:cs="Garamond" w:eastAsia="Garamond" w:hAnsi="Garamond"/>
          <w:b/>
          <w:bCs/>
          <w:i w:val="false"/>
          <w:iCs w:val="false"/>
          <w:color w:val="1B2A4A"/>
          <w:sz w:val="22"/>
          <w:szCs w:val="22"/>
        </w:rPr>
        <w:t xml:space="preserve">Territory Presidential Voting</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Territory citizens hold the full §1.20 right to vote in presidential elections. Their votes count in the national first-preference total and RCV calculation. Territories are not included in the State plurality calculation under §7.2.b — their citizens are not residents of a State for this purpose. This preserves the integrity of the geographic breadth requirement while ensuring Territory citizens exercise full national voting rights.</w:t>
      </w:r>
    </w:p>
    <w:p>
      <w:pPr>
        <w:spacing w:after="60" w:before="200"/>
        <w:ind w:left="431"/>
        <w:jc w:val="left"/>
      </w:pPr>
      <w:r>
        <w:rPr>
          <w:rFonts w:ascii="Courier New" w:cs="Courier New" w:eastAsia="Courier New" w:hAnsi="Courier New"/>
          <w:b/>
          <w:bCs/>
          <w:color w:val="1B2A4A"/>
          <w:sz w:val="18"/>
          <w:szCs w:val="18"/>
        </w:rPr>
        <w:t xml:space="preserve">§7.2.e  </w:t>
      </w:r>
      <w:r>
        <w:rPr>
          <w:rFonts w:ascii="Garamond" w:cs="Garamond" w:eastAsia="Garamond" w:hAnsi="Garamond"/>
          <w:b/>
          <w:bCs/>
          <w:i w:val="false"/>
          <w:iCs w:val="false"/>
          <w:color w:val="1B2A4A"/>
          <w:sz w:val="22"/>
          <w:szCs w:val="22"/>
        </w:rPr>
        <w:t xml:space="preserve">Election Certification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of the Digital Infrastructure Commission certifies the final presidential election result to the NRS within a period the Legislature defines by statute. Certification is final and may be challenged only before the Supreme Court within 14 days. No transfer of presidential authority may be delayed beyond the moment established by the transition provisions of §19.3.</w:t>
      </w:r>
    </w:p>
    <w:p>
      <w:pPr>
        <w:spacing w:after="60" w:before="200"/>
        <w:ind w:left="431"/>
        <w:jc w:val="left"/>
      </w:pPr>
      <w:r>
        <w:rPr>
          <w:rFonts w:ascii="Courier New" w:cs="Courier New" w:eastAsia="Courier New" w:hAnsi="Courier New"/>
          <w:b/>
          <w:bCs/>
          <w:color w:val="1B2A4A"/>
          <w:sz w:val="18"/>
          <w:szCs w:val="18"/>
        </w:rPr>
        <w:t xml:space="preserve">§7.2.f  </w:t>
      </w:r>
      <w:r>
        <w:rPr>
          <w:rFonts w:ascii="Garamond" w:cs="Garamond" w:eastAsia="Garamond" w:hAnsi="Garamond"/>
          <w:b/>
          <w:bCs/>
          <w:i w:val="false"/>
          <w:iCs w:val="false"/>
          <w:color w:val="1B2A4A"/>
          <w:sz w:val="22"/>
          <w:szCs w:val="22"/>
        </w:rPr>
        <w:t xml:space="preserve">Run-off</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no candidate wins outright — either because no candidate achieved a national RCV majority, or because the national majority winner's margin did not exceed 60% of active ballots and the candidate failed the State plurality requirement — a runoff is conducted between the two candidates with the highest national first-preference vote totals. The runoff is determined by national RCV only. No State plurality requirement applies in the runoff. The Elections Panel administers the runoff on the same terms as the primary election under §7.2.a and §7.2.e.</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Legislative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Legislative elections are administered by the Elections Panel of the Digital Infrastructure Commission free from executive interference. The National Voting System is the uniform platform for all federal elections.</w:t>
      </w:r>
    </w:p>
    <w:p>
      <w:pPr>
        <w:spacing w:after="60" w:before="200"/>
        <w:ind w:left="431"/>
        <w:jc w:val="left"/>
      </w:pPr>
      <w:r>
        <w:rPr>
          <w:rFonts w:ascii="Courier New" w:cs="Courier New" w:eastAsia="Courier New" w:hAnsi="Courier New"/>
          <w:b/>
          <w:bCs/>
          <w:color w:val="1B2A4A"/>
          <w:sz w:val="18"/>
          <w:szCs w:val="18"/>
        </w:rPr>
        <w:t xml:space="preserve">§7.3.a  </w:t>
      </w:r>
      <w:r>
        <w:rPr>
          <w:rFonts w:ascii="Garamond" w:cs="Garamond" w:eastAsia="Garamond" w:hAnsi="Garamond"/>
          <w:b/>
          <w:bCs/>
          <w:i w:val="false"/>
          <w:iCs w:val="false"/>
          <w:color w:val="1B2A4A"/>
          <w:sz w:val="22"/>
          <w:szCs w:val="22"/>
        </w:rPr>
        <w:t xml:space="preserve">No Executive Interference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not declare, postpone, or influence the scheduling of elections — including declaring emergencies that have the effect of postponing them.</w:t>
      </w:r>
    </w:p>
    <w:p>
      <w:pPr>
        <w:spacing w:after="60" w:before="200"/>
        <w:ind w:left="431"/>
        <w:jc w:val="left"/>
      </w:pPr>
      <w:r>
        <w:rPr>
          <w:rFonts w:ascii="Courier New" w:cs="Courier New" w:eastAsia="Courier New" w:hAnsi="Courier New"/>
          <w:b/>
          <w:bCs/>
          <w:color w:val="1B2A4A"/>
          <w:sz w:val="18"/>
          <w:szCs w:val="18"/>
        </w:rPr>
        <w:t xml:space="preserve">§7.3.b  </w:t>
      </w:r>
      <w:r>
        <w:rPr>
          <w:rFonts w:ascii="Garamond" w:cs="Garamond" w:eastAsia="Garamond" w:hAnsi="Garamond"/>
          <w:b/>
          <w:bCs/>
          <w:i w:val="false"/>
          <w:iCs w:val="false"/>
          <w:color w:val="1B2A4A"/>
          <w:sz w:val="22"/>
          <w:szCs w:val="22"/>
        </w:rPr>
        <w:t xml:space="preserve">National Voting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of the Digital Infrastructure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431"/>
        <w:jc w:val="left"/>
      </w:pPr>
      <w:r>
        <w:rPr>
          <w:rFonts w:ascii="Courier New" w:cs="Courier New" w:eastAsia="Courier New" w:hAnsi="Courier New"/>
          <w:b/>
          <w:bCs/>
          <w:color w:val="1B2A4A"/>
          <w:sz w:val="18"/>
          <w:szCs w:val="18"/>
        </w:rPr>
        <w:t xml:space="preserve">§7.3.c  </w:t>
      </w:r>
      <w:r>
        <w:rPr>
          <w:rFonts w:ascii="Garamond" w:cs="Garamond" w:eastAsia="Garamond" w:hAnsi="Garamond"/>
          <w:b/>
          <w:bCs/>
          <w:i w:val="false"/>
          <w:iCs w:val="false"/>
          <w:color w:val="1B2A4A"/>
          <w:sz w:val="22"/>
          <w:szCs w:val="22"/>
        </w:rPr>
        <w:t xml:space="preserve">Participation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pPr>
        <w:spacing w:after="60" w:before="200"/>
        <w:jc w:val="left"/>
      </w:pPr>
      <w:r>
        <w:rPr>
          <w:rFonts w:ascii="Garamond" w:cs="Garamond" w:eastAsia="Garamond" w:hAnsi="Garamond"/>
          <w:b/>
          <w:bCs/>
          <w:i w:val="false"/>
          <w:iCs w:val="false"/>
          <w:color w:val="1B2A4A"/>
          <w:sz w:val="34"/>
          <w:szCs w:val="34"/>
        </w:rPr>
        <w:t xml:space="preserve">Article VIII — Inspectorates and the State Designee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Three Inspectorates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Inspectorates — Legislative, Executive, and Judicial — each selected by branches other than those it oversees. The Inspectorates hold an information-only mandate: they publish findings but do not issue binding orders. Each Inspector General serves a 10-year non-renewable term with a constitutionally protected funding floor.</w:t>
      </w:r>
    </w:p>
    <w:p>
      <w:pPr>
        <w:spacing w:after="60" w:before="200"/>
        <w:ind w:left="431"/>
        <w:jc w:val="left"/>
      </w:pPr>
      <w:r>
        <w:rPr>
          <w:rFonts w:ascii="Courier New" w:cs="Courier New" w:eastAsia="Courier New" w:hAnsi="Courier New"/>
          <w:b/>
          <w:bCs/>
          <w:color w:val="1B2A4A"/>
          <w:sz w:val="18"/>
          <w:szCs w:val="18"/>
        </w:rPr>
        <w:t xml:space="preserve">§8.1.a  </w:t>
      </w:r>
      <w:r>
        <w:rPr>
          <w:rFonts w:ascii="Garamond" w:cs="Garamond" w:eastAsia="Garamond" w:hAnsi="Garamond"/>
          <w:b/>
          <w:bCs/>
          <w:i w:val="false"/>
          <w:iCs w:val="false"/>
          <w:color w:val="1B2A4A"/>
          <w:sz w:val="22"/>
          <w:szCs w:val="22"/>
        </w:rPr>
        <w:t xml:space="preserve">The Legislative Inspectorate (LI)</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audits the Legislature for fiscal accuracy, constitutional compliance, and NRS integrity. Audits the population census conducted by the statutory independent agency under §3.1.b for constitutional compliance. Reviews House district maps for compliance with §3.4.a criteria. Publishes germaneness analyses. Annual compliance report published to the NRS. Determines referendum eligibility for citizen-initiated repeal petitions under §11.1.b.</w:t>
      </w:r>
    </w:p>
    <w:p>
      <w:pPr>
        <w:spacing w:after="60" w:before="200"/>
        <w:ind w:left="431"/>
        <w:jc w:val="left"/>
      </w:pPr>
      <w:r>
        <w:rPr>
          <w:rFonts w:ascii="Courier New" w:cs="Courier New" w:eastAsia="Courier New" w:hAnsi="Courier New"/>
          <w:b/>
          <w:bCs/>
          <w:color w:val="1B2A4A"/>
          <w:sz w:val="18"/>
          <w:szCs w:val="18"/>
        </w:rPr>
        <w:t xml:space="preserve">§8.1.b  </w:t>
      </w:r>
      <w:r>
        <w:rPr>
          <w:rFonts w:ascii="Garamond" w:cs="Garamond" w:eastAsia="Garamond" w:hAnsi="Garamond"/>
          <w:b/>
          <w:bCs/>
          <w:i w:val="false"/>
          <w:iCs w:val="false"/>
          <w:color w:val="1B2A4A"/>
          <w:sz w:val="22"/>
          <w:szCs w:val="22"/>
        </w:rPr>
        <w:t xml:space="preserve">The Executive Inspectorate (EI)</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audits both executives and the Monetary Authority. Annual military compliance assessment: were Tier authorizations followed? Was §1.30.d Intelligence Firewall maintained? Were fund certifications observed? Publishes clemency background reports before any executive act. Reviews disclosure records for constitutional appointments.</w:t>
      </w:r>
    </w:p>
    <w:p>
      <w:pPr>
        <w:spacing w:after="60" w:before="200"/>
        <w:ind w:left="431"/>
        <w:jc w:val="left"/>
      </w:pPr>
      <w:r>
        <w:rPr>
          <w:rFonts w:ascii="Courier New" w:cs="Courier New" w:eastAsia="Courier New" w:hAnsi="Courier New"/>
          <w:b/>
          <w:bCs/>
          <w:color w:val="1B2A4A"/>
          <w:sz w:val="18"/>
          <w:szCs w:val="18"/>
        </w:rPr>
        <w:t xml:space="preserve">§8.1.c  </w:t>
      </w:r>
      <w:r>
        <w:rPr>
          <w:rFonts w:ascii="Garamond" w:cs="Garamond" w:eastAsia="Garamond" w:hAnsi="Garamond"/>
          <w:b/>
          <w:bCs/>
          <w:i w:val="false"/>
          <w:iCs w:val="false"/>
          <w:color w:val="1B2A4A"/>
          <w:sz w:val="22"/>
          <w:szCs w:val="22"/>
        </w:rPr>
        <w:t xml:space="preserve">The Judicial Inspectorate (JI)</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audits the courts for judicial scope and independence. Maintains the SC Candidate Registry under §8.4.e and confirms registry status for SC nominees under §4.2.d. Audits the Digital Infrastructure Commission's Elections Panel annually for electoral integrity compliance. Reviews accommodation compact compliance under §19.1, Associated Community compact compliance under Article XX, and Article XIV indigenous compact obligations. The JI's structural independence — selection by public lottery with no political nomination — makes it the appropriate body to administer all constitutional lottery draws and candidate certification functions throughout the Republic, in addition to its core judicial audit mandate.</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Inspectorate is constituted through a cross-nomination process that structurally excludes the body being watched from selecting those who watch it. The Supreme Court nominates the LI Inspector General, confirmed by Senate 2/3 supermajority. The House nominates the EI Inspector General, confirmed by Senate simple majority with JI vetting. The JI Inspector General is selected by public lottery with no political nomination by any branch.</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Inspector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Inspector General is selected through a cross-nomination process that excludes the body being watched, as specified in §8.3.a through §8.3.c.</w:t>
      </w:r>
    </w:p>
    <w:p>
      <w:pPr>
        <w:spacing w:after="60" w:before="200"/>
        <w:ind w:left="431"/>
        <w:jc w:val="left"/>
      </w:pPr>
      <w:r>
        <w:rPr>
          <w:rFonts w:ascii="Courier New" w:cs="Courier New" w:eastAsia="Courier New" w:hAnsi="Courier New"/>
          <w:b/>
          <w:bCs/>
          <w:color w:val="1B2A4A"/>
          <w:sz w:val="18"/>
          <w:szCs w:val="18"/>
        </w:rPr>
        <w:t xml:space="preserve">§8.3.a  </w:t>
      </w:r>
      <w:r>
        <w:rPr>
          <w:rFonts w:ascii="Garamond" w:cs="Garamond" w:eastAsia="Garamond" w:hAnsi="Garamond"/>
          <w:b/>
          <w:bCs/>
          <w:i w:val="false"/>
          <w:iCs w:val="false"/>
          <w:color w:val="1B2A4A"/>
          <w:sz w:val="22"/>
          <w:szCs w:val="22"/>
        </w:rPr>
        <w:t xml:space="preserve">Legislative IG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Inspector General is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431"/>
        <w:jc w:val="left"/>
      </w:pPr>
      <w:r>
        <w:rPr>
          <w:rFonts w:ascii="Courier New" w:cs="Courier New" w:eastAsia="Courier New" w:hAnsi="Courier New"/>
          <w:b/>
          <w:bCs/>
          <w:color w:val="1B2A4A"/>
          <w:sz w:val="18"/>
          <w:szCs w:val="18"/>
        </w:rPr>
        <w:t xml:space="preserve">§8.3.b  </w:t>
      </w:r>
      <w:r>
        <w:rPr>
          <w:rFonts w:ascii="Garamond" w:cs="Garamond" w:eastAsia="Garamond" w:hAnsi="Garamond"/>
          <w:b/>
          <w:bCs/>
          <w:i w:val="false"/>
          <w:iCs w:val="false"/>
          <w:color w:val="1B2A4A"/>
          <w:sz w:val="22"/>
          <w:szCs w:val="22"/>
        </w:rPr>
        <w:t xml:space="preserve">Executive IG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Inspector General is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431"/>
        <w:jc w:val="left"/>
      </w:pPr>
      <w:r>
        <w:rPr>
          <w:rFonts w:ascii="Courier New" w:cs="Courier New" w:eastAsia="Courier New" w:hAnsi="Courier New"/>
          <w:b/>
          <w:bCs/>
          <w:color w:val="1B2A4A"/>
          <w:sz w:val="18"/>
          <w:szCs w:val="18"/>
        </w:rPr>
        <w:t xml:space="preserve">§8.3.c  </w:t>
      </w:r>
      <w:r>
        <w:rPr>
          <w:rFonts w:ascii="Garamond" w:cs="Garamond" w:eastAsia="Garamond" w:hAnsi="Garamond"/>
          <w:b/>
          <w:bCs/>
          <w:i w:val="false"/>
          <w:iCs w:val="false"/>
          <w:color w:val="1B2A4A"/>
          <w:sz w:val="22"/>
          <w:szCs w:val="22"/>
        </w:rPr>
        <w:t xml:space="preserve">Term and Staggering</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431"/>
        <w:jc w:val="left"/>
      </w:pPr>
      <w:r>
        <w:rPr>
          <w:rFonts w:ascii="Courier New" w:cs="Courier New" w:eastAsia="Courier New" w:hAnsi="Courier New"/>
          <w:b/>
          <w:bCs/>
          <w:color w:val="1B2A4A"/>
          <w:sz w:val="18"/>
          <w:szCs w:val="18"/>
        </w:rPr>
        <w:t xml:space="preserve">§8.4  </w:t>
      </w:r>
      <w:r>
        <w:rPr>
          <w:rFonts w:ascii="Garamond" w:cs="Garamond" w:eastAsia="Garamond" w:hAnsi="Garamond"/>
          <w:b/>
          <w:bCs/>
          <w:i w:val="false"/>
          <w:iCs w:val="false"/>
          <w:color w:val="1B2A4A"/>
          <w:sz w:val="22"/>
          <w:szCs w:val="22"/>
        </w:rPr>
        <w:t xml:space="preserve">Judicial Inspectorate — Audit and Certification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Judicial Inspectorate holds two constitutional mandates. First, as auditor: it monitors the court system, administers the SC candidate registry, and conducts compliance audits across compact obligations. Second, as certification administrator: it certifies lottery draws and panel selections throughout the constitution, including the State Designee Panel and the Digital Infrastructure Advisory Council. Both mandates are informational only — the JI publishes findings and certifies processes; it does not issue binding orders or control outcomes.</w:t>
      </w:r>
    </w:p>
    <w:p>
      <w:pPr>
        <w:spacing w:after="60" w:before="200"/>
        <w:ind w:left="431"/>
        <w:jc w:val="left"/>
      </w:pPr>
      <w:r>
        <w:rPr>
          <w:rFonts w:ascii="Courier New" w:cs="Courier New" w:eastAsia="Courier New" w:hAnsi="Courier New"/>
          <w:b/>
          <w:bCs/>
          <w:color w:val="1B2A4A"/>
          <w:sz w:val="18"/>
          <w:szCs w:val="18"/>
        </w:rPr>
        <w:t xml:space="preserve">§8.4.a  </w:t>
      </w:r>
      <w:r>
        <w:rPr>
          <w:rFonts w:ascii="Garamond" w:cs="Garamond" w:eastAsia="Garamond" w:hAnsi="Garamond"/>
          <w:b/>
          <w:bCs/>
          <w:i w:val="false"/>
          <w:iCs w:val="false"/>
          <w:color w:val="1B2A4A"/>
          <w:sz w:val="22"/>
          <w:szCs w:val="22"/>
        </w:rPr>
        <w:t xml:space="preserve">Judicial IG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Inspector General is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 Where there is no outgoing JI IG — on the first-ever selection or where the outgoing IG has been removed or is incapacitated — the draw is administered jointly by the LI and EI Inspector Generals.</w:t>
      </w:r>
    </w:p>
    <w:p>
      <w:pPr>
        <w:spacing w:after="60" w:before="200"/>
        <w:ind w:left="431"/>
        <w:jc w:val="left"/>
      </w:pPr>
      <w:r>
        <w:rPr>
          <w:rFonts w:ascii="Courier New" w:cs="Courier New" w:eastAsia="Courier New" w:hAnsi="Courier New"/>
          <w:b/>
          <w:bCs/>
          <w:color w:val="1B2A4A"/>
          <w:sz w:val="18"/>
          <w:szCs w:val="18"/>
        </w:rPr>
        <w:t xml:space="preserve">§8.4.b  </w:t>
      </w:r>
      <w:r>
        <w:rPr>
          <w:rFonts w:ascii="Garamond" w:cs="Garamond" w:eastAsia="Garamond" w:hAnsi="Garamond"/>
          <w:b/>
          <w:bCs/>
          <w:i w:val="false"/>
          <w:iCs w:val="false"/>
          <w:color w:val="1B2A4A"/>
          <w:sz w:val="22"/>
          <w:szCs w:val="22"/>
        </w:rPr>
        <w:t xml:space="preserve">JI Compact Compliance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431"/>
        <w:jc w:val="left"/>
      </w:pPr>
      <w:r>
        <w:rPr>
          <w:rFonts w:ascii="Courier New" w:cs="Courier New" w:eastAsia="Courier New" w:hAnsi="Courier New"/>
          <w:b/>
          <w:bCs/>
          <w:color w:val="1B2A4A"/>
          <w:sz w:val="18"/>
          <w:szCs w:val="18"/>
        </w:rPr>
        <w:t xml:space="preserve">§8.4.c  </w:t>
      </w:r>
      <w:r>
        <w:rPr>
          <w:rFonts w:ascii="Garamond" w:cs="Garamond" w:eastAsia="Garamond" w:hAnsi="Garamond"/>
          <w:b/>
          <w:bCs/>
          <w:i w:val="false"/>
          <w:iCs w:val="false"/>
          <w:color w:val="1B2A4A"/>
          <w:sz w:val="22"/>
          <w:szCs w:val="22"/>
        </w:rPr>
        <w:t xml:space="preserve">JI Court Operations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431"/>
        <w:jc w:val="left"/>
      </w:pPr>
      <w:r>
        <w:rPr>
          <w:rFonts w:ascii="Courier New" w:cs="Courier New" w:eastAsia="Courier New" w:hAnsi="Courier New"/>
          <w:b/>
          <w:bCs/>
          <w:color w:val="1B2A4A"/>
          <w:sz w:val="18"/>
          <w:szCs w:val="18"/>
        </w:rPr>
        <w:t xml:space="preserve">§8.4.d  </w:t>
      </w:r>
      <w:r>
        <w:rPr>
          <w:rFonts w:ascii="Garamond" w:cs="Garamond" w:eastAsia="Garamond" w:hAnsi="Garamond"/>
          <w:b/>
          <w:bCs/>
          <w:i w:val="false"/>
          <w:iCs w:val="false"/>
          <w:color w:val="1B2A4A"/>
          <w:sz w:val="22"/>
          <w:szCs w:val="22"/>
        </w:rPr>
        <w:t xml:space="preserve">JI Electoral Commission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431"/>
        <w:jc w:val="left"/>
      </w:pPr>
      <w:r>
        <w:rPr>
          <w:rFonts w:ascii="Courier New" w:cs="Courier New" w:eastAsia="Courier New" w:hAnsi="Courier New"/>
          <w:b/>
          <w:bCs/>
          <w:color w:val="1B2A4A"/>
          <w:sz w:val="18"/>
          <w:szCs w:val="18"/>
        </w:rPr>
        <w:t xml:space="preserve">§8.4.e  </w:t>
      </w:r>
      <w:r>
        <w:rPr>
          <w:rFonts w:ascii="Garamond" w:cs="Garamond" w:eastAsia="Garamond" w:hAnsi="Garamond"/>
          <w:b/>
          <w:bCs/>
          <w:i w:val="false"/>
          <w:iCs w:val="false"/>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maintains the standing SC Candidate Registry. Any citizen meeting the eligibility criteria — 15 or more years of legal practice or 10 or more years of judicial service, no current government position, no disqualifying financial interest — may apply. Registry applicants must file a financial disclosure record with the EI; the EI reviews for factual accuracy within 21 days and publishes its findings to the NRS as part of the registry entry. Registry inclusion does not expire unless the JI identifies a disqualifying change in eligibility status.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§8.4.f  </w:t>
      </w:r>
      <w:r>
        <w:rPr>
          <w:rFonts w:ascii="Garamond" w:cs="Garamond" w:eastAsia="Garamond" w:hAnsi="Garamond"/>
          <w:b/>
          <w:bCs/>
          <w:i w:val="false"/>
          <w:iCs w:val="false"/>
          <w:color w:val="1B2A4A"/>
          <w:sz w:val="22"/>
          <w:szCs w:val="22"/>
        </w:rPr>
        <w:t xml:space="preserve">JI Judicial Independence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431"/>
        <w:jc w:val="left"/>
      </w:pPr>
      <w:r>
        <w:rPr>
          <w:rFonts w:ascii="Courier New" w:cs="Courier New" w:eastAsia="Courier New" w:hAnsi="Courier New"/>
          <w:b/>
          <w:bCs/>
          <w:color w:val="1B2A4A"/>
          <w:sz w:val="18"/>
          <w:szCs w:val="18"/>
        </w:rPr>
        <w:t xml:space="preserve">§8.4.g  </w:t>
      </w:r>
      <w:r>
        <w:rPr>
          <w:rFonts w:ascii="Garamond" w:cs="Garamond" w:eastAsia="Garamond" w:hAnsi="Garamond"/>
          <w:b/>
          <w:bCs/>
          <w:i w:val="false"/>
          <w:iCs w:val="false"/>
          <w:color w:val="1B2A4A"/>
          <w:sz w:val="22"/>
          <w:szCs w:val="22"/>
        </w:rPr>
        <w:t xml:space="preserve">SC Independence Assessment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431"/>
        <w:jc w:val="left"/>
      </w:pPr>
      <w:r>
        <w:rPr>
          <w:rFonts w:ascii="Courier New" w:cs="Courier New" w:eastAsia="Courier New" w:hAnsi="Courier New"/>
          <w:b/>
          <w:bCs/>
          <w:color w:val="1B2A4A"/>
          <w:sz w:val="18"/>
          <w:szCs w:val="18"/>
        </w:rPr>
        <w:t xml:space="preserve">§8.4.h  </w:t>
      </w:r>
      <w:r>
        <w:rPr>
          <w:rFonts w:ascii="Garamond" w:cs="Garamond" w:eastAsia="Garamond" w:hAnsi="Garamond"/>
          <w:b/>
          <w:bCs/>
          <w:i w:val="false"/>
          <w:iCs w:val="false"/>
          <w:color w:val="1B2A4A"/>
          <w:sz w:val="22"/>
          <w:szCs w:val="22"/>
        </w:rPr>
        <w:t xml:space="preserve">Inferior Court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431"/>
        <w:jc w:val="left"/>
      </w:pPr>
      <w:r>
        <w:rPr>
          <w:rFonts w:ascii="Courier New" w:cs="Courier New" w:eastAsia="Courier New" w:hAnsi="Courier New"/>
          <w:b/>
          <w:bCs/>
          <w:color w:val="1B2A4A"/>
          <w:sz w:val="18"/>
          <w:szCs w:val="18"/>
        </w:rPr>
        <w:t xml:space="preserve">§8.4.i  </w:t>
      </w:r>
      <w:r>
        <w:rPr>
          <w:rFonts w:ascii="Garamond" w:cs="Garamond" w:eastAsia="Garamond" w:hAnsi="Garamond"/>
          <w:b/>
          <w:bCs/>
          <w:i w:val="false"/>
          <w:iCs w:val="false"/>
          <w:color w:val="1B2A4A"/>
          <w:sz w:val="22"/>
          <w:szCs w:val="22"/>
        </w:rPr>
        <w:t xml:space="preserve">Gatekeeping Appeal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431"/>
        <w:jc w:val="left"/>
      </w:pPr>
      <w:r>
        <w:rPr>
          <w:rFonts w:ascii="Courier New" w:cs="Courier New" w:eastAsia="Courier New" w:hAnsi="Courier New"/>
          <w:b/>
          <w:bCs/>
          <w:color w:val="1B2A4A"/>
          <w:sz w:val="18"/>
          <w:szCs w:val="18"/>
        </w:rPr>
        <w:t xml:space="preserve">§8.5  </w:t>
      </w:r>
      <w:r>
        <w:rPr>
          <w:rFonts w:ascii="Garamond" w:cs="Garamond" w:eastAsia="Garamond" w:hAnsi="Garamond"/>
          <w:b/>
          <w:bCs/>
          <w:i w:val="false"/>
          <w:iCs w:val="false"/>
          <w:color w:val="1B2A4A"/>
          <w:sz w:val="22"/>
          <w:szCs w:val="22"/>
        </w:rPr>
        <w:t xml:space="preserve">Inspector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Inspector General may be removed only through the mechanisms specified in this section.</w:t>
      </w:r>
    </w:p>
    <w:p>
      <w:pPr>
        <w:spacing w:after="60" w:before="200"/>
        <w:ind w:left="431"/>
        <w:jc w:val="left"/>
      </w:pPr>
      <w:r>
        <w:rPr>
          <w:rFonts w:ascii="Courier New" w:cs="Courier New" w:eastAsia="Courier New" w:hAnsi="Courier New"/>
          <w:b/>
          <w:bCs/>
          <w:color w:val="1B2A4A"/>
          <w:sz w:val="18"/>
          <w:szCs w:val="18"/>
        </w:rPr>
        <w:t xml:space="preserve">§8.5.a  </w:t>
      </w:r>
      <w:r>
        <w:rPr>
          <w:rFonts w:ascii="Garamond" w:cs="Garamond" w:eastAsia="Garamond" w:hAnsi="Garamond"/>
          <w:b/>
          <w:bCs/>
          <w:i w:val="false"/>
          <w:iCs w:val="false"/>
          <w:color w:val="1B2A4A"/>
          <w:sz w:val="22"/>
          <w:szCs w:val="22"/>
        </w:rPr>
        <w:t xml:space="preserve">For-Cause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 Inspector General requires a 2/3 vote of both chambers simultaneously, preceded by a substantiated finding from a State Designee Panel under §8.9.f. Duty suspension triggers upon publication of a substantiated Panel finding, pending the legislative vote and any SC review. The Inspector General has a 14-day SC appeal window from publication of the Panel finding before the legislative vote proceeds.</w:t>
      </w:r>
    </w:p>
    <w:p>
      <w:pPr>
        <w:spacing w:after="60" w:before="200"/>
        <w:ind w:left="431"/>
        <w:jc w:val="left"/>
      </w:pPr>
      <w:r>
        <w:rPr>
          <w:rFonts w:ascii="Courier New" w:cs="Courier New" w:eastAsia="Courier New" w:hAnsi="Courier New"/>
          <w:b/>
          <w:bCs/>
          <w:color w:val="1B2A4A"/>
          <w:sz w:val="18"/>
          <w:szCs w:val="18"/>
        </w:rPr>
        <w:t xml:space="preserve">§8.5.b  </w:t>
      </w:r>
      <w:r>
        <w:rPr>
          <w:rFonts w:ascii="Garamond" w:cs="Garamond" w:eastAsia="Garamond" w:hAnsi="Garamond"/>
          <w:b/>
          <w:bCs/>
          <w:i w:val="false"/>
          <w:iCs w:val="false"/>
          <w:color w:val="1B2A4A"/>
          <w:sz w:val="22"/>
          <w:szCs w:val="22"/>
        </w:rPr>
        <w:t xml:space="preserve">No-Cause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431"/>
        <w:jc w:val="left"/>
      </w:pPr>
      <w:r>
        <w:rPr>
          <w:rFonts w:ascii="Courier New" w:cs="Courier New" w:eastAsia="Courier New" w:hAnsi="Courier New"/>
          <w:b/>
          <w:bCs/>
          <w:color w:val="1B2A4A"/>
          <w:sz w:val="18"/>
          <w:szCs w:val="18"/>
        </w:rPr>
        <w:t xml:space="preserve">§8.5.c  </w:t>
      </w:r>
      <w:r>
        <w:rPr>
          <w:rFonts w:ascii="Garamond" w:cs="Garamond" w:eastAsia="Garamond" w:hAnsi="Garamond"/>
          <w:b/>
          <w:bCs/>
          <w:i w:val="false"/>
          <w:iCs w:val="false"/>
          <w:color w:val="1B2A4A"/>
          <w:sz w:val="22"/>
          <w:szCs w:val="22"/>
        </w:rPr>
        <w:t xml:space="preserve">Judicial IG — For-Cause Only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IG may only be removed for cause; no-cause removal is not available. The JI's lottery-based selection and its role in judicial independence oversight makes it the most insulated of the three offices.</w:t>
      </w:r>
    </w:p>
    <w:p>
      <w:pPr>
        <w:spacing w:after="60" w:before="200"/>
        <w:ind w:left="431"/>
        <w:jc w:val="left"/>
      </w:pPr>
      <w:r>
        <w:rPr>
          <w:rFonts w:ascii="Courier New" w:cs="Courier New" w:eastAsia="Courier New" w:hAnsi="Courier New"/>
          <w:b/>
          <w:bCs/>
          <w:color w:val="1B2A4A"/>
          <w:sz w:val="18"/>
          <w:szCs w:val="18"/>
        </w:rPr>
        <w:t xml:space="preserve">§8.6  </w:t>
      </w:r>
      <w:r>
        <w:rPr>
          <w:rFonts w:ascii="Garamond" w:cs="Garamond" w:eastAsia="Garamond" w:hAnsi="Garamond"/>
          <w:b/>
          <w:bCs/>
          <w:i w:val="false"/>
          <w:iCs w:val="false"/>
          <w:color w:val="1B2A4A"/>
          <w:sz w:val="22"/>
          <w:szCs w:val="22"/>
        </w:rPr>
        <w:t xml:space="preserve">Inspectorate Operations and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Inspectorates operate under a shared information-only mandate: they observe, audit, and publish.</w:t>
      </w:r>
    </w:p>
    <w:p>
      <w:pPr>
        <w:spacing w:after="60" w:before="200"/>
        <w:ind w:left="431"/>
        <w:jc w:val="left"/>
      </w:pPr>
      <w:r>
        <w:rPr>
          <w:rFonts w:ascii="Courier New" w:cs="Courier New" w:eastAsia="Courier New" w:hAnsi="Courier New"/>
          <w:b/>
          <w:bCs/>
          <w:color w:val="1B2A4A"/>
          <w:sz w:val="18"/>
          <w:szCs w:val="18"/>
        </w:rPr>
        <w:t xml:space="preserve">§8.6.a  </w:t>
      </w:r>
      <w:r>
        <w:rPr>
          <w:rFonts w:ascii="Garamond" w:cs="Garamond" w:eastAsia="Garamond" w:hAnsi="Garamond"/>
          <w:b/>
          <w:bCs/>
          <w:i w:val="false"/>
          <w:iCs w:val="false"/>
          <w:color w:val="1B2A4A"/>
          <w:sz w:val="22"/>
          <w:szCs w:val="22"/>
        </w:rPr>
        <w:t xml:space="preserve">Information-Only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Inspectorates publish facts; they do not issue binding orders or legal determinations. A finding that a government actor has breached the constitution is a factual statement, not a judgment.</w:t>
      </w:r>
    </w:p>
    <w:p>
      <w:pPr>
        <w:spacing w:after="60" w:before="200"/>
        <w:ind w:left="431"/>
        <w:jc w:val="left"/>
      </w:pPr>
      <w:r>
        <w:rPr>
          <w:rFonts w:ascii="Courier New" w:cs="Courier New" w:eastAsia="Courier New" w:hAnsi="Courier New"/>
          <w:b/>
          <w:bCs/>
          <w:color w:val="1B2A4A"/>
          <w:sz w:val="18"/>
          <w:szCs w:val="18"/>
        </w:rPr>
        <w:t xml:space="preserve">§8.6.b  </w:t>
      </w:r>
      <w:r>
        <w:rPr>
          <w:rFonts w:ascii="Garamond" w:cs="Garamond" w:eastAsia="Garamond" w:hAnsi="Garamond"/>
          <w:b/>
          <w:bCs/>
          <w:i w:val="false"/>
          <w:iCs w:val="false"/>
          <w:color w:val="1B2A4A"/>
          <w:sz w:val="22"/>
          <w:szCs w:val="22"/>
        </w:rPr>
        <w:t xml:space="preserve">NRS Publication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431"/>
        <w:jc w:val="left"/>
      </w:pPr>
      <w:r>
        <w:rPr>
          <w:rFonts w:ascii="Courier New" w:cs="Courier New" w:eastAsia="Courier New" w:hAnsi="Courier New"/>
          <w:b/>
          <w:bCs/>
          <w:color w:val="1B2A4A"/>
          <w:sz w:val="18"/>
          <w:szCs w:val="18"/>
        </w:rPr>
        <w:t xml:space="preserve">§8.6.c  </w:t>
      </w:r>
      <w:r>
        <w:rPr>
          <w:rFonts w:ascii="Garamond" w:cs="Garamond" w:eastAsia="Garamond" w:hAnsi="Garamond"/>
          <w:b/>
          <w:bCs/>
          <w:i w:val="false"/>
          <w:iCs w:val="false"/>
          <w:color w:val="1B2A4A"/>
          <w:sz w:val="22"/>
          <w:szCs w:val="22"/>
        </w:rPr>
        <w:t xml:space="preserve">Minority Reports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431"/>
        <w:jc w:val="left"/>
      </w:pPr>
      <w:r>
        <w:rPr>
          <w:rFonts w:ascii="Courier New" w:cs="Courier New" w:eastAsia="Courier New" w:hAnsi="Courier New"/>
          <w:b/>
          <w:bCs/>
          <w:color w:val="1B2A4A"/>
          <w:sz w:val="18"/>
          <w:szCs w:val="18"/>
        </w:rPr>
        <w:t xml:space="preserve">§8.6.d  </w:t>
      </w:r>
      <w:r>
        <w:rPr>
          <w:rFonts w:ascii="Garamond" w:cs="Garamond" w:eastAsia="Garamond" w:hAnsi="Garamond"/>
          <w:b/>
          <w:bCs/>
          <w:i w:val="false"/>
          <w:iCs w:val="false"/>
          <w:color w:val="1B2A4A"/>
          <w:sz w:val="22"/>
          <w:szCs w:val="22"/>
        </w:rPr>
        <w:t xml:space="preserve">Classification Exemption for Inspectorate Reports</w:t>
      </w:r>
    </w:p>
    <w:p>
      <w:pPr>
        <w:spacing w:after="120" w:before="0"/>
        <w:ind w:left="431"/>
        <w:jc w:val="both"/>
      </w:pPr>
      <w:r>
        <w:rPr>
          <w:rFonts w:ascii="Garamond" w:cs="Garamond" w:eastAsia="Garamond" w:hAnsi="Garamond"/>
          <w:b w:val="false"/>
          <w:bCs w:val="false"/>
          <w:i w:val="false"/>
          <w:iCs w:val="false"/>
          <w:color w:val="2a2520"/>
          <w:sz w:val="22"/>
          <w:szCs w:val="22"/>
        </w:rPr>
        <w:t xml:space="preserve">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431"/>
        <w:jc w:val="left"/>
      </w:pPr>
      <w:r>
        <w:rPr>
          <w:rFonts w:ascii="Courier New" w:cs="Courier New" w:eastAsia="Courier New" w:hAnsi="Courier New"/>
          <w:b/>
          <w:bCs/>
          <w:color w:val="1B2A4A"/>
          <w:sz w:val="18"/>
          <w:szCs w:val="18"/>
        </w:rPr>
        <w:t xml:space="preserve">§8.6.e  </w:t>
      </w:r>
      <w:r>
        <w:rPr>
          <w:rFonts w:ascii="Garamond" w:cs="Garamond" w:eastAsia="Garamond" w:hAnsi="Garamond"/>
          <w:b/>
          <w:bCs/>
          <w:i w:val="false"/>
          <w:iCs w:val="false"/>
          <w:color w:val="1B2A4A"/>
          <w:sz w:val="22"/>
          <w:szCs w:val="22"/>
        </w:rPr>
        <w:t xml:space="preserve">Annual State of the Republic Report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431"/>
        <w:jc w:val="left"/>
      </w:pPr>
      <w:r>
        <w:rPr>
          <w:rFonts w:ascii="Courier New" w:cs="Courier New" w:eastAsia="Courier New" w:hAnsi="Courier New"/>
          <w:b/>
          <w:bCs/>
          <w:color w:val="1B2A4A"/>
          <w:sz w:val="18"/>
          <w:szCs w:val="18"/>
        </w:rPr>
        <w:t xml:space="preserve">§8.6.f  </w:t>
      </w:r>
      <w:r>
        <w:rPr>
          <w:rFonts w:ascii="Garamond" w:cs="Garamond" w:eastAsia="Garamond" w:hAnsi="Garamond"/>
          <w:b/>
          <w:bCs/>
          <w:i w:val="false"/>
          <w:iCs w:val="false"/>
          <w:color w:val="1B2A4A"/>
          <w:sz w:val="22"/>
          <w:szCs w:val="22"/>
        </w:rPr>
        <w:t xml:space="preserve">Joint Investigation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431"/>
        <w:jc w:val="left"/>
      </w:pPr>
      <w:r>
        <w:rPr>
          <w:rFonts w:ascii="Courier New" w:cs="Courier New" w:eastAsia="Courier New" w:hAnsi="Courier New"/>
          <w:b/>
          <w:bCs/>
          <w:color w:val="1B2A4A"/>
          <w:sz w:val="18"/>
          <w:szCs w:val="18"/>
        </w:rPr>
        <w:t xml:space="preserve">§8.6.g  </w:t>
      </w:r>
      <w:r>
        <w:rPr>
          <w:rFonts w:ascii="Garamond" w:cs="Garamond" w:eastAsia="Garamond" w:hAnsi="Garamond"/>
          <w:b/>
          <w:bCs/>
          <w:i w:val="false"/>
          <w:iCs w:val="false"/>
          <w:color w:val="1B2A4A"/>
          <w:sz w:val="22"/>
          <w:szCs w:val="22"/>
        </w:rPr>
        <w:t xml:space="preserve">Investigative Access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jc w:val="left"/>
      </w:pPr>
      <w:r>
        <w:rPr>
          <w:rFonts w:ascii="Courier New" w:cs="Courier New" w:eastAsia="Courier New" w:hAnsi="Courier New"/>
          <w:b/>
          <w:bCs/>
          <w:color w:val="1B2A4A"/>
          <w:sz w:val="18"/>
          <w:szCs w:val="18"/>
        </w:rPr>
        <w:t xml:space="preserve">§8.7  </w:t>
      </w:r>
      <w:r>
        <w:rPr>
          <w:rFonts w:ascii="Garamond" w:cs="Garamond" w:eastAsia="Garamond" w:hAnsi="Garamond"/>
          <w:b/>
          <w:bCs/>
          <w:i w:val="false"/>
          <w:iCs w:val="false"/>
          <w:color w:val="1B2A4A"/>
          <w:sz w:val="22"/>
          <w:szCs w:val="22"/>
        </w:rPr>
        <w:t xml:space="preserve">Triggered Investigations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431"/>
        <w:jc w:val="left"/>
      </w:pPr>
      <w:r>
        <w:rPr>
          <w:rFonts w:ascii="Courier New" w:cs="Courier New" w:eastAsia="Courier New" w:hAnsi="Courier New"/>
          <w:b/>
          <w:bCs/>
          <w:color w:val="1B2A4A"/>
          <w:sz w:val="18"/>
          <w:szCs w:val="18"/>
        </w:rPr>
        <w:t xml:space="preserve">§8.7.a  </w:t>
      </w:r>
      <w:r>
        <w:rPr>
          <w:rFonts w:ascii="Garamond" w:cs="Garamond" w:eastAsia="Garamond" w:hAnsi="Garamond"/>
          <w:b/>
          <w:bCs/>
          <w:i w:val="false"/>
          <w:iCs w:val="false"/>
          <w:color w:val="1B2A4A"/>
          <w:sz w:val="22"/>
          <w:szCs w:val="22"/>
        </w:rPr>
        <w:t xml:space="preserve">Official Trigger</w:t>
      </w:r>
    </w:p>
    <w:p>
      <w:pPr>
        <w:spacing w:after="120" w:before="0"/>
        <w:ind w:left="431"/>
        <w:jc w:val="both"/>
      </w:pPr>
      <w:r>
        <w:rPr>
          <w:rFonts w:ascii="Garamond" w:cs="Garamond" w:eastAsia="Garamond" w:hAnsi="Garamond"/>
          <w:b w:val="false"/>
          <w:bCs w:val="false"/>
          <w:i w:val="false"/>
          <w:iCs w:val="false"/>
          <w:color w:val="2a2520"/>
          <w:sz w:val="22"/>
          <w:szCs w:val="22"/>
        </w:rPr>
        <w:t xml:space="preserve">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§8.8  </w:t>
      </w:r>
      <w:r>
        <w:rPr>
          <w:rFonts w:ascii="Garamond" w:cs="Garamond" w:eastAsia="Garamond" w:hAnsi="Garamond"/>
          <w:b/>
          <w:bCs/>
          <w:i w:val="false"/>
          <w:iCs w:val="false"/>
          <w:color w:val="1B2A4A"/>
          <w:sz w:val="22"/>
          <w:szCs w:val="22"/>
        </w:rPr>
        <w:t xml:space="preserve">EI Annual Military Assessment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dedicated section within the EI's annual report covering: whether military operations in the prior year were authorized through the correct Tier; whether the §1.30.d Intelligence Firewall was maintained; whether PM fund certifications were obtained and observed; whether the 48-hour NRS publication requirement was met for all military orders.</w:t>
      </w:r>
    </w:p>
    <w:p>
      <w:pPr>
        <w:spacing w:after="60" w:before="200"/>
        <w:ind w:left="431"/>
        <w:jc w:val="left"/>
      </w:pPr>
      <w:r>
        <w:rPr>
          <w:rFonts w:ascii="Courier New" w:cs="Courier New" w:eastAsia="Courier New" w:hAnsi="Courier New"/>
          <w:b/>
          <w:bCs/>
          <w:color w:val="1B2A4A"/>
          <w:sz w:val="18"/>
          <w:szCs w:val="18"/>
        </w:rPr>
        <w:t xml:space="preserve">§8.9  </w:t>
      </w:r>
      <w:r>
        <w:rPr>
          <w:rFonts w:ascii="Garamond" w:cs="Garamond" w:eastAsia="Garamond" w:hAnsi="Garamond"/>
          <w:b/>
          <w:bCs/>
          <w:i w:val="false"/>
          <w:iCs w:val="false"/>
          <w:color w:val="1B2A4A"/>
          <w:sz w:val="22"/>
          <w:szCs w:val="22"/>
        </w:rPr>
        <w:t xml:space="preserve">State Designee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State Designee Panel is a verification body constituted per proceeding whose sole function is to determine, before any qualifying For-Cause removal vote, whether the stated grounds are substantiated within the enumerated constitutional categories for that office. The Panel publishes a binary finding — grounds substantiated or grounds unsubstantiated — and has no investigative authority and no institutional presence outside active proceedings.</w:t>
      </w:r>
    </w:p>
    <w:p>
      <w:pPr>
        <w:spacing w:after="60" w:before="200"/>
        <w:ind w:left="431"/>
        <w:jc w:val="left"/>
      </w:pPr>
      <w:r>
        <w:rPr>
          <w:rFonts w:ascii="Courier New" w:cs="Courier New" w:eastAsia="Courier New" w:hAnsi="Courier New"/>
          <w:b/>
          <w:bCs/>
          <w:color w:val="1B2A4A"/>
          <w:sz w:val="18"/>
          <w:szCs w:val="18"/>
        </w:rPr>
        <w:t xml:space="preserve">§8.9.a  </w:t>
      </w:r>
      <w:r>
        <w:rPr>
          <w:rFonts w:ascii="Garamond" w:cs="Garamond" w:eastAsia="Garamond" w:hAnsi="Garamond"/>
          <w:b/>
          <w:bCs/>
          <w:i w:val="false"/>
          <w:iCs w:val="false"/>
          <w:color w:val="1B2A4A"/>
          <w:sz w:val="22"/>
          <w:szCs w:val="22"/>
        </w:rPr>
        <w:t xml:space="preserve">State Designee Pools</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State maintains a standing State Designee Pool. Eligibility requires: at least five continuous years of Republic citizenship; no current federal elected or appointed office; no such office held within the three years prior to pool entry; no pending federal criminal proceedings; and no current service in any active Panel. Pool membership is a public NRS record maintained by the LI. The Legislature defines pool administration, annual addition processes, and minimum pool thresholds by statute.</w:t>
      </w:r>
    </w:p>
    <w:p>
      <w:pPr>
        <w:spacing w:after="60" w:before="200"/>
        <w:ind w:left="431"/>
        <w:jc w:val="left"/>
      </w:pPr>
      <w:r>
        <w:rPr>
          <w:rFonts w:ascii="Courier New" w:cs="Courier New" w:eastAsia="Courier New" w:hAnsi="Courier New"/>
          <w:b/>
          <w:bCs/>
          <w:color w:val="1B2A4A"/>
          <w:sz w:val="18"/>
          <w:szCs w:val="18"/>
        </w:rPr>
        <w:t xml:space="preserve">§8.9.d  </w:t>
      </w:r>
      <w:r>
        <w:rPr>
          <w:rFonts w:ascii="Garamond" w:cs="Garamond" w:eastAsia="Garamond" w:hAnsi="Garamond"/>
          <w:b/>
          <w:bCs/>
          <w:i w:val="false"/>
          <w:iCs w:val="false"/>
          <w:color w:val="1B2A4A"/>
          <w:sz w:val="22"/>
          <w:szCs w:val="22"/>
        </w:rPr>
        <w:t xml:space="preserve">Panel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Upon activation of a qualifying proceeding, the Joint Inspectorate Council under §8.12 constitutes the Panel by lottery within five days, drawing five members from the combined national pool plus two alternates using the standard JIC lottery procedure under §8.13. The Legislature defines draw challenge procedures, ongoing eligibility conditions during service, and session parameters by statute.</w:t>
      </w:r>
    </w:p>
    <w:p>
      <w:pPr>
        <w:spacing w:after="60" w:before="200"/>
        <w:ind w:left="431"/>
        <w:jc w:val="left"/>
      </w:pPr>
      <w:r>
        <w:rPr>
          <w:rFonts w:ascii="Courier New" w:cs="Courier New" w:eastAsia="Courier New" w:hAnsi="Courier New"/>
          <w:b/>
          <w:bCs/>
          <w:color w:val="1B2A4A"/>
          <w:sz w:val="18"/>
          <w:szCs w:val="18"/>
        </w:rPr>
        <w:t xml:space="preserve">§8.9.f  </w:t>
      </w:r>
      <w:r>
        <w:rPr>
          <w:rFonts w:ascii="Garamond" w:cs="Garamond" w:eastAsia="Garamond" w:hAnsi="Garamond"/>
          <w:b/>
          <w:bCs/>
          <w:i w:val="false"/>
          <w:iCs w:val="false"/>
          <w:color w:val="1B2A4A"/>
          <w:sz w:val="22"/>
          <w:szCs w:val="22"/>
        </w:rPr>
        <w:t xml:space="preserve">Activation and Meeting Parameters</w:t>
      </w:r>
    </w:p>
    <w:p>
      <w:pPr>
        <w:spacing w:after="120" w:before="0"/>
        <w:ind w:left="431"/>
        <w:jc w:val="both"/>
      </w:pPr>
      <w:r>
        <w:rPr>
          <w:rFonts w:ascii="Garamond" w:cs="Garamond" w:eastAsia="Garamond" w:hAnsi="Garamond"/>
          <w:b w:val="false"/>
          <w:bCs w:val="false"/>
          <w:i w:val="false"/>
          <w:iCs w:val="false"/>
          <w:color w:val="2a2520"/>
          <w:sz w:val="22"/>
          <w:szCs w:val="22"/>
        </w:rPr>
        <w:t xml:space="preserve">A qualifying proceeding is initiated when the initiating body transmits the stated grounds and supporting documentary record to the JI, triggering the draw under §8.9.d. The 21-day review clock begins when the Panel is fully constituted — five members having accepted service. The Legislature defines meeting parameters, document submission procedures, and any other operational requirements by statute. The Panel may request additional documentary submissions from the initiating body within the first seven days of the review period.</w:t>
      </w:r>
    </w:p>
    <w:p>
      <w:pPr>
        <w:spacing w:after="60" w:before="200"/>
        <w:ind w:left="431"/>
        <w:jc w:val="left"/>
      </w:pPr>
      <w:r>
        <w:rPr>
          <w:rFonts w:ascii="Courier New" w:cs="Courier New" w:eastAsia="Courier New" w:hAnsi="Courier New"/>
          <w:b/>
          <w:bCs/>
          <w:color w:val="1B2A4A"/>
          <w:sz w:val="18"/>
          <w:szCs w:val="18"/>
        </w:rPr>
        <w:t xml:space="preserve">§8.9.g  </w:t>
      </w:r>
      <w:r>
        <w:rPr>
          <w:rFonts w:ascii="Garamond" w:cs="Garamond" w:eastAsia="Garamond" w:hAnsi="Garamond"/>
          <w:b/>
          <w:bCs/>
          <w:i w:val="false"/>
          <w:iCs w:val="false"/>
          <w:color w:val="1B2A4A"/>
          <w:sz w:val="22"/>
          <w:szCs w:val="22"/>
        </w:rPr>
        <w:t xml:space="preserve">Scope of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Panel determines only whether the stated grounds, as documented in the submitted record, constitute at least one of the enumerated constitutional categories for For-Cause removal applicable to the subject office. The Panel does not independently investigate, assess credibility, weigh competing factual accounts, or issue any order beyond the binary finding.</w:t>
      </w:r>
    </w:p>
    <w:p>
      <w:pPr>
        <w:spacing w:after="60" w:before="200"/>
        <w:ind w:left="431"/>
        <w:jc w:val="left"/>
      </w:pPr>
      <w:r>
        <w:rPr>
          <w:rFonts w:ascii="Courier New" w:cs="Courier New" w:eastAsia="Courier New" w:hAnsi="Courier New"/>
          <w:b/>
          <w:bCs/>
          <w:color w:val="1B2A4A"/>
          <w:sz w:val="18"/>
          <w:szCs w:val="18"/>
        </w:rPr>
        <w:t xml:space="preserve">§8.9.h  </w:t>
      </w:r>
      <w:r>
        <w:rPr>
          <w:rFonts w:ascii="Garamond" w:cs="Garamond" w:eastAsia="Garamond" w:hAnsi="Garamond"/>
          <w:b/>
          <w:bCs/>
          <w:i w:val="false"/>
          <w:iCs w:val="false"/>
          <w:color w:val="1B2A4A"/>
          <w:sz w:val="22"/>
          <w:szCs w:val="22"/>
        </w:rPr>
        <w:t xml:space="preserve">Effect of Finding</w:t>
      </w:r>
    </w:p>
    <w:p>
      <w:pPr>
        <w:spacing w:after="120" w:before="0"/>
        <w:ind w:left="431"/>
        <w:jc w:val="both"/>
      </w:pPr>
      <w:r>
        <w:rPr>
          <w:rFonts w:ascii="Garamond" w:cs="Garamond" w:eastAsia="Garamond" w:hAnsi="Garamond"/>
          <w:b w:val="false"/>
          <w:bCs w:val="false"/>
          <w:i w:val="false"/>
          <w:iCs w:val="false"/>
          <w:color w:val="2a2520"/>
          <w:sz w:val="22"/>
          <w:szCs w:val="22"/>
        </w:rPr>
        <w:t xml:space="preserve">A finding of grounds substantiated: authorizes the Legislature to proceed to a For-Cause removal vote at the applicable threshold; triggers applicable duty suspension under §8.5.a, §10.4.g, or §16.2.a; and is published permanently to the NRS. A finding of unsubstantiated: does not bar a removal vote; and is published permanently to the NRS. All constitutional voting thresholds for removal remain in effect regardless of the Panel's finding.</w:t>
      </w:r>
    </w:p>
    <w:p>
      <w:pPr>
        <w:spacing w:after="60" w:before="200"/>
        <w:ind w:left="431"/>
        <w:jc w:val="left"/>
      </w:pPr>
      <w:r>
        <w:rPr>
          <w:rFonts w:ascii="Courier New" w:cs="Courier New" w:eastAsia="Courier New" w:hAnsi="Courier New"/>
          <w:b/>
          <w:bCs/>
          <w:color w:val="1B2A4A"/>
          <w:sz w:val="18"/>
          <w:szCs w:val="18"/>
        </w:rPr>
        <w:t xml:space="preserve">§8.9.i  </w:t>
      </w:r>
      <w:r>
        <w:rPr>
          <w:rFonts w:ascii="Garamond" w:cs="Garamond" w:eastAsia="Garamond" w:hAnsi="Garamond"/>
          <w:b/>
          <w:bCs/>
          <w:i w:val="false"/>
          <w:iCs w:val="false"/>
          <w:color w:val="1B2A4A"/>
          <w:sz w:val="22"/>
          <w:szCs w:val="22"/>
        </w:rPr>
        <w:t xml:space="preserve">SC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431"/>
        <w:jc w:val="left"/>
      </w:pPr>
      <w:r>
        <w:rPr>
          <w:rFonts w:ascii="Courier New" w:cs="Courier New" w:eastAsia="Courier New" w:hAnsi="Courier New"/>
          <w:b/>
          <w:bCs/>
          <w:color w:val="1B2A4A"/>
          <w:sz w:val="18"/>
          <w:szCs w:val="18"/>
        </w:rPr>
        <w:t xml:space="preserve">§8.10  </w:t>
      </w:r>
      <w:r>
        <w:rPr>
          <w:rFonts w:ascii="Garamond" w:cs="Garamond" w:eastAsia="Garamond" w:hAnsi="Garamond"/>
          <w:b/>
          <w:bCs/>
          <w:i w:val="false"/>
          <w:iCs w:val="false"/>
          <w:color w:val="1B2A4A"/>
          <w:sz w:val="22"/>
          <w:szCs w:val="22"/>
        </w:rPr>
        <w:t xml:space="preserve">Inspectorate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Inspectorate may not fall below the prior fiscal year's funding level without a 2/3 vote of both chambers simultaneously. This floor ensures that Inspectorate independence cannot be undermined through budgetary attrition by the branches they audit. The Monetary Authority certifies each Inspectorate's prior-year funding level annually and publishes the certified floor to the NRS before the Legislature begins its annual budget process.</w:t>
      </w:r>
    </w:p>
    <w:p>
      <w:pPr>
        <w:spacing w:after="60" w:before="200"/>
        <w:ind w:left="431"/>
        <w:jc w:val="left"/>
      </w:pPr>
      <w:r>
        <w:rPr>
          <w:rFonts w:ascii="Courier New" w:cs="Courier New" w:eastAsia="Courier New" w:hAnsi="Courier New"/>
          <w:b/>
          <w:bCs/>
          <w:color w:val="1B2A4A"/>
          <w:sz w:val="18"/>
          <w:szCs w:val="18"/>
        </w:rPr>
        <w:t xml:space="preserve">§8.11  </w:t>
      </w:r>
      <w:r>
        <w:rPr>
          <w:rFonts w:ascii="Garamond" w:cs="Garamond" w:eastAsia="Garamond" w:hAnsi="Garamond"/>
          <w:b/>
          <w:bCs/>
          <w:i w:val="false"/>
          <w:iCs w:val="false"/>
          <w:color w:val="1B2A4A"/>
          <w:sz w:val="22"/>
          <w:szCs w:val="22"/>
        </w:rPr>
        <w:t xml:space="preserve">Eighth-Year Assessment</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eight years from the date of full constitutional operation, the three Inspectorates jointly assess the performance of the constitutional framework across all domains: (1) enforcement of Article I rights across all States, Territories, and compact jurisdictions; (2) functioning of the Inspectorate reporting mechanism and adequacy of Judicial Inspectorate mandate scope relative to operational capacity; (3) compliance with social state obligations — whether the healthcare insurance system is solvent and providing universal access, whether social assistance is meeting the §10.1 dignity standard, and whether States are meeting the compulsory education constitutional floor under §10.1.c; (4) completeness of military subordination to constitutional authority; (5) comprehensiveness of NRS coverage, node distribution, and cryptographic integrity; and (6) health of the constitutional pool and lottery selection mechanisms under §8.9 and §9.3, including State participation rates and pool depth. The assessment is published to the NRS and transmitted to both chambers of the Legislature. Findings are classified by severity: No Finding, Deficiency, or Critical Failure. The Legislature must respond within 90 days. For a No Finding: acknowledgment is sufficient. For a Deficiency: the Legislature must publish a remediation plan specifying actions and timelines; acknowledgment without a plan is a constitutional compliance breach certified by the LI. For a Critical Failure: the Legislature must publish a remediation plan and any member of either chamber may petition the SC to determine whether the failure constitutes a constitutional breach requiring judicial remedy. Findings, responses, and remediation plans form a permanent longitudinal record of constitutional performance published to the NRS.</w:t>
      </w:r>
    </w:p>
    <w:p>
      <w:pPr>
        <w:spacing w:after="60" w:before="200"/>
        <w:ind w:left="431"/>
        <w:jc w:val="left"/>
      </w:pPr>
      <w:r>
        <w:rPr>
          <w:rFonts w:ascii="Courier New" w:cs="Courier New" w:eastAsia="Courier New" w:hAnsi="Courier New"/>
          <w:b/>
          <w:bCs/>
          <w:color w:val="1B2A4A"/>
          <w:sz w:val="18"/>
          <w:szCs w:val="18"/>
        </w:rPr>
        <w:t xml:space="preserve">§8.12  </w:t>
      </w:r>
      <w:r>
        <w:rPr>
          <w:rFonts w:ascii="Garamond" w:cs="Garamond" w:eastAsia="Garamond" w:hAnsi="Garamond"/>
          <w:b/>
          <w:bCs/>
          <w:i w:val="false"/>
          <w:iCs w:val="false"/>
          <w:color w:val="1B2A4A"/>
          <w:sz w:val="22"/>
          <w:szCs w:val="22"/>
        </w:rPr>
        <w:t xml:space="preserve">Joint Inspectorate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 Generals jointly constitute the Joint Inspectorate Council, which serves as the standing coordination body for matters crossing Inspectorate jurisdictions or benefiting from joint deliberation. The Council formally houses all jointly certified constitutional functions — including the Eight-Year Assessment under §8.11, jointly certified lottery draws, and jointly certified selection processes throughout the constitution. The chair of any joint session is the Inspector General whose domain covers the primary subject matter; where all domains are equally engaged, the chair rotates annually. The Council publishes a joint annual report to both chambers and the NRS summarising cross-branch constitutional compliance and any jurisdictional matters addressed during the year. Joint findings carry the authority of all three Inspectorates simultaneously; individual Inspectorate findings within their own domains are unaffected. Where the Inspector Generals cannot reach consensus on a joint matter, each publishes their individual assessment and the disagreement is noted in the permanent NRS record. The Council has no authority to direct or override the individual mandate of any Inspectorate.</w:t>
      </w:r>
    </w:p>
    <w:p>
      <w:pPr>
        <w:spacing w:after="60" w:before="200"/>
        <w:ind w:left="431"/>
        <w:jc w:val="left"/>
      </w:pPr>
      <w:r>
        <w:rPr>
          <w:rFonts w:ascii="Courier New" w:cs="Courier New" w:eastAsia="Courier New" w:hAnsi="Courier New"/>
          <w:b/>
          <w:bCs/>
          <w:color w:val="1B2A4A"/>
          <w:sz w:val="18"/>
          <w:szCs w:val="18"/>
        </w:rPr>
        <w:t xml:space="preserve">§8.13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constitutional pool operates through four sequential stages: entry, certification, selection, and — where specified — confirmation. This section establishes the standard mechanics for each stage; individual pool provisions specify which variation applies and any pool-specific parameters. Entry: pool members are self-nominated (any qualifying citizen may apply), State-designated (each State nominates through its own process), or executive-nominated (each executive nominates to their respective pool). Senate confirmation is never required for pool entry — confirmation applies only to selected individuals, not to pool membership. A pool that required Senate confirmation at entry would require the democratic legitimacy of an elected office; if that level of accountability is needed, the office should be elected, not pooled. Certification: the JI reviews each entrant and publishes a qualification report to the NRS within 30 days, assessing whether the entrant meets the qualification requirements for that pool. Where the pool involves an office with significant financial authority, the EI reviews each entrant's financial disclosure within 21 days and publishes findings to the NRS alongside the JI report. Pool membership is established by JI certification; a rejected entrant may appeal to an Appellate Court within 14 days. Pool records are public NRS records at all times. Selection: where a pool provision specifies lottery selection, the Joint Inspectorate Council under §8.12 conducts the draw in a public session, certifies the result jointly, and publishes it to the NRS before the session closes. Drawn members must accept or decline within 48 hours; alternates fill declined seats in draw order; the JIC conducts supplemental draws if alternates are exhausted. Where a pool provision specifies deliberate nomination, the named officer nominates from certified pool members. Confirmation: where required, Senate confirmation applies to the selected individual only. Timeframes are specified in the establishing provision; failure to confirm within the specified period is a constitutional compliance breach certified by the LI unless deemed confirmation is specified. Pool health: the JI monitors all constitutional pools and publishes an annual status report to the NRS for each pool. Where a pool falls below its constitutional minimum, the JI publishes a deficiency notice; the relevant nominating bodies must respond within 30 days.</w:t>
      </w:r>
    </w:p>
    <w:p>
      <w:pPr>
        <w:spacing w:after="60" w:before="200"/>
        <w:jc w:val="left"/>
      </w:pPr>
      <w:r>
        <w:rPr>
          <w:rFonts w:ascii="Garamond" w:cs="Garamond" w:eastAsia="Garamond" w:hAnsi="Garamond"/>
          <w:b/>
          <w:bCs/>
          <w:i w:val="false"/>
          <w:iCs w:val="false"/>
          <w:color w:val="1B2A4A"/>
          <w:sz w:val="34"/>
          <w:szCs w:val="34"/>
        </w:rPr>
        <w:t xml:space="preserve">Article IX — The National Record System</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NRS Properties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government act required to be published must appear on the NRS before it takes legal effect. An act not on the NRS is constitutionally suspect. The NRS is not a government convenience — it is the mechanism by which Inhabitants verify that government acts exist and what they say.</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Immutability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NRS Access</w:t>
      </w:r>
    </w:p>
    <w:p>
      <w:pPr>
        <w:spacing w:after="120" w:before="0"/>
        <w:ind w:left="431"/>
        <w:jc w:val="both"/>
      </w:pPr>
      <w:r>
        <w:rPr>
          <w:rFonts w:ascii="Garamond" w:cs="Garamond" w:eastAsia="Garamond" w:hAnsi="Garamond"/>
          <w:b w:val="false"/>
          <w:bCs w:val="false"/>
          <w:i w:val="false"/>
          <w:iCs w:val="false"/>
          <w:color w:val="2a2520"/>
          <w:sz w:val="22"/>
          <w:szCs w:val="22"/>
        </w:rPr>
        <w:t xml:space="preserve">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Public Accessibility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i w:val="false"/>
          <w:iCs w:val="false"/>
          <w:color w:val="1B2A4A"/>
          <w:sz w:val="22"/>
          <w:szCs w:val="22"/>
        </w:rPr>
        <w:t xml:space="preserve">NRS Technical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431"/>
        <w:jc w:val="left"/>
      </w:pPr>
      <w:r>
        <w:rPr>
          <w:rFonts w:ascii="Courier New" w:cs="Courier New" w:eastAsia="Courier New" w:hAnsi="Courier New"/>
          <w:b/>
          <w:bCs/>
          <w:color w:val="1B2A4A"/>
          <w:sz w:val="18"/>
          <w:szCs w:val="18"/>
        </w:rPr>
        <w:t xml:space="preserve">§9.1.e  </w:t>
      </w:r>
      <w:r>
        <w:rPr>
          <w:rFonts w:ascii="Garamond" w:cs="Garamond" w:eastAsia="Garamond" w:hAnsi="Garamond"/>
          <w:b/>
          <w:bCs/>
          <w:i w:val="false"/>
          <w:iCs w:val="false"/>
          <w:color w:val="1B2A4A"/>
          <w:sz w:val="22"/>
          <w:szCs w:val="22"/>
        </w:rPr>
        <w:t xml:space="preserve">NRS Integrity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431"/>
        <w:jc w:val="left"/>
      </w:pPr>
      <w:r>
        <w:rPr>
          <w:rFonts w:ascii="Courier New" w:cs="Courier New" w:eastAsia="Courier New" w:hAnsi="Courier New"/>
          <w:b/>
          <w:bCs/>
          <w:color w:val="1B2A4A"/>
          <w:sz w:val="18"/>
          <w:szCs w:val="18"/>
        </w:rPr>
        <w:t xml:space="preserve">§9.1.f  </w:t>
      </w:r>
      <w:r>
        <w:rPr>
          <w:rFonts w:ascii="Garamond" w:cs="Garamond" w:eastAsia="Garamond" w:hAnsi="Garamond"/>
          <w:b/>
          <w:bCs/>
          <w:i w:val="false"/>
          <w:iCs w:val="false"/>
          <w:color w:val="1B2A4A"/>
          <w:sz w:val="22"/>
          <w:szCs w:val="22"/>
        </w:rPr>
        <w:t xml:space="preserve">Third-Party NRS Mirrors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431"/>
        <w:jc w:val="left"/>
      </w:pPr>
      <w:r>
        <w:rPr>
          <w:rFonts w:ascii="Courier New" w:cs="Courier New" w:eastAsia="Courier New" w:hAnsi="Courier New"/>
          <w:b/>
          <w:bCs/>
          <w:color w:val="1B2A4A"/>
          <w:sz w:val="18"/>
          <w:szCs w:val="18"/>
        </w:rPr>
        <w:t xml:space="preserve">§9.1.g  </w:t>
      </w:r>
      <w:r>
        <w:rPr>
          <w:rFonts w:ascii="Garamond" w:cs="Garamond" w:eastAsia="Garamond" w:hAnsi="Garamond"/>
          <w:b/>
          <w:bCs/>
          <w:i w:val="false"/>
          <w:iCs w:val="false"/>
          <w:color w:val="1B2A4A"/>
          <w:sz w:val="22"/>
          <w:szCs w:val="22"/>
        </w:rPr>
        <w:t xml:space="preserve">NRS Classification Exemption</w:t>
      </w:r>
    </w:p>
    <w:p>
      <w:pPr>
        <w:spacing w:after="120" w:before="0"/>
        <w:ind w:left="431"/>
        <w:jc w:val="both"/>
      </w:pPr>
      <w:r>
        <w:rPr>
          <w:rFonts w:ascii="Garamond" w:cs="Garamond" w:eastAsia="Garamond" w:hAnsi="Garamond"/>
          <w:b w:val="false"/>
          <w:bCs w:val="false"/>
          <w:i w:val="false"/>
          <w:iCs w:val="false"/>
          <w:color w:val="2a2520"/>
          <w:sz w:val="22"/>
          <w:szCs w:val="22"/>
        </w:rPr>
        <w:t xml:space="preserve">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jc w:val="left"/>
      </w:pPr>
      <w:r>
        <w:rPr>
          <w:rFonts w:ascii="Courier New" w:cs="Courier New" w:eastAsia="Courier New" w:hAnsi="Courier New"/>
          <w:b/>
          <w:bCs/>
          <w:color w:val="1B2A4A"/>
          <w:sz w:val="18"/>
          <w:szCs w:val="18"/>
        </w:rPr>
        <w:t xml:space="preserve">§9.1.h  </w:t>
      </w:r>
      <w:r>
        <w:rPr>
          <w:rFonts w:ascii="Garamond" w:cs="Garamond" w:eastAsia="Garamond" w:hAnsi="Garamond"/>
          <w:b/>
          <w:bCs/>
          <w:i w:val="false"/>
          <w:iCs w:val="false"/>
          <w:color w:val="1B2A4A"/>
          <w:sz w:val="22"/>
          <w:szCs w:val="22"/>
        </w:rPr>
        <w:t xml:space="preserve">Cross-Jurisdictional Record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Records published to the NRS by any jurisdiction within the Republic are recognized as authentic records by all other jurisdictions without re-certification, apostille, or additional verification. The NRS publication is the authentication. A court, agency, or official that refuses to recognize an NRS-published record on the grounds that it originated in another jurisdiction acts in constitutional defiance of this provision.</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Historical Records Preservation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Digital Infrastructure Advisory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and the National Voting System are reviewed decennially by the Digital Infrastructure Advisory Council — an independent expert body that publishes advisory findings and recommendations to the Digital Infrastructure Commission. The Advisory Council has no authority to issue binding orders or direct the Commission. Findings are published jointly by all three Inspectorates to the NRS and transmitted to the Commission Director and both panel chairs simultaneously.</w:t>
      </w:r>
    </w:p>
    <w:p>
      <w:pPr>
        <w:spacing w:after="60" w:before="200"/>
        <w:ind w:left="431"/>
        <w:jc w:val="left"/>
      </w:pPr>
      <w:r>
        <w:rPr>
          <w:rFonts w:ascii="Courier New" w:cs="Courier New" w:eastAsia="Courier New" w:hAnsi="Courier New"/>
          <w:b/>
          <w:bCs/>
          <w:color w:val="1B2A4A"/>
          <w:sz w:val="18"/>
          <w:szCs w:val="18"/>
        </w:rPr>
        <w:t xml:space="preserve">§9.3.a  </w:t>
      </w:r>
      <w:r>
        <w:rPr>
          <w:rFonts w:ascii="Garamond" w:cs="Garamond" w:eastAsia="Garamond" w:hAnsi="Garamond"/>
          <w:b/>
          <w:bCs/>
          <w:i w:val="false"/>
          <w:iCs w:val="false"/>
          <w:color w:val="1B2A4A"/>
          <w:sz w:val="22"/>
          <w:szCs w:val="22"/>
        </w:rPr>
        <w:t xml:space="preserve">Advisory Council — Mandate and Trigger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Advisory Council reviews whether the NRS and NVS architectures continue to meet their respective constitutional requirements under §9.1 and §16.3. The Council convenes every ten years from the date of the first Legislature convening under §19.3.d. Qualifications for pool eligibility, audit methodology and scope, working session parameters, and compensation are established by statute. The Legislature may not adjust the decennial trigger date by statute. Advisory Council findings are recommendations to the Digital Infrastructure Commission — the Commission determines what action, if any, to take and publishes its response to the NRS within 90 days of the Advisory Council's findings.</w:t>
      </w:r>
    </w:p>
    <w:p>
      <w:pPr>
        <w:spacing w:after="60" w:before="200"/>
        <w:ind w:left="431"/>
        <w:jc w:val="left"/>
      </w:pPr>
      <w:r>
        <w:rPr>
          <w:rFonts w:ascii="Courier New" w:cs="Courier New" w:eastAsia="Courier New" w:hAnsi="Courier New"/>
          <w:b/>
          <w:bCs/>
          <w:color w:val="1B2A4A"/>
          <w:sz w:val="18"/>
          <w:szCs w:val="18"/>
        </w:rPr>
        <w:t xml:space="preserve">§9.3.b  </w:t>
      </w:r>
      <w:r>
        <w:rPr>
          <w:rFonts w:ascii="Garamond" w:cs="Garamond" w:eastAsia="Garamond" w:hAnsi="Garamond"/>
          <w:b/>
          <w:bCs/>
          <w:i w:val="false"/>
          <w:iCs w:val="false"/>
          <w:color w:val="1B2A4A"/>
          <w:sz w:val="22"/>
          <w:szCs w:val="22"/>
        </w:rPr>
        <w:t xml:space="preserve">Advisory Pool — State Nominations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State may nominate qualified persons to the Digital Infrastructure Advisory Pool at any time. Nominations are submitted to the JI; entry and certification follow §8.13. No more than three certified pool members may be nominees of the same State at the time of any given decennial draw. Pool nominations remain valid for ten years or until withdrawn by the nominating State. The pool is a public NRS record.</w:t>
      </w:r>
    </w:p>
    <w:p>
      <w:pPr>
        <w:spacing w:after="60" w:before="200"/>
        <w:ind w:left="431"/>
        <w:jc w:val="left"/>
      </w:pPr>
      <w:r>
        <w:rPr>
          <w:rFonts w:ascii="Courier New" w:cs="Courier New" w:eastAsia="Courier New" w:hAnsi="Courier New"/>
          <w:b/>
          <w:bCs/>
          <w:color w:val="1B2A4A"/>
          <w:sz w:val="18"/>
          <w:szCs w:val="18"/>
        </w:rPr>
        <w:t xml:space="preserve">§9.3.c  </w:t>
      </w:r>
      <w:r>
        <w:rPr>
          <w:rFonts w:ascii="Garamond" w:cs="Garamond" w:eastAsia="Garamond" w:hAnsi="Garamond"/>
          <w:b/>
          <w:bCs/>
          <w:i w:val="false"/>
          <w:iCs w:val="false"/>
          <w:color w:val="1B2A4A"/>
          <w:sz w:val="22"/>
          <w:szCs w:val="22"/>
        </w:rPr>
        <w:t xml:space="preserve">Pool Reset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Advisory Pool resets after each decennial review cycle. States may re-nominate the same persons with fresh JI qualification certification, or submit new nominees. Members who served on the Advisory Council are eligible for re-nomination by their State after one full cycle has elapsed since their service.</w:t>
      </w:r>
    </w:p>
    <w:p>
      <w:pPr>
        <w:spacing w:after="60" w:before="200"/>
        <w:ind w:left="431"/>
        <w:jc w:val="left"/>
      </w:pPr>
      <w:r>
        <w:rPr>
          <w:rFonts w:ascii="Courier New" w:cs="Courier New" w:eastAsia="Courier New" w:hAnsi="Courier New"/>
          <w:b/>
          <w:bCs/>
          <w:color w:val="1B2A4A"/>
          <w:sz w:val="18"/>
          <w:szCs w:val="18"/>
        </w:rPr>
        <w:t xml:space="preserve">§9.3.d  </w:t>
      </w:r>
      <w:r>
        <w:rPr>
          <w:rFonts w:ascii="Garamond" w:cs="Garamond" w:eastAsia="Garamond" w:hAnsi="Garamond"/>
          <w:b/>
          <w:bCs/>
          <w:i w:val="false"/>
          <w:iCs w:val="false"/>
          <w:color w:val="1B2A4A"/>
          <w:sz w:val="22"/>
          <w:szCs w:val="22"/>
        </w:rPr>
        <w:t xml:space="preserve">Advisory Council Draw</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decennial review is triggered, the Joint Inspectorate Council under §8.12 constitutes the Council by public lottery, drawing five members at random from the eligible pool using the standard JIC lottery procedure under §8.13. The remaining pool members constitute the standing replacement pool for the duration of the Council's working period.</w:t>
      </w:r>
    </w:p>
    <w:p>
      <w:pPr>
        <w:spacing w:after="60" w:before="200"/>
        <w:ind w:left="431"/>
        <w:jc w:val="left"/>
      </w:pPr>
      <w:r>
        <w:rPr>
          <w:rFonts w:ascii="Courier New" w:cs="Courier New" w:eastAsia="Courier New" w:hAnsi="Courier New"/>
          <w:b/>
          <w:bCs/>
          <w:color w:val="1B2A4A"/>
          <w:sz w:val="18"/>
          <w:szCs w:val="18"/>
        </w:rPr>
        <w:t xml:space="preserve">§9.3.e  </w:t>
      </w:r>
      <w:r>
        <w:rPr>
          <w:rFonts w:ascii="Garamond" w:cs="Garamond" w:eastAsia="Garamond" w:hAnsi="Garamond"/>
          <w:b/>
          <w:bCs/>
          <w:i w:val="false"/>
          <w:iCs w:val="false"/>
          <w:color w:val="1B2A4A"/>
          <w:sz w:val="22"/>
          <w:szCs w:val="22"/>
        </w:rPr>
        <w:t xml:space="preserve">Advisory Council Member Replacement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An Advisory Council member who must be replaced during the review period — through ineligibility, withdrawal, or disqualification — is replaced by JIC lottery draw from the remaining eligible pool under §8.13. The replacement member holds the same authority and obligations as the member they replace.</w:t>
      </w:r>
    </w:p>
    <w:p>
      <w:pPr>
        <w:spacing w:after="60" w:before="200"/>
        <w:ind w:left="431"/>
        <w:jc w:val="left"/>
      </w:pPr>
      <w:r>
        <w:rPr>
          <w:rFonts w:ascii="Courier New" w:cs="Courier New" w:eastAsia="Courier New" w:hAnsi="Courier New"/>
          <w:b/>
          <w:bCs/>
          <w:color w:val="1B2A4A"/>
          <w:sz w:val="18"/>
          <w:szCs w:val="18"/>
        </w:rPr>
        <w:t xml:space="preserve">§9.3.f  </w:t>
      </w:r>
      <w:r>
        <w:rPr>
          <w:rFonts w:ascii="Garamond" w:cs="Garamond" w:eastAsia="Garamond" w:hAnsi="Garamond"/>
          <w:b/>
          <w:bCs/>
          <w:i w:val="false"/>
          <w:iCs w:val="false"/>
          <w:color w:val="1B2A4A"/>
          <w:sz w:val="22"/>
          <w:szCs w:val="22"/>
        </w:rPr>
        <w:t xml:space="preserve">Tri-Inspectorate Oversight of Advisory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Inspectorate Council under §8.12 certifies the draw under §9.3.d, oversees the Council's working sessions to verify that the Council has the access to records, systems, and personnel required by its statutory mandate, and reviews the Council's findings before publication to confirm the findings reflect the Council's genuine conclusions. All three Inspectorate seals appear on findings published to the NRS. The Commission Director and both panel chairs receive a copy of published findings simultaneously with NRS publication.</w:t>
      </w:r>
    </w:p>
    <w:p>
      <w:pPr>
        <w:spacing w:after="60" w:before="200"/>
        <w:ind w:left="431"/>
        <w:jc w:val="left"/>
      </w:pPr>
      <w:r>
        <w:rPr>
          <w:rFonts w:ascii="Courier New" w:cs="Courier New" w:eastAsia="Courier New" w:hAnsi="Courier New"/>
          <w:b/>
          <w:bCs/>
          <w:color w:val="1B2A4A"/>
          <w:sz w:val="18"/>
          <w:szCs w:val="18"/>
        </w:rPr>
        <w:t xml:space="preserve">§9.3.g  </w:t>
      </w:r>
      <w:r>
        <w:rPr>
          <w:rFonts w:ascii="Garamond" w:cs="Garamond" w:eastAsia="Garamond" w:hAnsi="Garamond"/>
          <w:b/>
          <w:bCs/>
          <w:i w:val="false"/>
          <w:iCs w:val="false"/>
          <w:color w:val="1B2A4A"/>
          <w:sz w:val="22"/>
          <w:szCs w:val="22"/>
        </w:rPr>
        <w:t xml:space="preserve">Advisory Council Findings and Commission Response</w:t>
      </w:r>
    </w:p>
    <w:p>
      <w:pPr>
        <w:spacing w:after="120" w:before="0"/>
        <w:ind w:left="431"/>
        <w:jc w:val="both"/>
      </w:pPr>
      <w:r>
        <w:rPr>
          <w:rFonts w:ascii="Garamond" w:cs="Garamond" w:eastAsia="Garamond" w:hAnsi="Garamond"/>
          <w:b w:val="false"/>
          <w:bCs w:val="false"/>
          <w:i w:val="false"/>
          <w:iCs w:val="false"/>
          <w:color w:val="2a2520"/>
          <w:sz w:val="22"/>
          <w:szCs w:val="22"/>
        </w:rPr>
        <w:t xml:space="preserve">Advisory Council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for either system. The Commission Director, both panel chairs, and both executives receive findings simultaneously with NRS publication. The Senate public session under §9.3.h must be scheduled within 30 days of publication and occur within 90 days. The Commission must publish its response within 90 days of findings publication — accepting, modifying, or declining each recommendation with published reasons. The Commission's response should ordinarily follow the Senate public session under §9.3.h so that Senate scrutiny may inform the Commission's reasoning; however the 90-day response window runs from findings publication regardless of when the session occurs. The Advisory Council's mandate ends upon publication; the Council dissolves and the pool resets under §9.3.c.</w:t>
      </w:r>
    </w:p>
    <w:p>
      <w:pPr>
        <w:spacing w:after="60" w:before="200"/>
        <w:ind w:left="431"/>
        <w:jc w:val="left"/>
      </w:pPr>
      <w:r>
        <w:rPr>
          <w:rFonts w:ascii="Courier New" w:cs="Courier New" w:eastAsia="Courier New" w:hAnsi="Courier New"/>
          <w:b/>
          <w:bCs/>
          <w:color w:val="1B2A4A"/>
          <w:sz w:val="18"/>
          <w:szCs w:val="18"/>
        </w:rPr>
        <w:t xml:space="preserve">§9.3.h  </w:t>
      </w:r>
      <w:r>
        <w:rPr>
          <w:rFonts w:ascii="Garamond" w:cs="Garamond" w:eastAsia="Garamond" w:hAnsi="Garamond"/>
          <w:b/>
          <w:bCs/>
          <w:i w:val="false"/>
          <w:iCs w:val="false"/>
          <w:color w:val="1B2A4A"/>
          <w:sz w:val="22"/>
          <w:szCs w:val="22"/>
        </w:rPr>
        <w:t xml:space="preserve">Senate Public Session on Advisory Council Findings</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30 days of the Advisory Council's findings being published to the NRS under §9.3.g, the Senate must schedule a mandatory public session. The session must occur within 90 days of publication. Advisory Council members appear before the Senate, present their findings, and respond to questions from Senators. The session is published in full to the NRS. Failure to schedule the session within 30 days is a constitutional compliance breach certified by the LI. The Commission's 90-day response period under §9.3.g runs from the date of findings publication and is not affected by the Senate session timing.</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(voter registration, ballot counts, audit trails, certification documents) must be published to the NRS within the timeframes specified by the Elections Panel of the Digital Infrastructure Commission's constitutional mandate under Article XVI.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§9.5.b  </w:t>
      </w:r>
      <w:r>
        <w:rPr>
          <w:rFonts w:ascii="Garamond" w:cs="Garamond" w:eastAsia="Garamond" w:hAnsi="Garamond"/>
          <w:b/>
          <w:bCs/>
          <w:i w:val="false"/>
          <w:iCs w:val="false"/>
          <w:color w:val="1B2A4A"/>
          <w:sz w:val="22"/>
          <w:szCs w:val="22"/>
        </w:rPr>
        <w:t xml:space="preserve">NRS Downtime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431"/>
        <w:jc w:val="left"/>
      </w:pPr>
      <w:r>
        <w:rPr>
          <w:rFonts w:ascii="Courier New" w:cs="Courier New" w:eastAsia="Courier New" w:hAnsi="Courier New"/>
          <w:b/>
          <w:bCs/>
          <w:color w:val="1B2A4A"/>
          <w:sz w:val="18"/>
          <w:szCs w:val="18"/>
        </w:rPr>
        <w:t xml:space="preserve">§9.5.c  </w:t>
      </w:r>
      <w:r>
        <w:rPr>
          <w:rFonts w:ascii="Garamond" w:cs="Garamond" w:eastAsia="Garamond" w:hAnsi="Garamond"/>
          <w:b/>
          <w:bCs/>
          <w:i w:val="false"/>
          <w:iCs w:val="false"/>
          <w:color w:val="1B2A4A"/>
          <w:sz w:val="22"/>
          <w:szCs w:val="22"/>
        </w:rPr>
        <w:t xml:space="preserve">Citizen NRS Submissions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431"/>
        <w:jc w:val="left"/>
      </w:pPr>
      <w:r>
        <w:rPr>
          <w:rFonts w:ascii="Courier New" w:cs="Courier New" w:eastAsia="Courier New" w:hAnsi="Courier New"/>
          <w:b/>
          <w:bCs/>
          <w:color w:val="1B2A4A"/>
          <w:sz w:val="18"/>
          <w:szCs w:val="18"/>
        </w:rPr>
        <w:t xml:space="preserve">§9.5.d  </w:t>
      </w:r>
      <w:r>
        <w:rPr>
          <w:rFonts w:ascii="Garamond" w:cs="Garamond" w:eastAsia="Garamond" w:hAnsi="Garamond"/>
          <w:b/>
          <w:bCs/>
          <w:i w:val="false"/>
          <w:iCs w:val="false"/>
          <w:color w:val="1B2A4A"/>
          <w:sz w:val="22"/>
          <w:szCs w:val="22"/>
        </w:rPr>
        <w:t xml:space="preserve">NRS Funding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431"/>
        <w:jc w:val="left"/>
      </w:pPr>
      <w:r>
        <w:rPr>
          <w:rFonts w:ascii="Courier New" w:cs="Courier New" w:eastAsia="Courier New" w:hAnsi="Courier New"/>
          <w:b/>
          <w:bCs/>
          <w:color w:val="1B2A4A"/>
          <w:sz w:val="18"/>
          <w:szCs w:val="18"/>
        </w:rPr>
        <w:t xml:space="preserve">§9.5.e  </w:t>
      </w:r>
      <w:r>
        <w:rPr>
          <w:rFonts w:ascii="Garamond" w:cs="Garamond" w:eastAsia="Garamond" w:hAnsi="Garamond"/>
          <w:b/>
          <w:bCs/>
          <w:i w:val="false"/>
          <w:iCs w:val="false"/>
          <w:color w:val="1B2A4A"/>
          <w:sz w:val="22"/>
          <w:szCs w:val="22"/>
        </w:rPr>
        <w:t xml:space="preserve">Improper Classification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w:t>
      </w:r>
    </w:p>
    <w:p>
      <w:pPr>
        <w:spacing w:after="60" w:before="200"/>
        <w:jc w:val="left"/>
      </w:pPr>
      <w:r>
        <w:rPr>
          <w:rFonts w:ascii="Garamond" w:cs="Garamond" w:eastAsia="Garamond" w:hAnsi="Garamond"/>
          <w:b/>
          <w:bCs/>
          <w:i w:val="false"/>
          <w:iCs w:val="false"/>
          <w:color w:val="1B2A4A"/>
          <w:sz w:val="34"/>
          <w:szCs w:val="34"/>
        </w:rPr>
        <w:t xml:space="preserve">Article X — Economic Provisions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The Social State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The Republic shall maintain universally accessible healthcare insurance and social assistance systems and shall ensure free compulsory education for all children, as established in §10.1.a through §10.1.e.</w:t>
      </w:r>
    </w:p>
    <w:p>
      <w:pPr>
        <w:spacing w:after="60" w:before="200"/>
        <w:ind w:left="431"/>
        <w:jc w:val="left"/>
      </w:pPr>
      <w:r>
        <w:rPr>
          <w:rFonts w:ascii="Courier New" w:cs="Courier New" w:eastAsia="Courier New" w:hAnsi="Courier New"/>
          <w:b/>
          <w:bCs/>
          <w:color w:val="1B2A4A"/>
          <w:sz w:val="18"/>
          <w:szCs w:val="18"/>
        </w:rPr>
        <w:t xml:space="preserve">§10.1.a  </w:t>
      </w:r>
      <w:r>
        <w:rPr>
          <w:rFonts w:ascii="Garamond" w:cs="Garamond" w:eastAsia="Garamond" w:hAnsi="Garamond"/>
          <w:b/>
          <w:bCs/>
          <w:i w:val="false"/>
          <w:iCs w:val="false"/>
          <w:color w:val="1B2A4A"/>
          <w:sz w:val="22"/>
          <w:szCs w:val="22"/>
        </w:rPr>
        <w:t xml:space="preserve">Universal Healthcare Insurance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shall maintain a universal healthcare insurance system providing every Inhabitant with access to essential medical care, preventive services, and necessary medications. The system is funded by mandatory employer, employee, and federal government contributions at rates defined by statute. The Republic is the contributor of last resort for Inhabitants without employment income — no Inhabitant may be excluded from the system by reason of inability to pay. The structure, governance, and coverage scope of the system are defined by statute; the statute must provide genuinely comprehensive coverage adequate for a dignified life. The MA certifies annually that the system is solvent and provides constitutionally required universal access. Where the MA certifies insolvency or access failure, the Legislature must respond within 90 days with a remediation plan; failure to respond is a constitutional compliance breach certified by the LI.</w:t>
      </w:r>
    </w:p>
    <w:p>
      <w:pPr>
        <w:spacing w:after="60" w:before="200"/>
        <w:ind w:left="431"/>
        <w:jc w:val="left"/>
      </w:pPr>
      <w:r>
        <w:rPr>
          <w:rFonts w:ascii="Courier New" w:cs="Courier New" w:eastAsia="Courier New" w:hAnsi="Courier New"/>
          <w:b/>
          <w:bCs/>
          <w:color w:val="1B2A4A"/>
          <w:sz w:val="18"/>
          <w:szCs w:val="18"/>
        </w:rPr>
        <w:t xml:space="preserve">§10.1.b  </w:t>
      </w:r>
      <w:r>
        <w:rPr>
          <w:rFonts w:ascii="Garamond" w:cs="Garamond" w:eastAsia="Garamond" w:hAnsi="Garamond"/>
          <w:b/>
          <w:bCs/>
          <w:i w:val="false"/>
          <w:iCs w:val="false"/>
          <w:color w:val="1B2A4A"/>
          <w:sz w:val="22"/>
          <w:szCs w:val="22"/>
        </w:rPr>
        <w:t xml:space="preserve">Social Assistance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Inhabitant cannot access the healthcare insurance system, employment income, or other means of support, the Republic provides social assistance sufficient to maintain conditions of life consistent with the §10.1 dignity standard. Eligibility, benefit levels, and delivery mechanisms are defined by statute; no statute may reduce social assistance below a level the MA certifies as consistent with the constitutional dignity standard. Social assistance is administered by the PM through the Domestic Affairs Council. The LI audits delivery annually.</w:t>
      </w:r>
    </w:p>
    <w:p>
      <w:pPr>
        <w:spacing w:after="60" w:before="200"/>
        <w:ind w:left="431"/>
        <w:jc w:val="left"/>
      </w:pPr>
      <w:r>
        <w:rPr>
          <w:rFonts w:ascii="Courier New" w:cs="Courier New" w:eastAsia="Courier New" w:hAnsi="Courier New"/>
          <w:b/>
          <w:bCs/>
          <w:color w:val="1B2A4A"/>
          <w:sz w:val="18"/>
          <w:szCs w:val="18"/>
        </w:rPr>
        <w:t xml:space="preserve">§10.1.c  </w:t>
      </w:r>
      <w:r>
        <w:rPr>
          <w:rFonts w:ascii="Garamond" w:cs="Garamond" w:eastAsia="Garamond" w:hAnsi="Garamond"/>
          <w:b/>
          <w:bCs/>
          <w:i w:val="false"/>
          <w:iCs w:val="false"/>
          <w:color w:val="1B2A4A"/>
          <w:sz w:val="22"/>
          <w:szCs w:val="22"/>
        </w:rPr>
        <w:t xml:space="preserve">Compulsory 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in the Republic is entitled to free compulsory basic education. States deliver basic education within their territories and may establish standards above the constitutional floor. The constitutional floor requires: literacy and numeracy sufficient for full adult participation in economic and civic life; and civic education covering the structure, rights, and obligations of the Republic's constitutional framework. The Legislature establishes minimum per-pupil expenditure floors by statute. The LI audits State compliance with the constitutional education floor annually.</w:t>
      </w:r>
    </w:p>
    <w:p>
      <w:pPr>
        <w:spacing w:after="60" w:before="200"/>
        <w:ind w:left="431"/>
        <w:jc w:val="left"/>
      </w:pPr>
      <w:r>
        <w:rPr>
          <w:rFonts w:ascii="Courier New" w:cs="Courier New" w:eastAsia="Courier New" w:hAnsi="Courier New"/>
          <w:b/>
          <w:bCs/>
          <w:color w:val="1B2A4A"/>
          <w:sz w:val="18"/>
          <w:szCs w:val="18"/>
        </w:rPr>
        <w:t xml:space="preserve">§10.1.d  </w:t>
      </w:r>
      <w:r>
        <w:rPr>
          <w:rFonts w:ascii="Garamond" w:cs="Garamond" w:eastAsia="Garamond" w:hAnsi="Garamond"/>
          <w:b/>
          <w:bCs/>
          <w:i w:val="false"/>
          <w:iCs w:val="false"/>
          <w:color w:val="1B2A4A"/>
          <w:sz w:val="22"/>
          <w:szCs w:val="22"/>
        </w:rPr>
        <w:t xml:space="preserve">Non-Discrimination in Social Systems</w:t>
      </w:r>
    </w:p>
    <w:p>
      <w:pPr>
        <w:spacing w:after="120" w:before="0"/>
        <w:ind w:left="431"/>
        <w:jc w:val="both"/>
      </w:pPr>
      <w:r>
        <w:rPr>
          <w:rFonts w:ascii="Garamond" w:cs="Garamond" w:eastAsia="Garamond" w:hAnsi="Garamond"/>
          <w:b w:val="false"/>
          <w:bCs w:val="false"/>
          <w:i w:val="false"/>
          <w:iCs w:val="false"/>
          <w:color w:val="2a2520"/>
          <w:sz w:val="22"/>
          <w:szCs w:val="22"/>
        </w:rPr>
        <w:t xml:space="preserve">Access to the healthcare insurance system, social assistance, and compulsory education may not be conditioned on citizenship, residency status, political affiliation, or any characteristic protected under §1.9. Every Inhabitant is entitled to equal access. No statute may create tiered access or differential benefit levels based on any protected characteristic.</w:t>
      </w:r>
    </w:p>
    <w:p>
      <w:pPr>
        <w:spacing w:after="60" w:before="200"/>
        <w:ind w:left="431"/>
        <w:jc w:val="left"/>
      </w:pPr>
      <w:r>
        <w:rPr>
          <w:rFonts w:ascii="Courier New" w:cs="Courier New" w:eastAsia="Courier New" w:hAnsi="Courier New"/>
          <w:b/>
          <w:bCs/>
          <w:color w:val="1B2A4A"/>
          <w:sz w:val="18"/>
          <w:szCs w:val="18"/>
        </w:rPr>
        <w:t xml:space="preserve">§10.1.e  </w:t>
      </w:r>
      <w:r>
        <w:rPr>
          <w:rFonts w:ascii="Garamond" w:cs="Garamond" w:eastAsia="Garamond" w:hAnsi="Garamond"/>
          <w:b/>
          <w:bCs/>
          <w:i w:val="false"/>
          <w:iCs w:val="false"/>
          <w:color w:val="1B2A4A"/>
          <w:sz w:val="22"/>
          <w:szCs w:val="22"/>
        </w:rPr>
        <w:t xml:space="preserve">Emergency Protection and Revenue Contraction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domestic emergency may reduce, suspend, or diminish access to healthcare insurance, social assistance, or compulsory education. These social state obligations are explicitly excluded from emergency powers; an executive who redirects social insurance or assistance funds during an emergency has committed a constitutional breach certified by the EI. Where the MA certifies a Severe Revenue Contraction, the National Endowment under §10.6 is automatically activated to backstop both the healthcare insurance system's solvency and social assistance appropriations below the §10.1 dignity standard — no legislative action is required for activation. Disbursements continue until the MA certifies the contraction has ended. Where the MA certifies healthcare insurance insolvency under §10.1.a and the Legislature fails to publish a remediation plan within 90 days, the National Endowment board may also authorize emergency disbursement to cover the insolvency gap for up to 6 months regardless of whether a Severe Revenue Contraction has been certified.</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Fiscal Accountability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431"/>
        <w:jc w:val="left"/>
      </w:pPr>
      <w:r>
        <w:rPr>
          <w:rFonts w:ascii="Courier New" w:cs="Courier New" w:eastAsia="Courier New" w:hAnsi="Courier New"/>
          <w:b/>
          <w:bCs/>
          <w:color w:val="1B2A4A"/>
          <w:sz w:val="18"/>
          <w:szCs w:val="18"/>
        </w:rPr>
        <w:t xml:space="preserve">§10.2.a  </w:t>
      </w:r>
      <w:r>
        <w:rPr>
          <w:rFonts w:ascii="Garamond" w:cs="Garamond" w:eastAsia="Garamond" w:hAnsi="Garamond"/>
          <w:b/>
          <w:bCs/>
          <w:i w:val="false"/>
          <w:iCs w:val="false"/>
          <w:color w:val="1B2A4A"/>
          <w:sz w:val="22"/>
          <w:szCs w:val="22"/>
        </w:rPr>
        <w:t xml:space="preserve">Deficit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431"/>
        <w:jc w:val="left"/>
      </w:pPr>
      <w:r>
        <w:rPr>
          <w:rFonts w:ascii="Courier New" w:cs="Courier New" w:eastAsia="Courier New" w:hAnsi="Courier New"/>
          <w:b/>
          <w:bCs/>
          <w:color w:val="1B2A4A"/>
          <w:sz w:val="18"/>
          <w:szCs w:val="18"/>
        </w:rPr>
        <w:t xml:space="preserve">§10.2.b  </w:t>
      </w:r>
      <w:r>
        <w:rPr>
          <w:rFonts w:ascii="Garamond" w:cs="Garamond" w:eastAsia="Garamond" w:hAnsi="Garamond"/>
          <w:b/>
          <w:bCs/>
          <w:i w:val="false"/>
          <w:iCs w:val="false"/>
          <w:color w:val="1B2A4A"/>
          <w:sz w:val="22"/>
          <w:szCs w:val="22"/>
        </w:rPr>
        <w:t xml:space="preserve">Legislative Pay Withholding</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discretionary government spending has been suspended due to budget failure, the pay of all members of both chambers is withheld from the same date on which government employee pay is withheld — no earlier and no later. Withheld legislator pay is held and released in full within 14 days of a budget being enacted. No member may receive advance pay, loans from government sources, or any substitute compensation from public funds during this period. The MA publishes a daily count of days withheld to the NRS, running concurrently with the equivalent count for government employees.</w:t>
      </w:r>
    </w:p>
    <w:p>
      <w:pPr>
        <w:spacing w:after="60" w:before="200"/>
        <w:ind w:left="431"/>
        <w:jc w:val="left"/>
      </w:pPr>
      <w:r>
        <w:rPr>
          <w:rFonts w:ascii="Courier New" w:cs="Courier New" w:eastAsia="Courier New" w:hAnsi="Courier New"/>
          <w:b/>
          <w:bCs/>
          <w:color w:val="1B2A4A"/>
          <w:sz w:val="18"/>
          <w:szCs w:val="18"/>
        </w:rPr>
        <w:t xml:space="preserve">§10.2.c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reserve fund for social state backstop purposes under §10.1.e is established and governed under §10.6. The Legislature must fund it by appropriation in years of fiscal surplus. Failure to establish or adequately fund the Endowment within the constitutionally required period is a compliance breach certified by the LI.</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by statute establish a public campaign financing system within 24 months of the first Legislature convening under §19.3.d. If it fails to do so, the failure is a constitutional compliance breach certified by the LI, and citizens may petition for a citizen legislative initiative under §11.2.a to impose a public financing framework by direct mandate.</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i w:val="false"/>
          <w:iCs w:val="false"/>
          <w:color w:val="1B2A4A"/>
          <w:sz w:val="22"/>
          <w:szCs w:val="22"/>
        </w:rPr>
        <w:t xml:space="preserve">Campaign Financing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public financing system must provide all registered candidates with equal access to public funds. No incumbent advantage in the allocation formula. Private contributions are capped at the de minimis threshold under §18.3. Administered by the Elections Panel of the Digital Infrastructure Commission — not by either executive or the Legislature.</w:t>
      </w:r>
    </w:p>
    <w:p>
      <w:pPr>
        <w:spacing w:after="60" w:before="200"/>
        <w:ind w:left="431"/>
        <w:jc w:val="left"/>
      </w:pPr>
      <w:r>
        <w:rPr>
          <w:rFonts w:ascii="Courier New" w:cs="Courier New" w:eastAsia="Courier New" w:hAnsi="Courier New"/>
          <w:b/>
          <w:bCs/>
          <w:color w:val="1B2A4A"/>
          <w:sz w:val="18"/>
          <w:szCs w:val="18"/>
        </w:rPr>
        <w:t xml:space="preserve">§10.3.b  </w:t>
      </w:r>
      <w:r>
        <w:rPr>
          <w:rFonts w:ascii="Garamond" w:cs="Garamond" w:eastAsia="Garamond" w:hAnsi="Garamond"/>
          <w:b/>
          <w:bCs/>
          <w:i w:val="false"/>
          <w:iCs w:val="false"/>
          <w:color w:val="1B2A4A"/>
          <w:sz w:val="22"/>
          <w:szCs w:val="22"/>
        </w:rPr>
        <w:t xml:space="preserve">Campaign Financing Enforcement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431"/>
        <w:jc w:val="left"/>
      </w:pPr>
      <w:r>
        <w:rPr>
          <w:rFonts w:ascii="Courier New" w:cs="Courier New" w:eastAsia="Courier New" w:hAnsi="Courier New"/>
          <w:b/>
          <w:bCs/>
          <w:color w:val="1B2A4A"/>
          <w:sz w:val="18"/>
          <w:szCs w:val="18"/>
        </w:rPr>
        <w:t xml:space="preserve">§10.4  </w:t>
      </w:r>
      <w:r>
        <w:rPr>
          <w:rFonts w:ascii="Garamond" w:cs="Garamond" w:eastAsia="Garamond" w:hAnsi="Garamond"/>
          <w:b/>
          <w:bCs/>
          <w:i w:val="false"/>
          <w:iCs w:val="false"/>
          <w:color w:val="1B2A4A"/>
          <w:sz w:val="22"/>
          <w:szCs w:val="22"/>
        </w:rPr>
        <w:t xml:space="preserve">The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Monetary Authority is the Republic's constitutionally independent central bank, governed by an elected Director and an appointed board. Its mandate hierarchy and independence from political direction are established in this section.</w:t>
      </w:r>
    </w:p>
    <w:p>
      <w:pPr>
        <w:spacing w:after="60" w:before="200"/>
        <w:ind w:left="431"/>
        <w:jc w:val="left"/>
      </w:pPr>
      <w:r>
        <w:rPr>
          <w:rFonts w:ascii="Courier New" w:cs="Courier New" w:eastAsia="Courier New" w:hAnsi="Courier New"/>
          <w:b/>
          <w:bCs/>
          <w:color w:val="1B2A4A"/>
          <w:sz w:val="18"/>
          <w:szCs w:val="18"/>
        </w:rPr>
        <w:t xml:space="preserve">§10.4.a  </w:t>
      </w:r>
      <w:r>
        <w:rPr>
          <w:rFonts w:ascii="Garamond" w:cs="Garamond" w:eastAsia="Garamond" w:hAnsi="Garamond"/>
          <w:b/>
          <w:bCs/>
          <w:i w:val="false"/>
          <w:iCs w:val="false"/>
          <w:color w:val="1B2A4A"/>
          <w:sz w:val="22"/>
          <w:szCs w:val="22"/>
        </w:rPr>
        <w:t xml:space="preserve">MA Director Election and Board Composition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 is governed by an elected Director and a board of five appointed members. The Director is elected by national RCV on National Election Day to a single non-renewable 8-year term, staggered from the board member appointment cycle. Board members are appointed by the PM and confirmed by the Senate to staggered 6-year non-renewable terms. No more than two board members may be appointed by the same PM. Board vacancies must be filled within 90 days of opening; if the PM fails to nominate within 60 days, the JI publishes a notice of constitutional non-compliance. No deemed confirmation applies to MA board member appointments — the Senate must hold an affirmative vote.</w:t>
      </w:r>
    </w:p>
    <w:p>
      <w:pPr>
        <w:spacing w:after="60" w:before="200"/>
        <w:ind w:left="431"/>
        <w:jc w:val="left"/>
      </w:pPr>
      <w:r>
        <w:rPr>
          <w:rFonts w:ascii="Courier New" w:cs="Courier New" w:eastAsia="Courier New" w:hAnsi="Courier New"/>
          <w:b/>
          <w:bCs/>
          <w:color w:val="1B2A4A"/>
          <w:sz w:val="18"/>
          <w:szCs w:val="18"/>
        </w:rPr>
        <w:t xml:space="preserve">§10.4.b  </w:t>
      </w:r>
      <w:r>
        <w:rPr>
          <w:rFonts w:ascii="Garamond" w:cs="Garamond" w:eastAsia="Garamond" w:hAnsi="Garamond"/>
          <w:b/>
          <w:bCs/>
          <w:i w:val="false"/>
          <w:iCs w:val="false"/>
          <w:color w:val="1B2A4A"/>
          <w:sz w:val="22"/>
          <w:szCs w:val="22"/>
        </w:rPr>
        <w:t xml:space="preserve">MA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No government may direct the MA to elevate its secondary mandate to co-equal status with the primary mandate.</w:t>
      </w:r>
    </w:p>
    <w:p>
      <w:pPr>
        <w:spacing w:after="60" w:before="200"/>
        <w:ind w:left="431"/>
        <w:jc w:val="left"/>
      </w:pPr>
      <w:r>
        <w:rPr>
          <w:rFonts w:ascii="Courier New" w:cs="Courier New" w:eastAsia="Courier New" w:hAnsi="Courier New"/>
          <w:b/>
          <w:bCs/>
          <w:color w:val="1B2A4A"/>
          <w:sz w:val="18"/>
          <w:szCs w:val="18"/>
        </w:rPr>
        <w:t xml:space="preserve">§10.4.b.i  </w:t>
      </w:r>
      <w:r>
        <w:rPr>
          <w:rFonts w:ascii="Garamond" w:cs="Garamond" w:eastAsia="Garamond" w:hAnsi="Garamond"/>
          <w:b/>
          <w:bCs/>
          <w:i w:val="false"/>
          <w:iCs w:val="false"/>
          <w:color w:val="1B2A4A"/>
          <w:sz w:val="22"/>
          <w:szCs w:val="22"/>
        </w:rPr>
        <w:t xml:space="preserve">Executive Non-Interference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jc w:val="left"/>
      </w:pPr>
      <w:r>
        <w:rPr>
          <w:rFonts w:ascii="Courier New" w:cs="Courier New" w:eastAsia="Courier New" w:hAnsi="Courier New"/>
          <w:b/>
          <w:bCs/>
          <w:color w:val="1B2A4A"/>
          <w:sz w:val="18"/>
          <w:szCs w:val="18"/>
        </w:rPr>
        <w:t xml:space="preserve">§10.4.b.ii  </w:t>
      </w:r>
      <w:r>
        <w:rPr>
          <w:rFonts w:ascii="Garamond" w:cs="Garamond" w:eastAsia="Garamond" w:hAnsi="Garamond"/>
          <w:b/>
          <w:bCs/>
          <w:i w:val="false"/>
          <w:iCs w:val="false"/>
          <w:color w:val="1B2A4A"/>
          <w:sz w:val="22"/>
          <w:szCs w:val="22"/>
        </w:rPr>
        <w:t xml:space="preserve">Acting MA Director</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MA Director position is vacant or the Director is incapacitated, the board of five members selects an Acting Director from among themselves by majority vote within 7 days of the vacancy or incapacity being established. The Acting Director holds all Director powers except the veto right under §10.4.f, which is suspended until a new Director is elected under §10.4.a. An Acting Director may not be nominated to stand as the permanent elected Director for the vacancy period they filled. The JI publishes the vacancy notice to the NRS within 48 hours, triggering the electoral process for a replacement Director under the timeline established by statute.</w:t>
      </w:r>
    </w:p>
    <w:p>
      <w:pPr>
        <w:spacing w:after="60" w:before="200"/>
        <w:ind w:left="431"/>
        <w:jc w:val="left"/>
      </w:pPr>
      <w:r>
        <w:rPr>
          <w:rFonts w:ascii="Courier New" w:cs="Courier New" w:eastAsia="Courier New" w:hAnsi="Courier New"/>
          <w:b/>
          <w:bCs/>
          <w:color w:val="1B2A4A"/>
          <w:sz w:val="18"/>
          <w:szCs w:val="18"/>
        </w:rPr>
        <w:t xml:space="preserve">§10.4.c  </w:t>
      </w:r>
      <w:r>
        <w:rPr>
          <w:rFonts w:ascii="Garamond" w:cs="Garamond" w:eastAsia="Garamond" w:hAnsi="Garamond"/>
          <w:b/>
          <w:bCs/>
          <w:i w:val="false"/>
          <w:iCs w:val="false"/>
          <w:color w:val="1B2A4A"/>
          <w:sz w:val="22"/>
          <w:szCs w:val="22"/>
        </w:rPr>
        <w:t xml:space="preserve">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MA determinations, rate decisions, board votes, dissents, and mandate analyses must be published to the NRS within 48 hours of the board meeting. Board Member dissents are published alongside the majority determination.</w:t>
      </w:r>
    </w:p>
    <w:p>
      <w:pPr>
        <w:spacing w:after="60" w:before="200"/>
        <w:ind w:left="431"/>
        <w:jc w:val="left"/>
      </w:pPr>
      <w:r>
        <w:rPr>
          <w:rFonts w:ascii="Courier New" w:cs="Courier New" w:eastAsia="Courier New" w:hAnsi="Courier New"/>
          <w:b/>
          <w:bCs/>
          <w:color w:val="1B2A4A"/>
          <w:sz w:val="18"/>
          <w:szCs w:val="18"/>
        </w:rPr>
        <w:t xml:space="preserve">§10.4.d  </w:t>
      </w:r>
      <w:r>
        <w:rPr>
          <w:rFonts w:ascii="Garamond" w:cs="Garamond" w:eastAsia="Garamond" w:hAnsi="Garamond"/>
          <w:b/>
          <w:bCs/>
          <w:i w:val="false"/>
          <w:iCs w:val="false"/>
          <w:color w:val="1B2A4A"/>
          <w:sz w:val="22"/>
          <w:szCs w:val="22"/>
        </w:rPr>
        <w:t xml:space="preserve">Methodology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 Violations of the notice requirement are a constitutional breach reportable by the EI. The MA's methodology must maintain comparability with its prior published series — changes that retroactively alter historical measurements are void without an explicit published historical restatement reconciling old and new series.</w:t>
      </w:r>
    </w:p>
    <w:p>
      <w:pPr>
        <w:spacing w:after="60" w:before="200"/>
        <w:ind w:left="431"/>
        <w:jc w:val="left"/>
      </w:pPr>
      <w:r>
        <w:rPr>
          <w:rFonts w:ascii="Courier New" w:cs="Courier New" w:eastAsia="Courier New" w:hAnsi="Courier New"/>
          <w:b/>
          <w:bCs/>
          <w:color w:val="1B2A4A"/>
          <w:sz w:val="18"/>
          <w:szCs w:val="18"/>
        </w:rPr>
        <w:t xml:space="preserve">§10.4.e  </w:t>
      </w:r>
      <w:r>
        <w:rPr>
          <w:rFonts w:ascii="Garamond" w:cs="Garamond" w:eastAsia="Garamond" w:hAnsi="Garamond"/>
          <w:b/>
          <w:bCs/>
          <w:i w:val="false"/>
          <w:iCs w:val="false"/>
          <w:color w:val="1B2A4A"/>
          <w:sz w:val="22"/>
          <w:szCs w:val="22"/>
        </w:rPr>
        <w:t xml:space="preserve">Uncertifiable Inherited Fiscal Position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431"/>
        <w:jc w:val="left"/>
      </w:pPr>
      <w:r>
        <w:rPr>
          <w:rFonts w:ascii="Courier New" w:cs="Courier New" w:eastAsia="Courier New" w:hAnsi="Courier New"/>
          <w:b/>
          <w:bCs/>
          <w:color w:val="1B2A4A"/>
          <w:sz w:val="18"/>
          <w:szCs w:val="18"/>
        </w:rPr>
        <w:t xml:space="preserve">§10.4.f  </w:t>
      </w:r>
      <w:r>
        <w:rPr>
          <w:rFonts w:ascii="Garamond" w:cs="Garamond" w:eastAsia="Garamond" w:hAnsi="Garamond"/>
          <w:b/>
          <w:bCs/>
          <w:i w:val="false"/>
          <w:iCs w:val="false"/>
          <w:color w:val="1B2A4A"/>
          <w:sz w:val="22"/>
          <w:szCs w:val="22"/>
        </w:rPr>
        <w:t xml:space="preserve">Director-Board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 Director chairs the board and holds veto authority over board decisions. The board of five members decides by majority vote; the Director does not hold a board vote. The Director may veto any board decision by publishing written grounds to the NRS within the period the Legislature defines by statute; a veto without published grounds is constitutionally void. The board may override a Director veto by 4-of-5 supermajority; the override and its grounds are published to the NRS. Where a board decision takes effect following a 4-of-5 override and the Director believes it violates the §10.4.b primary mandate hierarchy, the Director may refer the question to the EI; if the EI advises a potential mandate hierarchy violation exists, the Director may petition the SC for a mandate determination. Statutory timeframes for each step are defined by the Legislature and may not be set so short as to prevent effective deliberation.</w:t>
      </w:r>
    </w:p>
    <w:p>
      <w:pPr>
        <w:spacing w:after="60" w:before="200"/>
        <w:ind w:left="431"/>
        <w:jc w:val="left"/>
      </w:pPr>
      <w:r>
        <w:rPr>
          <w:rFonts w:ascii="Courier New" w:cs="Courier New" w:eastAsia="Courier New" w:hAnsi="Courier New"/>
          <w:b/>
          <w:bCs/>
          <w:color w:val="1B2A4A"/>
          <w:sz w:val="18"/>
          <w:szCs w:val="18"/>
        </w:rPr>
        <w:t xml:space="preserve">§10.4.g  </w:t>
      </w:r>
      <w:r>
        <w:rPr>
          <w:rFonts w:ascii="Garamond" w:cs="Garamond" w:eastAsia="Garamond" w:hAnsi="Garamond"/>
          <w:b/>
          <w:bCs/>
          <w:i w:val="false"/>
          <w:iCs w:val="false"/>
          <w:color w:val="1B2A4A"/>
          <w:sz w:val="22"/>
          <w:szCs w:val="22"/>
        </w:rPr>
        <w:t xml:space="preserve">MA Director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 Director may be removed for cause only. For-cause removal requires: a JI-documented finding transmitted to a State Designee Panel under §8.9.f; a Panel determination that stated grounds are substantiated; a 14-day SC appeal window from publication of the Panel finding; and a 2/3 vote of both chambers simultaneously. The Director is suspended from duties upon publication of a substantiated Panel finding, pending the legislative vote and any SC review. Any removal vote scheduled within 180 days of a major national election is automatically suspended pending SC review within 48 hours. Neither executive may remove the MA Director unilaterally.</w:t>
      </w:r>
    </w:p>
    <w:p>
      <w:pPr>
        <w:spacing w:after="60" w:before="200"/>
        <w:ind w:left="431"/>
        <w:jc w:val="left"/>
      </w:pPr>
      <w:r>
        <w:rPr>
          <w:rFonts w:ascii="Courier New" w:cs="Courier New" w:eastAsia="Courier New" w:hAnsi="Courier New"/>
          <w:b/>
          <w:bCs/>
          <w:color w:val="1B2A4A"/>
          <w:sz w:val="18"/>
          <w:szCs w:val="18"/>
        </w:rPr>
        <w:t xml:space="preserve">§10.5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are subject to the ethics obligations of this section from the moment they take office. These obligations run concurrently with and do not replace any statutory ethics requirements the Legislature may establish.</w:t>
      </w:r>
    </w:p>
    <w:p>
      <w:pPr>
        <w:spacing w:after="60" w:before="200"/>
        <w:ind w:left="431"/>
        <w:jc w:val="left"/>
      </w:pPr>
      <w:r>
        <w:rPr>
          <w:rFonts w:ascii="Courier New" w:cs="Courier New" w:eastAsia="Courier New" w:hAnsi="Courier New"/>
          <w:b/>
          <w:bCs/>
          <w:color w:val="1B2A4A"/>
          <w:sz w:val="18"/>
          <w:szCs w:val="18"/>
        </w:rPr>
        <w:t xml:space="preserve">§10.5.a  </w:t>
      </w:r>
      <w:r>
        <w:rPr>
          <w:rFonts w:ascii="Garamond" w:cs="Garamond" w:eastAsia="Garamond" w:hAnsi="Garamond"/>
          <w:b/>
          <w:bCs/>
          <w:i w:val="false"/>
          <w:iCs w:val="false"/>
          <w:color w:val="1B2A4A"/>
          <w:sz w:val="22"/>
          <w:szCs w:val="22"/>
        </w:rPr>
        <w:t xml:space="preserve">Personal Financial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elected and appointed constitutional officers must disclose all financial interests, holdings, income sources, and liabilities to the EI within 30 days of taking office and annually thereafter. Disclosure records are published to the NRS. The standard for all official benefits, allowances, and in-office provisions — housing, healthcare, retirement — is that of a senior career public servant in a non-political role, not an executive, elected official, or political appointee. The Legislature defines the comparator by statute; any definition that produces a standard materially higher than senior career public service is constitutionally void. Departure above this standard is permitted only where an official's constitutional responsibilities create a demonstrable operational need, certified by the EI, and only to the minimum extent that need requires.</w:t>
      </w:r>
    </w:p>
    <w:p>
      <w:pPr>
        <w:spacing w:after="60" w:before="200"/>
        <w:ind w:left="431"/>
        <w:jc w:val="left"/>
      </w:pPr>
      <w:r>
        <w:rPr>
          <w:rFonts w:ascii="Courier New" w:cs="Courier New" w:eastAsia="Courier New" w:hAnsi="Courier New"/>
          <w:b/>
          <w:bCs/>
          <w:color w:val="1B2A4A"/>
          <w:sz w:val="18"/>
          <w:szCs w:val="18"/>
        </w:rPr>
        <w:t xml:space="preserve">§10.5.b  </w:t>
      </w:r>
      <w:r>
        <w:rPr>
          <w:rFonts w:ascii="Garamond" w:cs="Garamond" w:eastAsia="Garamond" w:hAnsi="Garamond"/>
          <w:b/>
          <w:bCs/>
          <w:i w:val="false"/>
          <w:iCs w:val="false"/>
          <w:color w:val="1B2A4A"/>
          <w:sz w:val="22"/>
          <w:szCs w:val="22"/>
        </w:rPr>
        <w:t xml:space="preserve">Conflict of Interest Recusal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431"/>
        <w:jc w:val="left"/>
      </w:pPr>
      <w:r>
        <w:rPr>
          <w:rFonts w:ascii="Courier New" w:cs="Courier New" w:eastAsia="Courier New" w:hAnsi="Courier New"/>
          <w:b/>
          <w:bCs/>
          <w:color w:val="1B2A4A"/>
          <w:sz w:val="18"/>
          <w:szCs w:val="18"/>
        </w:rPr>
        <w:t xml:space="preserve">§10.5.c  </w:t>
      </w:r>
      <w:r>
        <w:rPr>
          <w:rFonts w:ascii="Garamond" w:cs="Garamond" w:eastAsia="Garamond" w:hAnsi="Garamond"/>
          <w:b/>
          <w:bCs/>
          <w:i w:val="false"/>
          <w:iCs w:val="false"/>
          <w:color w:val="1B2A4A"/>
          <w:sz w:val="22"/>
          <w:szCs w:val="22"/>
        </w:rPr>
        <w:t xml:space="preserve">Post-Service and Revolving Door Restrictions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Constitutional officers may not, for 5 years after leaving office, engage in any activity that monetizes, exploits, or draws on non-public information, relationships, or access accumulated during service. This covers lobbying, consulting, advisory roles, and employment in regulated industries directly affected by the officer's prior decisions — regardless of whether the officer characterizes the engagement as drawing on their prior role. The EI determines whether a post-service engagement falls within this restriction; the officer bears the burden of demonstrating it does not. Violations are a constitutional breach and the officer forfeits any compensation received during the restricted period to the public treasury.</w:t>
      </w:r>
    </w:p>
    <w:p>
      <w:pPr>
        <w:spacing w:after="60" w:before="200"/>
        <w:ind w:left="431"/>
        <w:jc w:val="left"/>
      </w:pPr>
      <w:r>
        <w:rPr>
          <w:rFonts w:ascii="Courier New" w:cs="Courier New" w:eastAsia="Courier New" w:hAnsi="Courier New"/>
          <w:b/>
          <w:bCs/>
          <w:color w:val="1B2A4A"/>
          <w:sz w:val="18"/>
          <w:szCs w:val="18"/>
        </w:rPr>
        <w:t xml:space="preserve">§10.5.d  </w:t>
      </w:r>
      <w:r>
        <w:rPr>
          <w:rFonts w:ascii="Garamond" w:cs="Garamond" w:eastAsia="Garamond" w:hAnsi="Garamond"/>
          <w:b/>
          <w:bCs/>
          <w:i w:val="false"/>
          <w:iCs w:val="false"/>
          <w:color w:val="1B2A4A"/>
          <w:sz w:val="22"/>
          <w:szCs w:val="22"/>
        </w:rPr>
        <w:t xml:space="preserve">Gift and Hospitality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431"/>
        <w:jc w:val="left"/>
      </w:pPr>
      <w:r>
        <w:rPr>
          <w:rFonts w:ascii="Courier New" w:cs="Courier New" w:eastAsia="Courier New" w:hAnsi="Courier New"/>
          <w:b/>
          <w:bCs/>
          <w:color w:val="1B2A4A"/>
          <w:sz w:val="18"/>
          <w:szCs w:val="18"/>
        </w:rPr>
        <w:t xml:space="preserve">§10.5.e  </w:t>
      </w:r>
      <w:r>
        <w:rPr>
          <w:rFonts w:ascii="Garamond" w:cs="Garamond" w:eastAsia="Garamond" w:hAnsi="Garamond"/>
          <w:b/>
          <w:bCs/>
          <w:i w:val="false"/>
          <w:iCs w:val="false"/>
          <w:color w:val="1B2A4A"/>
          <w:sz w:val="22"/>
          <w:szCs w:val="22"/>
        </w:rPr>
        <w:t xml:space="preserve">Official Records Belong to the Republic</w:t>
      </w:r>
    </w:p>
    <w:p>
      <w:pPr>
        <w:spacing w:after="120" w:before="0"/>
        <w:ind w:left="431"/>
        <w:jc w:val="both"/>
      </w:pPr>
      <w:r>
        <w:rPr>
          <w:rFonts w:ascii="Garamond" w:cs="Garamond" w:eastAsia="Garamond" w:hAnsi="Garamond"/>
          <w:b w:val="false"/>
          <w:bCs w:val="false"/>
          <w:i w:val="false"/>
          <w:iCs w:val="false"/>
          <w:color w:val="2a2520"/>
          <w:sz w:val="22"/>
          <w:szCs w:val="22"/>
        </w:rPr>
        <w:t xml:space="preserve">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431"/>
        <w:jc w:val="left"/>
      </w:pPr>
      <w:r>
        <w:rPr>
          <w:rFonts w:ascii="Courier New" w:cs="Courier New" w:eastAsia="Courier New" w:hAnsi="Courier New"/>
          <w:b/>
          <w:bCs/>
          <w:color w:val="1B2A4A"/>
          <w:sz w:val="18"/>
          <w:szCs w:val="18"/>
        </w:rPr>
        <w:t xml:space="preserve">§10.5.g  </w:t>
      </w:r>
      <w:r>
        <w:rPr>
          <w:rFonts w:ascii="Garamond" w:cs="Garamond" w:eastAsia="Garamond" w:hAnsi="Garamond"/>
          <w:b/>
          <w:bCs/>
          <w:i w:val="false"/>
          <w:iCs w:val="false"/>
          <w:color w:val="1B2A4A"/>
          <w:sz w:val="22"/>
          <w:szCs w:val="22"/>
        </w:rPr>
        <w:t xml:space="preserve">Official Intellectual Property</w:t>
      </w:r>
    </w:p>
    <w:p>
      <w:pPr>
        <w:spacing w:after="120" w:before="0"/>
        <w:ind w:left="431"/>
        <w:jc w:val="both"/>
      </w:pPr>
      <w:r>
        <w:rPr>
          <w:rFonts w:ascii="Garamond" w:cs="Garamond" w:eastAsia="Garamond" w:hAnsi="Garamond"/>
          <w:b w:val="false"/>
          <w:bCs w:val="false"/>
          <w:i w:val="false"/>
          <w:iCs w:val="false"/>
          <w:color w:val="2a2520"/>
          <w:sz w:val="22"/>
          <w:szCs w:val="22"/>
        </w:rPr>
        <w:t xml:space="preserve">Ideas, analyses, and work product created during official service belong to the Republic. An officer may not monetize work done in their official capacity for 5 years following service.</w:t>
      </w:r>
    </w:p>
    <w:p>
      <w:pPr>
        <w:spacing w:after="60" w:before="200"/>
        <w:ind w:left="431"/>
        <w:jc w:val="left"/>
      </w:pPr>
      <w:r>
        <w:rPr>
          <w:rFonts w:ascii="Courier New" w:cs="Courier New" w:eastAsia="Courier New" w:hAnsi="Courier New"/>
          <w:b/>
          <w:bCs/>
          <w:color w:val="1B2A4A"/>
          <w:sz w:val="18"/>
          <w:szCs w:val="18"/>
        </w:rPr>
        <w:t xml:space="preserve">§10.5.h  </w:t>
      </w:r>
      <w:r>
        <w:rPr>
          <w:rFonts w:ascii="Garamond" w:cs="Garamond" w:eastAsia="Garamond" w:hAnsi="Garamond"/>
          <w:b/>
          <w:bCs/>
          <w:i w:val="false"/>
          <w:iCs w:val="false"/>
          <w:color w:val="1B2A4A"/>
          <w:sz w:val="22"/>
          <w:szCs w:val="22"/>
        </w:rPr>
        <w:t xml:space="preserve">Ethics Enforcement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investigates alleged violations of the §10.5 ethics provisions upon written request from any constitutional officer, chamber of the Legislature, or Inspector General, or where the EI's own audit work identifies a potential violation. Investigation results and findings are published to the NRS. Where findings warrant further action, the EI refers to the appropriate authority: potential criminal violations are referred to prosecutorial authorities; violations warranting removal are referred to the Legislature under the applicable constitutional removal procedure; violations within an executive domain are referred to the responsible executive. The EI publishes facts and refers findings — it does not impose penalties directly.</w:t>
      </w:r>
    </w:p>
    <w:p>
      <w:pPr>
        <w:spacing w:after="60" w:before="200"/>
        <w:ind w:left="431"/>
        <w:jc w:val="left"/>
      </w:pPr>
      <w:r>
        <w:rPr>
          <w:rFonts w:ascii="Courier New" w:cs="Courier New" w:eastAsia="Courier New" w:hAnsi="Courier New"/>
          <w:b/>
          <w:bCs/>
          <w:color w:val="1B2A4A"/>
          <w:sz w:val="18"/>
          <w:szCs w:val="18"/>
        </w:rPr>
        <w:t xml:space="preserve">§10.6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§10.1.e during periods of Severe Revenue Contraction. It operates independently of the annual budget process. The Endowment's dual mandate is: (1) maintaining the solvency of the universal healthcare insurance system where contribution revenues are insufficient; and (2) supplementing social assistance appropriations that fall below the §10.1 dignity standard. Both mandates are activated simultaneously on MA certification of Severe Revenue Contraction.</w:t>
      </w:r>
    </w:p>
    <w:p>
      <w:pPr>
        <w:spacing w:after="60" w:before="200"/>
        <w:ind w:left="431"/>
        <w:jc w:val="left"/>
      </w:pPr>
      <w:r>
        <w:rPr>
          <w:rFonts w:ascii="Courier New" w:cs="Courier New" w:eastAsia="Courier New" w:hAnsi="Courier New"/>
          <w:b/>
          <w:bCs/>
          <w:color w:val="1B2A4A"/>
          <w:sz w:val="18"/>
          <w:szCs w:val="18"/>
        </w:rPr>
        <w:t xml:space="preserve">§10.6.a  </w:t>
      </w:r>
      <w:r>
        <w:rPr>
          <w:rFonts w:ascii="Garamond" w:cs="Garamond" w:eastAsia="Garamond" w:hAnsi="Garamond"/>
          <w:b/>
          <w:bCs/>
          <w:i w:val="false"/>
          <w:iCs w:val="false"/>
          <w:color w:val="1B2A4A"/>
          <w:sz w:val="22"/>
          <w:szCs w:val="22"/>
        </w:rPr>
        <w:t xml:space="preserve">National Endowment Trustee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governed by a board of five trustees selected by public lottery from a constitutionally maintained Trustee Pool. The President and PM each nominate one qualified person per year; each nominee must hold demonstrable expertise in investment management, public finance, or fiduciary governance as defined by statute. Pool entry and certification follow §8.13; no Senate confirmation is required for pool entry. No more than two certified Pool members may be nominees of the same executive at any time. The Pool must maintain a minimum of ten certified members; if it falls below ten, both executives must nominate within 30 days and the JI publishes a notice of pool deficiency. The board of five trustees is selected by JIC lottery under §8.13; the Senate confirms each selected trustee within 60 days; no deemed confirmation applies.</w:t>
      </w:r>
    </w:p>
    <w:p>
      <w:pPr>
        <w:spacing w:after="60" w:before="200"/>
        <w:ind w:left="431"/>
        <w:jc w:val="left"/>
      </w:pPr>
      <w:r>
        <w:rPr>
          <w:rFonts w:ascii="Courier New" w:cs="Courier New" w:eastAsia="Courier New" w:hAnsi="Courier New"/>
          <w:b/>
          <w:bCs/>
          <w:color w:val="1B2A4A"/>
          <w:sz w:val="18"/>
          <w:szCs w:val="18"/>
        </w:rPr>
        <w:t xml:space="preserve">§10.6.a.i  </w:t>
      </w:r>
      <w:r>
        <w:rPr>
          <w:rFonts w:ascii="Garamond" w:cs="Garamond" w:eastAsia="Garamond" w:hAnsi="Garamond"/>
          <w:b/>
          <w:bCs/>
          <w:i w:val="false"/>
          <w:iCs w:val="false"/>
          <w:color w:val="1B2A4A"/>
          <w:sz w:val="22"/>
          <w:szCs w:val="22"/>
        </w:rPr>
        <w:t xml:space="preserve">Trustee Draw and Terms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Endowment board has a vacancy, all three Inspectorates jointly conduct a public lottery draw from the confirmed Trustee Pool, excluding current serving trustees. The draw selects one trustee per vacancy. Trustees serve staggered 6-year non-renewable terms. A trustee drawn to fill a mid-term vacancy serves only the remainder of that term. The JI certifies each draw and publishes the result to the NRS within 24 hours. No trustee may be removed except for cause under the same grounds applicable to independent constitutional officers — the board's independence from political direction is constitutionally protected.</w:t>
      </w:r>
    </w:p>
    <w:p>
      <w:pPr>
        <w:spacing w:after="60" w:before="200"/>
        <w:ind w:left="431"/>
        <w:jc w:val="left"/>
      </w:pPr>
      <w:r>
        <w:rPr>
          <w:rFonts w:ascii="Courier New" w:cs="Courier New" w:eastAsia="Courier New" w:hAnsi="Courier New"/>
          <w:b/>
          <w:bCs/>
          <w:color w:val="1B2A4A"/>
          <w:sz w:val="18"/>
          <w:szCs w:val="18"/>
        </w:rPr>
        <w:t xml:space="preserve">§10.6.a.ii  </w:t>
      </w:r>
      <w:r>
        <w:rPr>
          <w:rFonts w:ascii="Garamond" w:cs="Garamond" w:eastAsia="Garamond" w:hAnsi="Garamond"/>
          <w:b/>
          <w:bCs/>
          <w:i w:val="false"/>
          <w:iCs w:val="false"/>
          <w:color w:val="1B2A4A"/>
          <w:sz w:val="22"/>
          <w:szCs w:val="22"/>
        </w:rPr>
        <w:t xml:space="preserve">Trustee Mandate and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board's sole mandate is to preserve and grow the Endowment fund for social state backstop purposes under §10.1.e. The board may not be directed to any other investment goal by either executive or the Legislature. All board decisions, investment mandates, and performance reports are published to the NRS quarterly. The EI audits the board annually for compliance with the sole-mandate requirement and publishes findings to the NRS. A trustee who acts outside the sole mandate has committed a constitutional breach.</w:t>
      </w:r>
    </w:p>
    <w:p>
      <w:pPr>
        <w:spacing w:after="60" w:before="200"/>
        <w:ind w:left="431"/>
        <w:jc w:val="left"/>
      </w:pPr>
      <w:r>
        <w:rPr>
          <w:rFonts w:ascii="Courier New" w:cs="Courier New" w:eastAsia="Courier New" w:hAnsi="Courier New"/>
          <w:b/>
          <w:bCs/>
          <w:color w:val="1B2A4A"/>
          <w:sz w:val="18"/>
          <w:szCs w:val="18"/>
        </w:rPr>
        <w:t xml:space="preserve">§10.6.b  </w:t>
      </w:r>
      <w:r>
        <w:rPr>
          <w:rFonts w:ascii="Garamond" w:cs="Garamond" w:eastAsia="Garamond" w:hAnsi="Garamond"/>
          <w:b/>
          <w:bCs/>
          <w:i w:val="false"/>
          <w:iCs w:val="false"/>
          <w:color w:val="1B2A4A"/>
          <w:sz w:val="22"/>
          <w:szCs w:val="22"/>
        </w:rPr>
        <w:t xml:space="preserve">National Endowment Activation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MA certifies a Severe Revenue Contraction, the Endowment is automatically activated under §10.1.e. The board must begin disbursements within 30 days: to the healthcare insurance system where its contribution revenues are insufficient to meet its obligations; and to social assistance where appropriations fall below the MA-certified dignity standard. The board may not withhold disbursements during a certified contraction. Disbursements continue until the MA certifies the contraction has ended and both social state systems are self-sufficient.</w:t>
      </w:r>
    </w:p>
    <w:p>
      <w:pPr>
        <w:spacing w:after="60" w:before="200"/>
        <w:ind w:left="431"/>
        <w:jc w:val="left"/>
      </w:pPr>
      <w:r>
        <w:rPr>
          <w:rFonts w:ascii="Courier New" w:cs="Courier New" w:eastAsia="Courier New" w:hAnsi="Courier New"/>
          <w:b/>
          <w:bCs/>
          <w:color w:val="1B2A4A"/>
          <w:sz w:val="18"/>
          <w:szCs w:val="18"/>
        </w:rPr>
        <w:t xml:space="preserve">§10.7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House statute and is public record on the NRS.</w:t>
      </w:r>
    </w:p>
    <w:p>
      <w:pPr>
        <w:spacing w:after="60" w:before="200"/>
        <w:jc w:val="left"/>
      </w:pPr>
      <w:r>
        <w:rPr>
          <w:rFonts w:ascii="Garamond" w:cs="Garamond" w:eastAsia="Garamond" w:hAnsi="Garamond"/>
          <w:b/>
          <w:bCs/>
          <w:i w:val="false"/>
          <w:iCs w:val="false"/>
          <w:color w:val="1B2A4A"/>
          <w:sz w:val="34"/>
          <w:szCs w:val="34"/>
        </w:rPr>
        <w:t xml:space="preserve">Article XI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by petition of 5% of eligible voters within 90 days of enactment. The LI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431"/>
        <w:jc w:val="left"/>
      </w:pPr>
      <w:r>
        <w:rPr>
          <w:rFonts w:ascii="Courier New" w:cs="Courier New" w:eastAsia="Courier New" w:hAnsi="Courier New"/>
          <w:b/>
          <w:bCs/>
          <w:color w:val="1B2A4A"/>
          <w:sz w:val="18"/>
          <w:szCs w:val="18"/>
        </w:rPr>
        <w:t xml:space="preserve">§11.1.a  </w:t>
      </w:r>
      <w:r>
        <w:rPr>
          <w:rFonts w:ascii="Garamond" w:cs="Garamond" w:eastAsia="Garamond" w:hAnsi="Garamond"/>
          <w:b/>
          <w:bCs/>
          <w:i w:val="false"/>
          <w:iCs w:val="false"/>
          <w:color w:val="1B2A4A"/>
          <w:sz w:val="22"/>
          <w:szCs w:val="22"/>
        </w:rPr>
        <w:t xml:space="preserve">Citizen Petition Right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5% petition must be collected within 90 days of the law's enactment. The EC verifies petition signatures for eligibility. If the threshold is met, the EC administers the referendum within 90 days of verification. Petitioners may withdraw the petition before the referendum is scheduled, but not after.</w:t>
      </w:r>
    </w:p>
    <w:p>
      <w:pPr>
        <w:spacing w:after="60" w:before="200"/>
        <w:ind w:left="431"/>
        <w:jc w:val="left"/>
      </w:pPr>
      <w:r>
        <w:rPr>
          <w:rFonts w:ascii="Courier New" w:cs="Courier New" w:eastAsia="Courier New" w:hAnsi="Courier New"/>
          <w:b/>
          <w:bCs/>
          <w:color w:val="1B2A4A"/>
          <w:sz w:val="18"/>
          <w:szCs w:val="18"/>
        </w:rPr>
        <w:t xml:space="preserve">§11.1.b  </w:t>
      </w:r>
      <w:r>
        <w:rPr>
          <w:rFonts w:ascii="Garamond" w:cs="Garamond" w:eastAsia="Garamond" w:hAnsi="Garamond"/>
          <w:b/>
          <w:bCs/>
          <w:i w:val="false"/>
          <w:iCs w:val="false"/>
          <w:color w:val="1B2A4A"/>
          <w:sz w:val="22"/>
          <w:szCs w:val="22"/>
        </w:rPr>
        <w:t xml:space="preserve">Eligibility Screen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Legislative Inspectorate determines whether a targeted law is eligible for referendum. Laws that solely or primarily expand an Article I right are ineligible; a law cannot be repealed by referendum if its primary effect is to broaden individual protections. Budget laws and laws implementing a constitutionally mandated obligation are also ineligible. The LI publishes its eligibility determination to the NRS within 14 days of petition submission. An ineligibility determination may be challenged in the Appellate Court within 7 days; the Court must rule within 21 days.</w:t>
      </w:r>
    </w:p>
    <w:p>
      <w:pPr>
        <w:spacing w:after="60" w:before="200"/>
        <w:ind w:left="431"/>
        <w:jc w:val="left"/>
      </w:pPr>
      <w:r>
        <w:rPr>
          <w:rFonts w:ascii="Courier New" w:cs="Courier New" w:eastAsia="Courier New" w:hAnsi="Courier New"/>
          <w:b/>
          <w:bCs/>
          <w:color w:val="1B2A4A"/>
          <w:sz w:val="18"/>
          <w:szCs w:val="18"/>
        </w:rPr>
        <w:t xml:space="preserve">§11.1.c  </w:t>
      </w:r>
      <w:r>
        <w:rPr>
          <w:rFonts w:ascii="Garamond" w:cs="Garamond" w:eastAsia="Garamond" w:hAnsi="Garamond"/>
          <w:b/>
          <w:bCs/>
          <w:i w:val="false"/>
          <w:iCs w:val="false"/>
          <w:color w:val="1B2A4A"/>
          <w:sz w:val="22"/>
          <w:szCs w:val="22"/>
        </w:rPr>
        <w:t xml:space="preserve">Referendum Thresholds and Finality</w:t>
      </w:r>
    </w:p>
    <w:p>
      <w:pPr>
        <w:spacing w:after="120" w:before="0"/>
        <w:ind w:left="431"/>
        <w:jc w:val="both"/>
      </w:pPr>
      <w:r>
        <w:rPr>
          <w:rFonts w:ascii="Garamond" w:cs="Garamond" w:eastAsia="Garamond" w:hAnsi="Garamond"/>
          <w:b w:val="false"/>
          <w:bCs w:val="false"/>
          <w:i w:val="false"/>
          <w:iCs w:val="false"/>
          <w:color w:val="2a2520"/>
          <w:sz w:val="22"/>
          <w:szCs w:val="22"/>
        </w:rPr>
        <w:t xml:space="preserve">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hold the right to propose legislation directly to the Legislature through the initiative mechanism. The initiative is distinct from the referendum — it creates new law rather than repealing enacted law.</w:t>
      </w:r>
    </w:p>
    <w:p>
      <w:pPr>
        <w:spacing w:after="60" w:before="200"/>
        <w:ind w:left="431"/>
        <w:jc w:val="left"/>
      </w:pPr>
      <w:r>
        <w:rPr>
          <w:rFonts w:ascii="Courier New" w:cs="Courier New" w:eastAsia="Courier New" w:hAnsi="Courier New"/>
          <w:b/>
          <w:bCs/>
          <w:color w:val="1B2A4A"/>
          <w:sz w:val="18"/>
          <w:szCs w:val="18"/>
        </w:rPr>
        <w:t xml:space="preserve">§11.2.a  </w:t>
      </w:r>
      <w:r>
        <w:rPr>
          <w:rFonts w:ascii="Garamond" w:cs="Garamond" w:eastAsia="Garamond" w:hAnsi="Garamond"/>
          <w:b/>
          <w:bCs/>
          <w:i w:val="false"/>
          <w:iCs w:val="false"/>
          <w:color w:val="1B2A4A"/>
          <w:sz w:val="22"/>
          <w:szCs w:val="22"/>
        </w:rPr>
        <w:t xml:space="preserve">Initiative Process and Thresholds</w:t>
      </w:r>
    </w:p>
    <w:p>
      <w:pPr>
        <w:spacing w:after="120" w:before="0"/>
        <w:ind w:left="431"/>
        <w:jc w:val="both"/>
      </w:pPr>
      <w:r>
        <w:rPr>
          <w:rFonts w:ascii="Garamond" w:cs="Garamond" w:eastAsia="Garamond" w:hAnsi="Garamond"/>
          <w:b w:val="false"/>
          <w:bCs w:val="false"/>
          <w:i w:val="false"/>
          <w:iCs w:val="false"/>
          <w:color w:val="2a2520"/>
          <w:sz w:val="22"/>
          <w:szCs w:val="22"/>
        </w:rPr>
        <w:t xml:space="preserve">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pPr>
        <w:spacing w:after="60" w:before="200"/>
        <w:jc w:val="left"/>
      </w:pPr>
      <w:r>
        <w:rPr>
          <w:rFonts w:ascii="Garamond" w:cs="Garamond" w:eastAsia="Garamond" w:hAnsi="Garamond"/>
          <w:b/>
          <w:bCs/>
          <w:i w:val="false"/>
          <w:iCs w:val="false"/>
          <w:color w:val="1B2A4A"/>
          <w:sz w:val="34"/>
          <w:szCs w:val="34"/>
        </w:rPr>
        <w:t xml:space="preserve">Article XII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Legislative Declaration of Defense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Emergency Defense Allocation is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431"/>
        <w:jc w:val="left"/>
      </w:pPr>
      <w:r>
        <w:rPr>
          <w:rFonts w:ascii="Courier New" w:cs="Courier New" w:eastAsia="Courier New" w:hAnsi="Courier New"/>
          <w:b/>
          <w:bCs/>
          <w:color w:val="1B2A4A"/>
          <w:sz w:val="18"/>
          <w:szCs w:val="18"/>
        </w:rPr>
        <w:t xml:space="preserve">§12.2.a  </w:t>
      </w:r>
      <w:r>
        <w:rPr>
          <w:rFonts w:ascii="Garamond" w:cs="Garamond" w:eastAsia="Garamond" w:hAnsi="Garamond"/>
          <w:b/>
          <w:bCs/>
          <w:i w:val="false"/>
          <w:iCs w:val="false"/>
          <w:color w:val="1B2A4A"/>
          <w:sz w:val="22"/>
          <w:szCs w:val="22"/>
        </w:rPr>
        <w:t xml:space="preserve">Defense Allocation Categories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431"/>
        <w:jc w:val="left"/>
      </w:pPr>
      <w:r>
        <w:rPr>
          <w:rFonts w:ascii="Courier New" w:cs="Courier New" w:eastAsia="Courier New" w:hAnsi="Courier New"/>
          <w:b/>
          <w:bCs/>
          <w:color w:val="1B2A4A"/>
          <w:sz w:val="18"/>
          <w:szCs w:val="18"/>
        </w:rPr>
        <w:t xml:space="preserve">§12.2.b  </w:t>
      </w:r>
      <w:r>
        <w:rPr>
          <w:rFonts w:ascii="Garamond" w:cs="Garamond" w:eastAsia="Garamond" w:hAnsi="Garamond"/>
          <w:b/>
          <w:bCs/>
          <w:i w:val="false"/>
          <w:iCs w:val="false"/>
          <w:color w:val="1B2A4A"/>
          <w:sz w:val="22"/>
          <w:szCs w:val="22"/>
        </w:rPr>
        <w:t xml:space="preserve">Emergency Defense Allocation Renewal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431"/>
        <w:jc w:val="left"/>
      </w:pPr>
      <w:r>
        <w:rPr>
          <w:rFonts w:ascii="Courier New" w:cs="Courier New" w:eastAsia="Courier New" w:hAnsi="Courier New"/>
          <w:b/>
          <w:bCs/>
          <w:color w:val="1B2A4A"/>
          <w:sz w:val="18"/>
          <w:szCs w:val="18"/>
        </w:rPr>
        <w:t xml:space="preserve">§12.2.c  </w:t>
      </w:r>
      <w:r>
        <w:rPr>
          <w:rFonts w:ascii="Garamond" w:cs="Garamond" w:eastAsia="Garamond" w:hAnsi="Garamond"/>
          <w:b/>
          <w:bCs/>
          <w:i w:val="false"/>
          <w:iCs w:val="false"/>
          <w:color w:val="1B2A4A"/>
          <w:sz w:val="22"/>
          <w:szCs w:val="22"/>
        </w:rPr>
        <w:t xml:space="preserve">Allocation Termination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 The EI monitors wind-down expenditure throughout the 30-day period. Where irregularities are identified, the EI reports directly and confidentially to the Senate Armed Services Committee without NRS publication; operational security during wind-down is preserved by this confidential channel. The full wind-down expenditure record is published to the NRS as part of the §12.2.e post-allocation accountability report after military operations are fully concluded — defined as the end of the 30-day wind-down period.</w:t>
      </w:r>
    </w:p>
    <w:p>
      <w:pPr>
        <w:spacing w:after="60" w:before="200"/>
        <w:ind w:left="431"/>
        <w:jc w:val="left"/>
      </w:pPr>
      <w:r>
        <w:rPr>
          <w:rFonts w:ascii="Courier New" w:cs="Courier New" w:eastAsia="Courier New" w:hAnsi="Courier New"/>
          <w:b/>
          <w:bCs/>
          <w:color w:val="1B2A4A"/>
          <w:sz w:val="18"/>
          <w:szCs w:val="18"/>
        </w:rPr>
        <w:t xml:space="preserve">§12.2.d  </w:t>
      </w:r>
      <w:r>
        <w:rPr>
          <w:rFonts w:ascii="Garamond" w:cs="Garamond" w:eastAsia="Garamond" w:hAnsi="Garamond"/>
          <w:b/>
          <w:bCs/>
          <w:i w:val="false"/>
          <w:iCs w:val="false"/>
          <w:color w:val="1B2A4A"/>
          <w:sz w:val="22"/>
          <w:szCs w:val="22"/>
        </w:rPr>
        <w:t xml:space="preserve">Oversight of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431"/>
        <w:jc w:val="left"/>
      </w:pPr>
      <w:r>
        <w:rPr>
          <w:rFonts w:ascii="Courier New" w:cs="Courier New" w:eastAsia="Courier New" w:hAnsi="Courier New"/>
          <w:b/>
          <w:bCs/>
          <w:color w:val="1B2A4A"/>
          <w:sz w:val="18"/>
          <w:szCs w:val="18"/>
        </w:rPr>
        <w:t xml:space="preserve">§12.2.e  </w:t>
      </w:r>
      <w:r>
        <w:rPr>
          <w:rFonts w:ascii="Garamond" w:cs="Garamond" w:eastAsia="Garamond" w:hAnsi="Garamond"/>
          <w:b/>
          <w:bCs/>
          <w:i w:val="false"/>
          <w:iCs w:val="false"/>
          <w:color w:val="1B2A4A"/>
          <w:sz w:val="22"/>
          <w:szCs w:val="22"/>
        </w:rPr>
        <w:t xml:space="preserve">Post-Allocation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Military Intelligence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use of intelligence capabilities in support of authorized military operations. The §1.30.d Intelligence Firewall applies at all times — no military operation authorizes domestic intelligence collection against citizens. Intelligence activities must be published to the NRS in classified summary form within 90 days of military operations being fully concluded as defined in §12.2.c.</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90 days of a Tier 3 Declaration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 If the Senate fails to approve a Plan within the required period, the LI certifies a constitutional compliance breach. The PM may provisionally authorize continued operations under the existing Declaration pending Senate action, as specified in §12.4.a.</w:t>
      </w:r>
    </w:p>
    <w:p>
      <w:pPr>
        <w:spacing w:after="60" w:before="200"/>
        <w:ind w:left="431"/>
        <w:jc w:val="left"/>
      </w:pPr>
      <w:r>
        <w:rPr>
          <w:rFonts w:ascii="Courier New" w:cs="Courier New" w:eastAsia="Courier New" w:hAnsi="Courier New"/>
          <w:b/>
          <w:bCs/>
          <w:color w:val="1B2A4A"/>
          <w:sz w:val="18"/>
          <w:szCs w:val="18"/>
        </w:rPr>
        <w:t xml:space="preserve">§12.4.a  </w:t>
      </w:r>
      <w:r>
        <w:rPr>
          <w:rFonts w:ascii="Garamond" w:cs="Garamond" w:eastAsia="Garamond" w:hAnsi="Garamond"/>
          <w:b/>
          <w:bCs/>
          <w:i w:val="false"/>
          <w:iCs w:val="false"/>
          <w:color w:val="1B2A4A"/>
          <w:sz w:val="22"/>
          <w:szCs w:val="22"/>
        </w:rPr>
        <w:t xml:space="preserve">Provisional PM Authorization — Transition Plan Failure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LI has certified a compliance breach under §12.4, the PM may provisionally authorize continued military operations under the existing Declaration using their fiscal certification authority under §2.1.d. Provisional authorization is granted in two extensions of 30 days each — 60 days total maximum. At each extension the PM must: notify the Senate Armed Services Committee in writing of the extension and its duration; certify to the LI and EI that operations remain within the scope of the existing Declaration and that no new commitments have been entered; and publish a notice of provisional authorization to the NRS. The LI and EI monitor compliance with these requirements and publish any breach findings immediately to the NRS. The PM's provisional authorization is a fiscal continuation of existing authority — it does not expand the scope of operations, authorize new commitments, or displace the President's operational command. Once the two 30-day extensions are exhausted, no further Declaration renewals are permitted until the Senate approves a Transition and Reconstruction Plan. The current Declaration continues to its natural expiry date and wind-down proceeds under §12.2.c. The Senate may approve a Plan at any point during the provisional authorization period and restore the standard renewal process immediately upon approval.</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emergency military action, the President may invoke Treaty Emergency Certification as an alternative to the standard Tier authorization process, subject to the requirements of §12.5.a and §12.5.b. Treaty Emergency Certification does not displace the Legislature's ultimate authority over sustained operations — it provides an expedited initial response pathway only.</w:t>
      </w:r>
    </w:p>
    <w:p>
      <w:pPr>
        <w:spacing w:after="60" w:before="200"/>
        <w:ind w:left="431"/>
        <w:jc w:val="left"/>
      </w:pPr>
      <w:r>
        <w:rPr>
          <w:rFonts w:ascii="Courier New" w:cs="Courier New" w:eastAsia="Courier New" w:hAnsi="Courier New"/>
          <w:b/>
          <w:bCs/>
          <w:color w:val="1B2A4A"/>
          <w:sz w:val="18"/>
          <w:szCs w:val="18"/>
        </w:rPr>
        <w:t xml:space="preserve">§12.5.a  </w:t>
      </w:r>
      <w:r>
        <w:rPr>
          <w:rFonts w:ascii="Garamond" w:cs="Garamond" w:eastAsia="Garamond" w:hAnsi="Garamond"/>
          <w:b/>
          <w:bCs/>
          <w:i w:val="false"/>
          <w:iCs w:val="false"/>
          <w:color w:val="1B2A4A"/>
          <w:sz w:val="22"/>
          <w:szCs w:val="22"/>
        </w:rPr>
        <w:t xml:space="preserve">Treaty Emergency Certification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431"/>
        <w:jc w:val="left"/>
      </w:pPr>
      <w:r>
        <w:rPr>
          <w:rFonts w:ascii="Courier New" w:cs="Courier New" w:eastAsia="Courier New" w:hAnsi="Courier New"/>
          <w:b/>
          <w:bCs/>
          <w:color w:val="1B2A4A"/>
          <w:sz w:val="18"/>
          <w:szCs w:val="18"/>
        </w:rPr>
        <w:t xml:space="preserve">§12.5.b  </w:t>
      </w:r>
      <w:r>
        <w:rPr>
          <w:rFonts w:ascii="Garamond" w:cs="Garamond" w:eastAsia="Garamond" w:hAnsi="Garamond"/>
          <w:b/>
          <w:bCs/>
          <w:i w:val="false"/>
          <w:iCs w:val="false"/>
          <w:color w:val="1B2A4A"/>
          <w:sz w:val="22"/>
          <w:szCs w:val="22"/>
        </w:rPr>
        <w:t xml:space="preserve">Treaty Emergency Procedures</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Emergency Certification activates the same 96-hour Senate Armed Services Committee review as Tier 2 authorization. The President must notify both chambers and the PM within 12 hours of invoking certification, specifying the treaty obligation triggered and the anticipated scope of operations. If the Senate Armed Services Committee does not authorize continued operations within 96 hours, operations must cease except for immediate defensive protection of Republic territory. Upon receiving the §12.5.b notification, the PM must within 6 hours either certify funding under §2.1.d or publish a formal objection to the NRS. If the PM does not respond within 6 hours, funding certification is deemed granted and the EI records the non-response as a constitutional lapse. If the PM formally objects, the matter is referred immediately to the SC for emergency resolution; operations may continue during SC review but no new commitments may be entered until the SC rules.</w:t>
      </w:r>
    </w:p>
    <w:p>
      <w:pPr>
        <w:spacing w:after="60" w:before="200"/>
        <w:ind w:left="431"/>
        <w:jc w:val="left"/>
      </w:pPr>
      <w:r>
        <w:rPr>
          <w:rFonts w:ascii="Courier New" w:cs="Courier New" w:eastAsia="Courier New" w:hAnsi="Courier New"/>
          <w:b/>
          <w:bCs/>
          <w:color w:val="1B2A4A"/>
          <w:sz w:val="18"/>
          <w:szCs w:val="18"/>
        </w:rPr>
        <w:t xml:space="preserve">§12.5.c  </w:t>
      </w:r>
      <w:r>
        <w:rPr>
          <w:rFonts w:ascii="Garamond" w:cs="Garamond" w:eastAsia="Garamond" w:hAnsi="Garamond"/>
          <w:b/>
          <w:bCs/>
          <w:i w:val="false"/>
          <w:iCs w:val="false"/>
          <w:color w:val="1B2A4A"/>
          <w:sz w:val="22"/>
          <w:szCs w:val="22"/>
        </w:rPr>
        <w:t xml:space="preserve">No Blank Check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 each sustained engagement requires parliamentary authorization regardless of what the treaty says.</w:t>
      </w:r>
    </w:p>
    <w:p>
      <w:pPr>
        <w:spacing w:after="60" w:before="200"/>
        <w:jc w:val="left"/>
      </w:pPr>
      <w:r>
        <w:rPr>
          <w:rFonts w:ascii="Garamond" w:cs="Garamond" w:eastAsia="Garamond" w:hAnsi="Garamond"/>
          <w:b/>
          <w:bCs/>
          <w:i w:val="false"/>
          <w:iCs w:val="false"/>
          <w:color w:val="1B2A4A"/>
          <w:sz w:val="34"/>
          <w:szCs w:val="34"/>
        </w:rPr>
        <w:t xml:space="preserve">Article XIII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foundational category for non-State jurisdictions within the Republic. A Territory operates under a Territorial Compact, has federal protections under Article I, accesses social state systems under §10.1, and may begin the Statehood pathway under §13.2. Territories hold House seats proportional to their population under §3.1.a and participate in the House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successfully completing the Statehood Audit and Provisional Membership Period. No political vote is required once the audit is passed — statehood is a constitutional entitlement for any Territory that meets the criteria, not a political grant. The audit has two components: the LI audits fiscal integrity — basic sustainability and absence of structural insolvency that would require federal bailout; and the JI audits legal compliance with every Article I right. Both must pass. A Territory that fails either component receives specific published findings and may resubmit after addressing the identified failures. The Legislature defines detailed audit methodology and resubmission timelines by statute.</w:t>
      </w:r>
    </w:p>
    <w:p>
      <w:pPr>
        <w:spacing w:after="60" w:before="200"/>
        <w:ind w:left="431"/>
        <w:jc w:val="left"/>
      </w:pPr>
      <w:r>
        <w:rPr>
          <w:rFonts w:ascii="Courier New" w:cs="Courier New" w:eastAsia="Courier New" w:hAnsi="Courier New"/>
          <w:b/>
          <w:bCs/>
          <w:color w:val="1B2A4A"/>
          <w:sz w:val="18"/>
          <w:szCs w:val="18"/>
        </w:rPr>
        <w:t xml:space="preserve">§13.2.c  </w:t>
      </w:r>
      <w:r>
        <w:rPr>
          <w:rFonts w:ascii="Garamond" w:cs="Garamond" w:eastAsia="Garamond" w:hAnsi="Garamond"/>
          <w:b/>
          <w:bCs/>
          <w:i w:val="false"/>
          <w:iCs w:val="false"/>
          <w:color w:val="1B2A4A"/>
          <w:sz w:val="22"/>
          <w:szCs w:val="22"/>
        </w:rPr>
        <w:t xml:space="preserve">The Provisional Membership Period</w:t>
      </w:r>
    </w:p>
    <w:p>
      <w:pPr>
        <w:spacing w:after="120" w:before="0"/>
        <w:ind w:left="431"/>
        <w:jc w:val="both"/>
      </w:pPr>
      <w:r>
        <w:rPr>
          <w:rFonts w:ascii="Garamond" w:cs="Garamond" w:eastAsia="Garamond" w:hAnsi="Garamond"/>
          <w:b w:val="false"/>
          <w:bCs w:val="false"/>
          <w:i w:val="false"/>
          <w:iCs w:val="false"/>
          <w:color w:val="2a2520"/>
          <w:sz w:val="22"/>
          <w:szCs w:val="22"/>
        </w:rPr>
        <w:t xml:space="preserve">Upon passing the Statehood Audit, the Territory enters a Provisional Membership Period of between one and three years, as the Legislature defines by statute. Clean completion results in automatic Statehood — no further action required.</w:t>
      </w:r>
    </w:p>
    <w:p>
      <w:pPr>
        <w:spacing w:after="60" w:before="200"/>
        <w:ind w:left="431"/>
        <w:jc w:val="left"/>
      </w:pPr>
      <w:r>
        <w:rPr>
          <w:rFonts w:ascii="Courier New" w:cs="Courier New" w:eastAsia="Courier New" w:hAnsi="Courier New"/>
          <w:b/>
          <w:bCs/>
          <w:color w:val="1B2A4A"/>
          <w:sz w:val="18"/>
          <w:szCs w:val="18"/>
        </w:rPr>
        <w:t xml:space="preserve">§13.2.d  </w:t>
      </w:r>
      <w:r>
        <w:rPr>
          <w:rFonts w:ascii="Garamond" w:cs="Garamond" w:eastAsia="Garamond" w:hAnsi="Garamond"/>
          <w:b/>
          <w:bCs/>
          <w:i w:val="false"/>
          <w:iCs w:val="false"/>
          <w:color w:val="1B2A4A"/>
          <w:sz w:val="22"/>
          <w:szCs w:val="22"/>
        </w:rPr>
        <w:t xml:space="preserve">Partial Territory Statehood</w:t>
      </w:r>
    </w:p>
    <w:p>
      <w:pPr>
        <w:spacing w:after="120" w:before="0"/>
        <w:ind w:left="431"/>
        <w:jc w:val="both"/>
      </w:pPr>
      <w:r>
        <w:rPr>
          <w:rFonts w:ascii="Garamond" w:cs="Garamond" w:eastAsia="Garamond" w:hAnsi="Garamond"/>
          <w:b w:val="false"/>
          <w:bCs w:val="false"/>
          <w:i w:val="false"/>
          <w:iCs w:val="false"/>
          <w:color w:val="2a2520"/>
          <w:sz w:val="22"/>
          <w:szCs w:val="22"/>
        </w:rPr>
        <w:t xml:space="preserve">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431"/>
        <w:jc w:val="left"/>
      </w:pPr>
      <w:r>
        <w:rPr>
          <w:rFonts w:ascii="Courier New" w:cs="Courier New" w:eastAsia="Courier New" w:hAnsi="Courier New"/>
          <w:b/>
          <w:bCs/>
          <w:color w:val="1B2A4A"/>
          <w:sz w:val="18"/>
          <w:szCs w:val="18"/>
        </w:rPr>
        <w:t xml:space="preserve">§13.2.e  </w:t>
      </w:r>
      <w:r>
        <w:rPr>
          <w:rFonts w:ascii="Garamond" w:cs="Garamond" w:eastAsia="Garamond" w:hAnsi="Garamond"/>
          <w:b/>
          <w:bCs/>
          <w:i w:val="false"/>
          <w:iCs w:val="false"/>
          <w:color w:val="1B2A4A"/>
          <w:sz w:val="22"/>
          <w:szCs w:val="22"/>
        </w:rPr>
        <w:t xml:space="preserve">Minimum Democratic Legitimacy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State must maintain three ongoing conditions: functioning electoral processes under Article XVI, basic rule of law and judicial function, and Article I rights compliance. Annual Statehood Audit verifies continued compliance. A State that fails receives Early Warning under §13.3 — it enters a remediation process, not automatic devolution.</w:t>
      </w:r>
    </w:p>
    <w:p>
      <w:pPr>
        <w:spacing w:after="60" w:before="200"/>
        <w:ind w:left="431"/>
        <w:jc w:val="left"/>
      </w:pPr>
      <w:r>
        <w:rPr>
          <w:rFonts w:ascii="Courier New" w:cs="Courier New" w:eastAsia="Courier New" w:hAnsi="Courier New"/>
          <w:b/>
          <w:bCs/>
          <w:color w:val="1B2A4A"/>
          <w:sz w:val="18"/>
          <w:szCs w:val="18"/>
        </w:rPr>
        <w:t xml:space="preserve">§13.2.f  </w:t>
      </w:r>
      <w:r>
        <w:rPr>
          <w:rFonts w:ascii="Garamond" w:cs="Garamond" w:eastAsia="Garamond" w:hAnsi="Garamond"/>
          <w:b/>
          <w:bCs/>
          <w:i w:val="false"/>
          <w:iCs w:val="false"/>
          <w:color w:val="1B2A4A"/>
          <w:sz w:val="22"/>
          <w:szCs w:val="22"/>
        </w:rPr>
        <w:t xml:space="preserve">Territorial Minimum Institutional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Territory must maintain: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431"/>
        <w:jc w:val="left"/>
      </w:pPr>
      <w:r>
        <w:rPr>
          <w:rFonts w:ascii="Courier New" w:cs="Courier New" w:eastAsia="Courier New" w:hAnsi="Courier New"/>
          <w:b/>
          <w:bCs/>
          <w:color w:val="1B2A4A"/>
          <w:sz w:val="18"/>
          <w:szCs w:val="18"/>
        </w:rPr>
        <w:t xml:space="preserve">§13.2.g  </w:t>
      </w:r>
      <w:r>
        <w:rPr>
          <w:rFonts w:ascii="Garamond" w:cs="Garamond" w:eastAsia="Garamond" w:hAnsi="Garamond"/>
          <w:b/>
          <w:bCs/>
          <w:i w:val="false"/>
          <w:iCs w:val="false"/>
          <w:color w:val="1B2A4A"/>
          <w:sz w:val="22"/>
          <w:szCs w:val="22"/>
        </w:rPr>
        <w:t xml:space="preserve">Conflict-Affected State Provisional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active conflict prevents completion of the annual Statehood Audit in a significant portion of a State's territory, the LI may — upon joint certification by all three Inspectorates — grant provisional audit status for that cycle, preserving the State's constitutional standing and social state protections under §10.1. Provisional status is unavailable where the Inspectorates jointly find that the State government materially contributed to the conditions producing conflict. The Legislature defines maximum provisional periods (not exceeding five years without fresh Inspectorate reassessment), monitoring requirements, and renewal conditions by statute.</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if it fails three consecutive annual Statehood Audits, certified by the LI and confirmed by both the EI and JI. After each failing audit, the LI publishes an Early Warning specifying compliance requirements; the State must publish a Remediation Plan within 60 days. After three consecutive failures, citizens vote in a State referendum on whether to proceed to devolution or accept a two-year federal remediation commission; either path is published to the NRS. A devolved State returns to Territory status under §13.1. The following consequences apply: sitting senators serve the remainder of their current elected terms — Senate seats are not vacated — but no new Senate elections may be held for the devolved State until Statehood is restored; existing House members complete their current terms; Article I rights and social state protections under §10.1 continue without interruption; and a federal tax exemption applies throughout the Territory period. State government elected officials continue their terms and govern under State law — the Domestic Affairs Council exercises oversight without replacing State government. Restoration to Statehood is automatic upon passing the Statehood Audit and completing the Provisional Membership Period — no additional vote required. The Legislature defines further conditions of the Territory period by statute; no consequences beyond those stated here may be imposed.</w:t>
      </w:r>
    </w:p>
    <w:p>
      <w:pPr>
        <w:spacing w:after="60" w:before="200"/>
        <w:ind w:left="431"/>
        <w:jc w:val="left"/>
      </w:pPr>
      <w:r>
        <w:rPr>
          <w:rFonts w:ascii="Courier New" w:cs="Courier New" w:eastAsia="Courier New" w:hAnsi="Courier New"/>
          <w:b/>
          <w:bCs/>
          <w:color w:val="1B2A4A"/>
          <w:sz w:val="18"/>
          <w:szCs w:val="18"/>
        </w:rPr>
        <w:t xml:space="preserve">§13.3.e  </w:t>
      </w:r>
      <w:r>
        <w:rPr>
          <w:rFonts w:ascii="Garamond" w:cs="Garamond" w:eastAsia="Garamond" w:hAnsi="Garamond"/>
          <w:b/>
          <w:bCs/>
          <w:i w:val="false"/>
          <w:iCs w:val="false"/>
          <w:color w:val="1B2A4A"/>
          <w:sz w:val="22"/>
          <w:szCs w:val="22"/>
        </w:rPr>
        <w:t xml:space="preserve">Constitutional Challenge to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30 days of devolution taking effect under §13.3, the affected State may petition the SC on the sole ground that the LI's published audit findings are factually insufficient to establish three consecutive failures under §13.3. The Court reviews only the factual basis of the audit findings — not the policy merits of devolution or the State's economic circumstances. The Court must rule within 14 days. Devolution is not stayed unless the Court orders it pending ruling.</w:t>
      </w:r>
    </w:p>
    <w:p>
      <w:pPr>
        <w:spacing w:after="60" w:before="200"/>
        <w:ind w:left="431"/>
        <w:jc w:val="left"/>
      </w:pPr>
      <w:r>
        <w:rPr>
          <w:rFonts w:ascii="Courier New" w:cs="Courier New" w:eastAsia="Courier New" w:hAnsi="Courier New"/>
          <w:b/>
          <w:bCs/>
          <w:color w:val="1B2A4A"/>
          <w:sz w:val="18"/>
          <w:szCs w:val="18"/>
        </w:rPr>
        <w:t xml:space="preserve">§13.4  </w:t>
      </w:r>
      <w:r>
        <w:rPr>
          <w:rFonts w:ascii="Garamond" w:cs="Garamond" w:eastAsia="Garamond" w:hAnsi="Garamond"/>
          <w:b/>
          <w:bCs/>
          <w:i w:val="false"/>
          <w:iCs w:val="false"/>
          <w:color w:val="1B2A4A"/>
          <w:sz w:val="22"/>
          <w:szCs w:val="22"/>
        </w:rPr>
        <w:t xml:space="preserve">Voluntary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a State referendum achieving 60% approval of eligible voters on the specific proposed restructuring (subdivision, merger, Territory status, or independence path); and Senate approval of a negotiated restructuring agreement by 2/3 majority of full seated membership. The restructuring agreement specifies asset and liability allocation, transition timeline, constitutional status of successor jurisdictions, continuing federal obligations, and the Republic's obligations to the departing territory during the transition period. The agreement is published to the NRS and is legally binding on both parties. Social state protections under §10.1 and Article I rights continue without interruption through the transition. A successor subdivision that becomes a Territory enters the Statehood pathway immediately. The Legislature defines transition planning requirements by statute.</w:t>
      </w:r>
    </w:p>
    <w:p>
      <w:pPr>
        <w:spacing w:after="60" w:before="200"/>
        <w:ind w:left="431"/>
        <w:jc w:val="left"/>
      </w:pPr>
      <w:r>
        <w:rPr>
          <w:rFonts w:ascii="Courier New" w:cs="Courier New" w:eastAsia="Courier New" w:hAnsi="Courier New"/>
          <w:b/>
          <w:bCs/>
          <w:color w:val="1B2A4A"/>
          <w:sz w:val="18"/>
          <w:szCs w:val="18"/>
        </w:rPr>
        <w:t xml:space="preserve">§13.5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§13.2 immediately upon the effective date of devolution. No additional political vote is required to begin the pathway. The Territory's re-qualification proceeds under the same Statehood Audit criteria that apply to any other Territory seeking Statehood.</w:t>
      </w:r>
    </w:p>
    <w:p>
      <w:pPr>
        <w:spacing w:after="60" w:before="200"/>
        <w:ind w:left="431"/>
        <w:jc w:val="left"/>
      </w:pPr>
      <w:r>
        <w:rPr>
          <w:rFonts w:ascii="Courier New" w:cs="Courier New" w:eastAsia="Courier New" w:hAnsi="Courier New"/>
          <w:b/>
          <w:bCs/>
          <w:color w:val="1B2A4A"/>
          <w:sz w:val="18"/>
          <w:szCs w:val="18"/>
        </w:rPr>
        <w:t xml:space="preserve">§13.6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or assembly by 2/3 majority, confirmed by a citizen referendum achieving simple majority on at least 50% participation; the JI's published assessment within 90 days of whether the entity systematically violates any unamendable Article I provision; and acceptance by the Legislature by 2/3 of both chambers. An accepted petition produces an incorporation agreement specifying a transition period not exceeding 48 months and the institutional adjustments required to meet §13.2.f. The incorporated entity immediately holds all Territory protections under §13.1. The Republic may not pressure any entity to initiate this process. An indigenous nation recognised under Article XIV must make a status election under §14.6 before this provision applies.</w:t>
      </w:r>
    </w:p>
    <w:p>
      <w:pPr>
        <w:spacing w:after="60" w:before="200"/>
        <w:ind w:left="431"/>
        <w:jc w:val="left"/>
      </w:pPr>
      <w:r>
        <w:rPr>
          <w:rFonts w:ascii="Courier New" w:cs="Courier New" w:eastAsia="Courier New" w:hAnsi="Courier New"/>
          <w:b/>
          <w:bCs/>
          <w:color w:val="1B2A4A"/>
          <w:sz w:val="18"/>
          <w:szCs w:val="18"/>
        </w:rPr>
        <w:t xml:space="preserve">§13.7  </w:t>
      </w:r>
      <w:r>
        <w:rPr>
          <w:rFonts w:ascii="Garamond" w:cs="Garamond" w:eastAsia="Garamond" w:hAnsi="Garamond"/>
          <w:b/>
          <w:bCs/>
          <w:i w:val="false"/>
          <w:iCs w:val="false"/>
          <w:color w:val="1B2A4A"/>
          <w:sz w:val="22"/>
          <w:szCs w:val="22"/>
        </w:rPr>
        <w:t xml:space="preserve">Territorial Merger with Existing State</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or a defined geographic portion of a Territory, may merge with a geographically contiguous existing State. Merger requires: a referendum of the merging Territory's eligible voters achieving 60% affirmative with at least 50% participation; approval by the existing State through its own constitutional process; a joint Statehood Audit of the combined entity by the LI and JI confirming the existing State's integrity is maintained; and Senate ratification by simple majority of full seated membership. On ratification, the Territory is incorporated into the State by operation of law; the State's existing Senate seats are unchanged; House seat allocation is recalculated at the next census; and residents of the merging territory become full State citizens. Where a partial Territory merges, the remaining Territory continues under §13.1. The Legislature defines petition procedures, viability assessments for remaining Territory portions, and merger timelines by statute.</w:t>
      </w:r>
    </w:p>
    <w:p>
      <w:pPr>
        <w:spacing w:after="60" w:before="200"/>
        <w:ind w:left="431"/>
        <w:jc w:val="left"/>
      </w:pPr>
      <w:r>
        <w:rPr>
          <w:rFonts w:ascii="Courier New" w:cs="Courier New" w:eastAsia="Courier New" w:hAnsi="Courier New"/>
          <w:b/>
          <w:bCs/>
          <w:color w:val="1B2A4A"/>
          <w:sz w:val="18"/>
          <w:szCs w:val="18"/>
        </w:rPr>
        <w:t xml:space="preserve">§13.8  </w:t>
      </w:r>
      <w:r>
        <w:rPr>
          <w:rFonts w:ascii="Garamond" w:cs="Garamond" w:eastAsia="Garamond" w:hAnsi="Garamond"/>
          <w:b/>
          <w:bCs/>
          <w:i w:val="false"/>
          <w:iCs w:val="false"/>
          <w:color w:val="1B2A4A"/>
          <w:sz w:val="22"/>
          <w:szCs w:val="22"/>
        </w:rPr>
        <w:t xml:space="preserve">State Immutability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Where a State seeks to subdivide, it must first voluntarily devolve to Territory status under §13.4 — each resulting Territory then pursues Statehood independently through §13.2 or §13.2.d. The same requirement applies to any partial subdivision: the separating portion must first become a Territory before it may seek independent Statehood. A State undergoing this process retains its constitutional status until devolution takes effect; the resulting Territories re-qualify from their current baseline without prejudice.</w:t>
      </w:r>
    </w:p>
    <w:p>
      <w:pPr>
        <w:spacing w:after="60" w:before="200"/>
        <w:ind w:left="431"/>
        <w:jc w:val="left"/>
      </w:pPr>
      <w:r>
        <w:rPr>
          <w:rFonts w:ascii="Courier New" w:cs="Courier New" w:eastAsia="Courier New" w:hAnsi="Courier New"/>
          <w:b/>
          <w:bCs/>
          <w:color w:val="1B2A4A"/>
          <w:sz w:val="18"/>
          <w:szCs w:val="18"/>
        </w:rPr>
        <w:t xml:space="preserve">§13.9  </w:t>
      </w:r>
      <w:r>
        <w:rPr>
          <w:rFonts w:ascii="Garamond" w:cs="Garamond" w:eastAsia="Garamond" w:hAnsi="Garamond"/>
          <w:b/>
          <w:bCs/>
          <w:i w:val="false"/>
          <w:iCs w:val="false"/>
          <w:color w:val="1B2A4A"/>
          <w:sz w:val="22"/>
          <w:szCs w:val="22"/>
        </w:rPr>
        <w:t xml:space="preserve">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territorial extent may only be reduced by the consent of the affected population. No State may leave the Republic through ordinary legislation, and no government may cede territory without meeting the threshold established in this section.</w:t>
      </w:r>
    </w:p>
    <w:p>
      <w:pPr>
        <w:spacing w:after="60" w:before="200"/>
        <w:ind w:left="431"/>
        <w:jc w:val="left"/>
      </w:pPr>
      <w:r>
        <w:rPr>
          <w:rFonts w:ascii="Courier New" w:cs="Courier New" w:eastAsia="Courier New" w:hAnsi="Courier New"/>
          <w:b/>
          <w:bCs/>
          <w:color w:val="1B2A4A"/>
          <w:sz w:val="18"/>
          <w:szCs w:val="18"/>
        </w:rPr>
        <w:t xml:space="preserve">§13.9.a  </w:t>
      </w:r>
      <w:r>
        <w:rPr>
          <w:rFonts w:ascii="Garamond" w:cs="Garamond" w:eastAsia="Garamond" w:hAnsi="Garamond"/>
          <w:b/>
          <w:bCs/>
          <w:i w:val="false"/>
          <w:iCs w:val="false"/>
          <w:color w:val="1B2A4A"/>
          <w:sz w:val="22"/>
          <w:szCs w:val="22"/>
        </w:rPr>
        <w:t xml:space="preserve">Amendment Requirement for Territorial Reduction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territorial extent may only be reduced by a Path B or Path C amendment (not Path A). Expansion of territory is governed by §13.1 through §13.8. No executive action may alter the Republic's territorial extent.</w:t>
      </w:r>
    </w:p>
    <w:p>
      <w:pPr>
        <w:spacing w:after="60" w:before="200"/>
        <w:ind w:left="431"/>
        <w:jc w:val="left"/>
      </w:pPr>
      <w:r>
        <w:rPr>
          <w:rFonts w:ascii="Courier New" w:cs="Courier New" w:eastAsia="Courier New" w:hAnsi="Courier New"/>
          <w:b/>
          <w:bCs/>
          <w:color w:val="1B2A4A"/>
          <w:sz w:val="18"/>
          <w:szCs w:val="18"/>
        </w:rPr>
        <w:t xml:space="preserve">§13.9.b  </w:t>
      </w:r>
      <w:r>
        <w:rPr>
          <w:rFonts w:ascii="Garamond" w:cs="Garamond" w:eastAsia="Garamond" w:hAnsi="Garamond"/>
          <w:b/>
          <w:bCs/>
          <w:i w:val="false"/>
          <w:iCs w:val="false"/>
          <w:color w:val="1B2A4A"/>
          <w:sz w:val="22"/>
          <w:szCs w:val="22"/>
        </w:rPr>
        <w:t xml:space="preserve">No Secession by Ordinary Legislation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not secede from the Republic by ordinary statute or by State referendum alone. Secession requires a constitutional amendment — Path B or C — meaning a national democratic majority must consent to the departure of any State.</w:t>
      </w:r>
    </w:p>
    <w:p>
      <w:pPr>
        <w:spacing w:after="60" w:before="200"/>
        <w:jc w:val="left"/>
      </w:pPr>
      <w:r>
        <w:rPr>
          <w:rFonts w:ascii="Garamond" w:cs="Garamond" w:eastAsia="Garamond" w:hAnsi="Garamond"/>
          <w:b/>
          <w:bCs/>
          <w:i w:val="false"/>
          <w:iCs w:val="false"/>
          <w:color w:val="1B2A4A"/>
          <w:sz w:val="34"/>
          <w:szCs w:val="34"/>
        </w:rPr>
        <w:t xml:space="preserve">Article XIV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PM's domestic affairs office, with JI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Indigenous Nations with compacts hold governance, judicial, and resource sovereignty within their territories, subject to the specific terms of this section.</w:t>
      </w:r>
    </w:p>
    <w:p>
      <w:pPr>
        <w:spacing w:after="60" w:before="200"/>
        <w:ind w:left="431"/>
        <w:jc w:val="left"/>
      </w:pPr>
      <w:r>
        <w:rPr>
          <w:rFonts w:ascii="Courier New" w:cs="Courier New" w:eastAsia="Courier New" w:hAnsi="Courier New"/>
          <w:b/>
          <w:bCs/>
          <w:color w:val="1B2A4A"/>
          <w:sz w:val="18"/>
          <w:szCs w:val="18"/>
        </w:rPr>
        <w:t xml:space="preserve">§14.3.a  </w:t>
      </w:r>
      <w:r>
        <w:rPr>
          <w:rFonts w:ascii="Garamond" w:cs="Garamond" w:eastAsia="Garamond" w:hAnsi="Garamond"/>
          <w:b/>
          <w:bCs/>
          <w:i w:val="false"/>
          <w:iCs w:val="false"/>
          <w:color w:val="1B2A4A"/>
          <w:sz w:val="22"/>
          <w:szCs w:val="22"/>
        </w:rPr>
        <w:t xml:space="preserve">Article I Rights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431"/>
        <w:jc w:val="left"/>
      </w:pPr>
      <w:r>
        <w:rPr>
          <w:rFonts w:ascii="Courier New" w:cs="Courier New" w:eastAsia="Courier New" w:hAnsi="Courier New"/>
          <w:b/>
          <w:bCs/>
          <w:color w:val="1B2A4A"/>
          <w:sz w:val="18"/>
          <w:szCs w:val="18"/>
        </w:rPr>
        <w:t xml:space="preserve">§14.3.b  </w:t>
      </w:r>
      <w:r>
        <w:rPr>
          <w:rFonts w:ascii="Garamond" w:cs="Garamond" w:eastAsia="Garamond" w:hAnsi="Garamond"/>
          <w:b/>
          <w:bCs/>
          <w:i w:val="false"/>
          <w:iCs w:val="false"/>
          <w:color w:val="1B2A4A"/>
          <w:sz w:val="22"/>
          <w:szCs w:val="22"/>
        </w:rPr>
        <w:t xml:space="preserve">Compact Judicial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431"/>
        <w:jc w:val="left"/>
      </w:pPr>
      <w:r>
        <w:rPr>
          <w:rFonts w:ascii="Courier New" w:cs="Courier New" w:eastAsia="Courier New" w:hAnsi="Courier New"/>
          <w:b/>
          <w:bCs/>
          <w:color w:val="1B2A4A"/>
          <w:sz w:val="18"/>
          <w:szCs w:val="18"/>
        </w:rPr>
        <w:t xml:space="preserve">§14.3.c  </w:t>
      </w:r>
      <w:r>
        <w:rPr>
          <w:rFonts w:ascii="Garamond" w:cs="Garamond" w:eastAsia="Garamond" w:hAnsi="Garamond"/>
          <w:b/>
          <w:bCs/>
          <w:i w:val="false"/>
          <w:iCs w:val="false"/>
          <w:color w:val="1B2A4A"/>
          <w:sz w:val="22"/>
          <w:szCs w:val="22"/>
        </w:rPr>
        <w:t xml:space="preserve">Land and Resource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431"/>
        <w:jc w:val="left"/>
      </w:pPr>
      <w:r>
        <w:rPr>
          <w:rFonts w:ascii="Courier New" w:cs="Courier New" w:eastAsia="Courier New" w:hAnsi="Courier New"/>
          <w:b/>
          <w:bCs/>
          <w:color w:val="1B2A4A"/>
          <w:sz w:val="18"/>
          <w:szCs w:val="18"/>
        </w:rPr>
        <w:t xml:space="preserve">§14.3.d  </w:t>
      </w:r>
      <w:r>
        <w:rPr>
          <w:rFonts w:ascii="Garamond" w:cs="Garamond" w:eastAsia="Garamond" w:hAnsi="Garamond"/>
          <w:b/>
          <w:bCs/>
          <w:i w:val="false"/>
          <w:iCs w:val="false"/>
          <w:color w:val="1B2A4A"/>
          <w:sz w:val="22"/>
          <w:szCs w:val="22"/>
        </w:rPr>
        <w:t xml:space="preserve">Compact Governance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431"/>
        <w:jc w:val="left"/>
      </w:pPr>
      <w:r>
        <w:rPr>
          <w:rFonts w:ascii="Courier New" w:cs="Courier New" w:eastAsia="Courier New" w:hAnsi="Courier New"/>
          <w:b/>
          <w:bCs/>
          <w:color w:val="1B2A4A"/>
          <w:sz w:val="18"/>
          <w:szCs w:val="18"/>
        </w:rPr>
        <w:t xml:space="preserve">§14.3.e  </w:t>
      </w:r>
      <w:r>
        <w:rPr>
          <w:rFonts w:ascii="Garamond" w:cs="Garamond" w:eastAsia="Garamond" w:hAnsi="Garamond"/>
          <w:b/>
          <w:bCs/>
          <w:i w:val="false"/>
          <w:iCs w:val="false"/>
          <w:color w:val="1B2A4A"/>
          <w:sz w:val="22"/>
          <w:szCs w:val="22"/>
        </w:rPr>
        <w:t xml:space="preserve">Compact Education and Language</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are living agreements administered through joint mechanisms. This section governs dispute resolution, review cycles, and the conditions under which a compact may be modified or terminated.</w:t>
      </w:r>
    </w:p>
    <w:p>
      <w:pPr>
        <w:spacing w:after="60" w:before="200"/>
        <w:ind w:left="431"/>
        <w:jc w:val="left"/>
      </w:pPr>
      <w:r>
        <w:rPr>
          <w:rFonts w:ascii="Courier New" w:cs="Courier New" w:eastAsia="Courier New" w:hAnsi="Courier New"/>
          <w:b/>
          <w:bCs/>
          <w:color w:val="1B2A4A"/>
          <w:sz w:val="18"/>
          <w:szCs w:val="18"/>
        </w:rPr>
        <w:t xml:space="preserve">§14.4.a  </w:t>
      </w:r>
      <w:r>
        <w:rPr>
          <w:rFonts w:ascii="Garamond" w:cs="Garamond" w:eastAsia="Garamond" w:hAnsi="Garamond"/>
          <w:b/>
          <w:bCs/>
          <w:i w:val="false"/>
          <w:iCs w:val="false"/>
          <w:color w:val="1B2A4A"/>
          <w:sz w:val="22"/>
          <w:szCs w:val="22"/>
        </w:rPr>
        <w:t xml:space="preserve">Compact Dispute Resolution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431"/>
        <w:jc w:val="left"/>
      </w:pPr>
      <w:r>
        <w:rPr>
          <w:rFonts w:ascii="Courier New" w:cs="Courier New" w:eastAsia="Courier New" w:hAnsi="Courier New"/>
          <w:b/>
          <w:bCs/>
          <w:color w:val="1B2A4A"/>
          <w:sz w:val="18"/>
          <w:szCs w:val="18"/>
        </w:rPr>
        <w:t xml:space="preserve">§14.4.b  </w:t>
      </w:r>
      <w:r>
        <w:rPr>
          <w:rFonts w:ascii="Garamond" w:cs="Garamond" w:eastAsia="Garamond" w:hAnsi="Garamond"/>
          <w:b/>
          <w:bCs/>
          <w:i w:val="false"/>
          <w:iCs w:val="false"/>
          <w:color w:val="1B2A4A"/>
          <w:sz w:val="22"/>
          <w:szCs w:val="22"/>
        </w:rPr>
        <w:t xml:space="preserve">Compact Review Cycle</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431"/>
        <w:jc w:val="left"/>
      </w:pPr>
      <w:r>
        <w:rPr>
          <w:rFonts w:ascii="Courier New" w:cs="Courier New" w:eastAsia="Courier New" w:hAnsi="Courier New"/>
          <w:b/>
          <w:bCs/>
          <w:color w:val="1B2A4A"/>
          <w:sz w:val="18"/>
          <w:szCs w:val="18"/>
        </w:rPr>
        <w:t xml:space="preserve">§14.4.c  </w:t>
      </w:r>
      <w:r>
        <w:rPr>
          <w:rFonts w:ascii="Garamond" w:cs="Garamond" w:eastAsia="Garamond" w:hAnsi="Garamond"/>
          <w:b/>
          <w:bCs/>
          <w:i w:val="false"/>
          <w:iCs w:val="false"/>
          <w:color w:val="1B2A4A"/>
          <w:sz w:val="22"/>
          <w:szCs w:val="22"/>
        </w:rPr>
        <w:t xml:space="preserve">Compact Termination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may be terminated by mutual agreement only. Neither party may unilaterally terminate a compact. If the Nation seeks termination, the Republic must negotiate exit terms within 2 years. If no agreement is reached, the compact continues and the dispute is referred to the SC. The Republic holds no right to initiate compact termination. Only the Nation may initiate; the Republic's role is to negotiate exit terms if the Nation so elects.</w:t>
      </w:r>
    </w:p>
    <w:p>
      <w:pPr>
        <w:spacing w:after="60" w:before="200"/>
        <w:ind w:left="431"/>
        <w:jc w:val="left"/>
      </w:pPr>
      <w:r>
        <w:rPr>
          <w:rFonts w:ascii="Courier New" w:cs="Courier New" w:eastAsia="Courier New" w:hAnsi="Courier New"/>
          <w:b/>
          <w:bCs/>
          <w:color w:val="1B2A4A"/>
          <w:sz w:val="18"/>
          <w:szCs w:val="18"/>
        </w:rPr>
        <w:t xml:space="preserve">§14.5  </w:t>
      </w:r>
      <w:r>
        <w:rPr>
          <w:rFonts w:ascii="Garamond" w:cs="Garamond" w:eastAsia="Garamond" w:hAnsi="Garamond"/>
          <w:b/>
          <w:bCs/>
          <w:i w:val="false"/>
          <w:iCs w:val="false"/>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Indigenous communities that do not currently hold a compact retain the right to petition for compact recognition under this section.</w:t>
      </w:r>
    </w:p>
    <w:p>
      <w:pPr>
        <w:spacing w:after="60" w:before="200"/>
        <w:ind w:left="431"/>
        <w:jc w:val="left"/>
      </w:pPr>
      <w:r>
        <w:rPr>
          <w:rFonts w:ascii="Courier New" w:cs="Courier New" w:eastAsia="Courier New" w:hAnsi="Courier New"/>
          <w:b/>
          <w:bCs/>
          <w:color w:val="1B2A4A"/>
          <w:sz w:val="18"/>
          <w:szCs w:val="18"/>
        </w:rPr>
        <w:t xml:space="preserve">§14.5.a  </w:t>
      </w:r>
      <w:r>
        <w:rPr>
          <w:rFonts w:ascii="Garamond" w:cs="Garamond" w:eastAsia="Garamond" w:hAnsi="Garamond"/>
          <w:b/>
          <w:bCs/>
          <w:i w:val="false"/>
          <w:iCs w:val="false"/>
          <w:color w:val="1B2A4A"/>
          <w:sz w:val="22"/>
          <w:szCs w:val="22"/>
        </w:rPr>
        <w:t xml:space="preserve">Emergency Rights Writ</w:t>
      </w:r>
    </w:p>
    <w:p>
      <w:pPr>
        <w:spacing w:after="120" w:before="0"/>
        <w:ind w:left="431"/>
        <w:jc w:val="both"/>
      </w:pPr>
      <w:r>
        <w:rPr>
          <w:rFonts w:ascii="Garamond" w:cs="Garamond" w:eastAsia="Garamond" w:hAnsi="Garamond"/>
          <w:b w:val="false"/>
          <w:bCs w:val="false"/>
          <w:i w:val="false"/>
          <w:iCs w:val="false"/>
          <w:color w:val="2a2520"/>
          <w:sz w:val="22"/>
          <w:szCs w:val="22"/>
        </w:rPr>
        <w:t xml:space="preserve">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431"/>
        <w:jc w:val="left"/>
      </w:pPr>
      <w:r>
        <w:rPr>
          <w:rFonts w:ascii="Courier New" w:cs="Courier New" w:eastAsia="Courier New" w:hAnsi="Courier New"/>
          <w:b/>
          <w:bCs/>
          <w:color w:val="1B2A4A"/>
          <w:sz w:val="18"/>
          <w:szCs w:val="18"/>
        </w:rPr>
        <w:t xml:space="preserve">§14.5.b  </w:t>
      </w:r>
      <w:r>
        <w:rPr>
          <w:rFonts w:ascii="Garamond" w:cs="Garamond" w:eastAsia="Garamond" w:hAnsi="Garamond"/>
          <w:b/>
          <w:bCs/>
          <w:i w:val="false"/>
          <w:iCs w:val="false"/>
          <w:color w:val="1B2A4A"/>
          <w:sz w:val="22"/>
          <w:szCs w:val="22"/>
        </w:rPr>
        <w:t xml:space="preserve">Federal Assistance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431"/>
        <w:jc w:val="left"/>
      </w:pPr>
      <w:r>
        <w:rPr>
          <w:rFonts w:ascii="Courier New" w:cs="Courier New" w:eastAsia="Courier New" w:hAnsi="Courier New"/>
          <w:b/>
          <w:bCs/>
          <w:color w:val="1B2A4A"/>
          <w:sz w:val="18"/>
          <w:szCs w:val="18"/>
        </w:rPr>
        <w:t xml:space="preserve">§14.5.c  </w:t>
      </w:r>
      <w:r>
        <w:rPr>
          <w:rFonts w:ascii="Garamond" w:cs="Garamond" w:eastAsia="Garamond" w:hAnsi="Garamond"/>
          <w:b/>
          <w:bCs/>
          <w:i w:val="false"/>
          <w:iCs w:val="false"/>
          <w:color w:val="1B2A4A"/>
          <w:sz w:val="22"/>
          <w:szCs w:val="22"/>
        </w:rPr>
        <w:t xml:space="preserve">New Indigenous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431"/>
        <w:jc w:val="left"/>
      </w:pPr>
      <w:r>
        <w:rPr>
          <w:rFonts w:ascii="Courier New" w:cs="Courier New" w:eastAsia="Courier New" w:hAnsi="Courier New"/>
          <w:b/>
          <w:bCs/>
          <w:color w:val="1B2A4A"/>
          <w:sz w:val="18"/>
          <w:szCs w:val="18"/>
        </w:rPr>
        <w:t xml:space="preserve">§14.5.d  </w:t>
      </w:r>
      <w:r>
        <w:rPr>
          <w:rFonts w:ascii="Garamond" w:cs="Garamond" w:eastAsia="Garamond" w:hAnsi="Garamond"/>
          <w:b/>
          <w:bCs/>
          <w:i w:val="false"/>
          <w:iCs w:val="false"/>
          <w:color w:val="1B2A4A"/>
          <w:sz w:val="22"/>
          <w:szCs w:val="22"/>
        </w:rPr>
        <w:t xml:space="preserve">Compact and 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§14.6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§14.2 and §14.4.</w:t>
      </w:r>
    </w:p>
    <w:p>
      <w:pPr>
        <w:spacing w:after="60" w:before="200"/>
        <w:ind w:left="431"/>
        <w:jc w:val="left"/>
      </w:pPr>
      <w:r>
        <w:rPr>
          <w:rFonts w:ascii="Courier New" w:cs="Courier New" w:eastAsia="Courier New" w:hAnsi="Courier New"/>
          <w:b/>
          <w:bCs/>
          <w:color w:val="1B2A4A"/>
          <w:sz w:val="18"/>
          <w:szCs w:val="18"/>
        </w:rPr>
        <w:t xml:space="preserve">§14.7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with an established compact under Article XIV holds the constitutional right to initiate a status transition through its own democratic or traditional governance process. Three status options are available: (a) Compact Status — continued Article XIV compact relationship (default; no election required to remain); (b) Territorial Integration — election to pursue territorial incorporation through §13.6, entering as a Territory with the standard §13.2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§14.7.a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§14.7 requires: (1) a decision by the nation's own governance process, meeting the standards the nation itself defines for major governance decisions; and (2) publication of the election to the NRS within 30 days of the governance decision. A status election under §14.7 is irrevocable — a Nation that elects Territorial Integration or Full Sovereign Independence may not subsequently return to Article XIV compact status. Once a Nation has transitioned to Territory or State status, any further changes to their relationship with the Republic follow the standard constitutional processes applicable to that status under Articles XIII and XIX. Once a Nation has elected Full Sovereign Independence, any subsequent relationship with the Republic — including Associated Community status under Article XX — is pursued as an independent sovereign under the applicable provisions of that Article; Associated Community status requires full independence first and cannot be elected directly from compact status. At ratification, the Republic must formally notify all recognized indigenous compact nations of their rights under §14.7.</w:t>
      </w:r>
    </w:p>
    <w:p>
      <w:pPr>
        <w:spacing w:after="60" w:before="200"/>
        <w:jc w:val="left"/>
      </w:pPr>
      <w:r>
        <w:rPr>
          <w:rFonts w:ascii="Garamond" w:cs="Garamond" w:eastAsia="Garamond" w:hAnsi="Garamond"/>
          <w:b/>
          <w:bCs/>
          <w:i w:val="false"/>
          <w:iCs w:val="false"/>
          <w:color w:val="1B2A4A"/>
          <w:sz w:val="34"/>
          <w:szCs w:val="34"/>
        </w:rPr>
        <w:t xml:space="preserve">Article XV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Three 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431"/>
        <w:jc w:val="left"/>
      </w:pPr>
      <w:r>
        <w:rPr>
          <w:rFonts w:ascii="Courier New" w:cs="Courier New" w:eastAsia="Courier New" w:hAnsi="Courier New"/>
          <w:b/>
          <w:bCs/>
          <w:color w:val="1B2A4A"/>
          <w:sz w:val="18"/>
          <w:szCs w:val="18"/>
        </w:rPr>
        <w:t xml:space="preserve">§15.1.a  </w:t>
      </w:r>
      <w:r>
        <w:rPr>
          <w:rFonts w:ascii="Garamond" w:cs="Garamond" w:eastAsia="Garamond" w:hAnsi="Garamond"/>
          <w:b/>
          <w:bCs/>
          <w:i w:val="false"/>
          <w:iCs w:val="false"/>
          <w:color w:val="1B2A4A"/>
          <w:sz w:val="22"/>
          <w:szCs w:val="22"/>
        </w:rPr>
        <w:t xml:space="preserve">Parliamentary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431"/>
        <w:jc w:val="left"/>
      </w:pPr>
      <w:r>
        <w:rPr>
          <w:rFonts w:ascii="Courier New" w:cs="Courier New" w:eastAsia="Courier New" w:hAnsi="Courier New"/>
          <w:b/>
          <w:bCs/>
          <w:color w:val="1B2A4A"/>
          <w:sz w:val="18"/>
          <w:szCs w:val="18"/>
        </w:rPr>
        <w:t xml:space="preserve">§15.1.b  </w:t>
      </w:r>
      <w:r>
        <w:rPr>
          <w:rFonts w:ascii="Garamond" w:cs="Garamond" w:eastAsia="Garamond" w:hAnsi="Garamond"/>
          <w:b/>
          <w:bCs/>
          <w:i w:val="false"/>
          <w:iCs w:val="false"/>
          <w:color w:val="1B2A4A"/>
          <w:sz w:val="22"/>
          <w:szCs w:val="22"/>
        </w:rPr>
        <w:t xml:space="preserve">Parliamentary and Popular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431"/>
        <w:jc w:val="left"/>
      </w:pPr>
      <w:r>
        <w:rPr>
          <w:rFonts w:ascii="Courier New" w:cs="Courier New" w:eastAsia="Courier New" w:hAnsi="Courier New"/>
          <w:b/>
          <w:bCs/>
          <w:color w:val="1B2A4A"/>
          <w:sz w:val="18"/>
          <w:szCs w:val="18"/>
        </w:rPr>
        <w:t xml:space="preserve">§15.1.c  </w:t>
      </w:r>
      <w:r>
        <w:rPr>
          <w:rFonts w:ascii="Garamond" w:cs="Garamond" w:eastAsia="Garamond" w:hAnsi="Garamond"/>
          <w:b/>
          <w:bCs/>
          <w:i w:val="false"/>
          <w:iCs w:val="false"/>
          <w:color w:val="1B2A4A"/>
          <w:sz w:val="22"/>
          <w:szCs w:val="22"/>
        </w:rPr>
        <w:t xml:space="preserve">Citizen-Led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No Executive Veto Over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431"/>
        <w:jc w:val="left"/>
      </w:pPr>
      <w:r>
        <w:rPr>
          <w:rFonts w:ascii="Courier New" w:cs="Courier New" w:eastAsia="Courier New" w:hAnsi="Courier New"/>
          <w:b/>
          <w:bCs/>
          <w:color w:val="1B2A4A"/>
          <w:sz w:val="18"/>
          <w:szCs w:val="18"/>
        </w:rPr>
        <w:t xml:space="preserve">§15.2.a  </w:t>
      </w:r>
      <w:r>
        <w:rPr>
          <w:rFonts w:ascii="Garamond" w:cs="Garamond" w:eastAsia="Garamond" w:hAnsi="Garamond"/>
          <w:b/>
          <w:bCs/>
          <w:i w:val="false"/>
          <w:iCs w:val="false"/>
          <w:color w:val="1B2A4A"/>
          <w:sz w:val="22"/>
          <w:szCs w:val="22"/>
        </w:rPr>
        <w:t xml:space="preserve">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takes effect immediately upon LI certification (Paths A and B) or EC certification (Path C) and NRS publication. No implementation delay, no commencement date, no executive discretion over timing.</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Unamendable Provisions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Six provisions of this constitution may not be amended by any pathway — not by legislative supermajority, popular ratification, or any combination of both. These provisions define the minimum conditions for constitutional legitimacy itself.</w:t>
      </w:r>
    </w:p>
    <w:p>
      <w:pPr>
        <w:spacing w:after="60" w:before="200"/>
        <w:ind w:left="431"/>
        <w:jc w:val="left"/>
      </w:pPr>
      <w:r>
        <w:rPr>
          <w:rFonts w:ascii="Courier New" w:cs="Courier New" w:eastAsia="Courier New" w:hAnsi="Courier New"/>
          <w:b/>
          <w:bCs/>
          <w:color w:val="1B2A4A"/>
          <w:sz w:val="18"/>
          <w:szCs w:val="18"/>
        </w:rPr>
        <w:t xml:space="preserve">§15.3.a  </w:t>
      </w:r>
      <w:r>
        <w:rPr>
          <w:rFonts w:ascii="Garamond" w:cs="Garamond" w:eastAsia="Garamond" w:hAnsi="Garamond"/>
          <w:b/>
          <w:bCs/>
          <w:i w:val="false"/>
          <w:iCs w:val="false"/>
          <w:color w:val="1B2A4A"/>
          <w:sz w:val="22"/>
          <w:szCs w:val="22"/>
        </w:rPr>
        <w:t xml:space="preserve">Permanently Unamendable Provisions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Six provisions that cannot be amended by any process: §1.3 (torture prohibition), §1.4 (slavery and forced labor), §1.14 (habeas corpus), §1.18 (public trial), §1.19 (no retroactive criminal laws), §1.28 (non-refoulement). Article I as a whole can only expand — no amendment may reduce any Article I right below its current floor.</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Amendment Consistency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431"/>
        <w:jc w:val="left"/>
      </w:pPr>
      <w:r>
        <w:rPr>
          <w:rFonts w:ascii="Courier New" w:cs="Courier New" w:eastAsia="Courier New" w:hAnsi="Courier New"/>
          <w:b/>
          <w:bCs/>
          <w:color w:val="1B2A4A"/>
          <w:sz w:val="18"/>
          <w:szCs w:val="18"/>
        </w:rPr>
        <w:t xml:space="preserve">§15.5.a  </w:t>
      </w:r>
      <w:r>
        <w:rPr>
          <w:rFonts w:ascii="Garamond" w:cs="Garamond" w:eastAsia="Garamond" w:hAnsi="Garamond"/>
          <w:b/>
          <w:bCs/>
          <w:i w:val="false"/>
          <w:iCs w:val="false"/>
          <w:color w:val="1B2A4A"/>
          <w:sz w:val="22"/>
          <w:szCs w:val="22"/>
        </w:rPr>
        <w:t xml:space="preserve">LI Consistency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431"/>
        <w:jc w:val="left"/>
      </w:pPr>
      <w:r>
        <w:rPr>
          <w:rFonts w:ascii="Courier New" w:cs="Courier New" w:eastAsia="Courier New" w:hAnsi="Courier New"/>
          <w:b/>
          <w:bCs/>
          <w:color w:val="1B2A4A"/>
          <w:sz w:val="18"/>
          <w:szCs w:val="18"/>
        </w:rPr>
        <w:t xml:space="preserve">§15.5.b  </w:t>
      </w:r>
      <w:r>
        <w:rPr>
          <w:rFonts w:ascii="Garamond" w:cs="Garamond" w:eastAsia="Garamond" w:hAnsi="Garamond"/>
          <w:b/>
          <w:bCs/>
          <w:i w:val="false"/>
          <w:iCs w:val="false"/>
          <w:color w:val="1B2A4A"/>
          <w:sz w:val="22"/>
          <w:szCs w:val="22"/>
        </w:rPr>
        <w:t xml:space="preserve">SC Consistency Adjudication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431"/>
        <w:jc w:val="left"/>
      </w:pPr>
      <w:r>
        <w:rPr>
          <w:rFonts w:ascii="Courier New" w:cs="Courier New" w:eastAsia="Courier New" w:hAnsi="Courier New"/>
          <w:b/>
          <w:bCs/>
          <w:color w:val="1B2A4A"/>
          <w:sz w:val="18"/>
          <w:szCs w:val="18"/>
        </w:rPr>
        <w:t xml:space="preserve">§15.5.c  </w:t>
      </w:r>
      <w:r>
        <w:rPr>
          <w:rFonts w:ascii="Garamond" w:cs="Garamond" w:eastAsia="Garamond" w:hAnsi="Garamond"/>
          <w:b/>
          <w:bCs/>
          <w:i w:val="false"/>
          <w:iCs w:val="false"/>
          <w:color w:val="1B2A4A"/>
          <w:sz w:val="22"/>
          <w:szCs w:val="22"/>
        </w:rPr>
        <w:t xml:space="preserve">Retroactive Effect of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431"/>
        <w:jc w:val="left"/>
      </w:pPr>
      <w:r>
        <w:rPr>
          <w:rFonts w:ascii="Courier New" w:cs="Courier New" w:eastAsia="Courier New" w:hAnsi="Courier New"/>
          <w:b/>
          <w:bCs/>
          <w:color w:val="1B2A4A"/>
          <w:sz w:val="18"/>
          <w:szCs w:val="18"/>
        </w:rPr>
        <w:t xml:space="preserve">§15.5.d  </w:t>
      </w:r>
      <w:r>
        <w:rPr>
          <w:rFonts w:ascii="Garamond" w:cs="Garamond" w:eastAsia="Garamond" w:hAnsi="Garamond"/>
          <w:b/>
          <w:bCs/>
          <w:i w:val="false"/>
          <w:iCs w:val="false"/>
          <w:color w:val="1B2A4A"/>
          <w:sz w:val="22"/>
          <w:szCs w:val="22"/>
        </w:rPr>
        <w:t xml:space="preserve">Simultaneous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431"/>
        <w:jc w:val="left"/>
      </w:pPr>
      <w:r>
        <w:rPr>
          <w:rFonts w:ascii="Courier New" w:cs="Courier New" w:eastAsia="Courier New" w:hAnsi="Courier New"/>
          <w:b/>
          <w:bCs/>
          <w:color w:val="1B2A4A"/>
          <w:sz w:val="18"/>
          <w:szCs w:val="18"/>
        </w:rPr>
        <w:t xml:space="preserve">§15.5.e  </w:t>
      </w:r>
      <w:r>
        <w:rPr>
          <w:rFonts w:ascii="Garamond" w:cs="Garamond" w:eastAsia="Garamond" w:hAnsi="Garamond"/>
          <w:b/>
          <w:bCs/>
          <w:i w:val="false"/>
          <w:iCs w:val="false"/>
          <w:color w:val="1B2A4A"/>
          <w:sz w:val="22"/>
          <w:szCs w:val="22"/>
        </w:rPr>
        <w:t xml:space="preserve">Withdrawn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 — The Electoral Commission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Digital Infrastructure Commission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Digital Infrastructure Commission is a constitutionally independent body responsible for the operation of the National Record System and the National Voting System. It is governed by an elected Director and two panels of three administrators each — the NRS Panel and the Elections Panel. The Commission is independent of both executives and the Legislature in the exercise of its administrative and certification functions. References in this Constitution to the "Elections Panel of the Digital Infrastructure Commission" and to "the EC" refer to the Elections Panel of the Digital Infrastructure Commission .</w:t>
      </w:r>
    </w:p>
    <w:p>
      <w:pPr>
        <w:spacing w:after="60" w:before="200"/>
        <w:ind w:left="431"/>
        <w:jc w:val="left"/>
      </w:pPr>
      <w:r>
        <w:rPr>
          <w:rFonts w:ascii="Courier New" w:cs="Courier New" w:eastAsia="Courier New" w:hAnsi="Courier New"/>
          <w:b/>
          <w:bCs/>
          <w:color w:val="1B2A4A"/>
          <w:sz w:val="18"/>
          <w:szCs w:val="18"/>
        </w:rPr>
        <w:t xml:space="preserve">§16.1.a  </w:t>
      </w:r>
      <w:r>
        <w:rPr>
          <w:rFonts w:ascii="Garamond" w:cs="Garamond" w:eastAsia="Garamond" w:hAnsi="Garamond"/>
          <w:b/>
          <w:bCs/>
          <w:i w:val="false"/>
          <w:iCs w:val="false"/>
          <w:color w:val="1B2A4A"/>
          <w:sz w:val="22"/>
          <w:szCs w:val="22"/>
        </w:rPr>
        <w:t xml:space="preserve">Director — Election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Director is elected by national ranked-choice vote on National Election Day to a single non-renewable 8-year term, staggered from the administrator appointment cycles. The Director chairs the Commission and holds one vote on all Commission decisions. No person may serve more than one term as Director. The Director may not hold concurrent service on either panel. No person who has held elected office or party membership within ten years of their election may stand as Director. Campaigns for the Director position are publicly funded in full — no private money may be spent on Director campaigns.</w:t>
      </w:r>
    </w:p>
    <w:p>
      <w:pPr>
        <w:spacing w:after="60" w:before="200"/>
        <w:ind w:left="431"/>
        <w:jc w:val="left"/>
      </w:pPr>
      <w:r>
        <w:rPr>
          <w:rFonts w:ascii="Courier New" w:cs="Courier New" w:eastAsia="Courier New" w:hAnsi="Courier New"/>
          <w:b/>
          <w:bCs/>
          <w:color w:val="1B2A4A"/>
          <w:sz w:val="18"/>
          <w:szCs w:val="18"/>
        </w:rPr>
        <w:t xml:space="preserve">§16.1.b  </w:t>
      </w:r>
      <w:r>
        <w:rPr>
          <w:rFonts w:ascii="Garamond" w:cs="Garamond" w:eastAsia="Garamond" w:hAnsi="Garamond"/>
          <w:b/>
          <w:bCs/>
          <w:i w:val="false"/>
          <w:iCs w:val="false"/>
          <w:color w:val="1B2A4A"/>
          <w:sz w:val="22"/>
          <w:szCs w:val="22"/>
        </w:rPr>
        <w:t xml:space="preserve">Panel Composition and Terms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NRS Panel consists of three administrators responsible for the operation of the National Record System. The Elections Panel consists of three administrators responsible for the operation of the National Voting System and the administration of all federal elections and referenda. Administrators serve staggered non-renewable 6-year terms. Within each panel, terms are staggered so that no more than one seat per panel turns over in any two-year window. All administrators are appointed through the pool process under §16.1.c.</w:t>
      </w:r>
    </w:p>
    <w:p>
      <w:pPr>
        <w:spacing w:after="60" w:before="200"/>
        <w:ind w:left="431"/>
        <w:jc w:val="left"/>
      </w:pPr>
      <w:r>
        <w:rPr>
          <w:rFonts w:ascii="Courier New" w:cs="Courier New" w:eastAsia="Courier New" w:hAnsi="Courier New"/>
          <w:b/>
          <w:bCs/>
          <w:color w:val="1B2A4A"/>
          <w:sz w:val="18"/>
          <w:szCs w:val="18"/>
        </w:rPr>
        <w:t xml:space="preserve">§16.1.c  </w:t>
      </w:r>
      <w:r>
        <w:rPr>
          <w:rFonts w:ascii="Garamond" w:cs="Garamond" w:eastAsia="Garamond" w:hAnsi="Garamond"/>
          <w:b/>
          <w:bCs/>
          <w:i w:val="false"/>
          <w:iCs w:val="false"/>
          <w:color w:val="1B2A4A"/>
          <w:sz w:val="22"/>
          <w:szCs w:val="22"/>
        </w:rPr>
        <w:t xml:space="preserve">Digital Infrastructure Pool and Appointment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maintains their own pool of nominees for panel appointments; pool entry and certification follow §8.13. When a panel vacancy arises, each executive selects one JI-certified nominee from their respective pool for that panel's qualification track and transmits the name to the Director. The Director selects one of the two nominees and transmits that selection to the Senate. The Senate confirms within 60 days; failure to vote is a constitutional compliance breach certified by the LI; no deemed confirmation applies. Where the Director finds neither nominee acceptable, the Director publishes reasons to the NRS and requests new nominations from both executives within 30 days. After two replacement requests from the same executive for the same vacancy, the Director must select from nominees then available. DIC panel vacancies must be filled within 90 days of opening.</w:t>
      </w:r>
    </w:p>
    <w:p>
      <w:pPr>
        <w:spacing w:after="60" w:before="200"/>
        <w:ind w:left="431"/>
        <w:jc w:val="left"/>
      </w:pPr>
      <w:r>
        <w:rPr>
          <w:rFonts w:ascii="Courier New" w:cs="Courier New" w:eastAsia="Courier New" w:hAnsi="Courier New"/>
          <w:b/>
          <w:bCs/>
          <w:color w:val="1B2A4A"/>
          <w:sz w:val="18"/>
          <w:szCs w:val="18"/>
        </w:rPr>
        <w:t xml:space="preserve">§16.1.d  </w:t>
      </w:r>
      <w:r>
        <w:rPr>
          <w:rFonts w:ascii="Garamond" w:cs="Garamond" w:eastAsia="Garamond" w:hAnsi="Garamond"/>
          <w:b/>
          <w:bCs/>
          <w:i w:val="false"/>
          <w:iCs w:val="false"/>
          <w:color w:val="1B2A4A"/>
          <w:sz w:val="22"/>
          <w:szCs w:val="22"/>
        </w:rPr>
        <w:t xml:space="preserve">Commission Decision-Making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full Commission — Director and six administrators — decides on architecture standards, technical policy, budget, and institutional matters by simple majority of full seated membership. The Director holds one vote and is not entitled to a separate veto. For operational decisions within each system, the relevant panel of three administrators decides by majority vote; the Director may participate in panel discussions but does not vote on operational decisions. Where a panel is deadlocked 1-1-1, the Director casts a deciding vote on that operational matter only.</w:t>
      </w:r>
    </w:p>
    <w:p>
      <w:pPr>
        <w:spacing w:after="60" w:before="200"/>
        <w:ind w:left="431"/>
        <w:jc w:val="left"/>
      </w:pPr>
      <w:r>
        <w:rPr>
          <w:rFonts w:ascii="Courier New" w:cs="Courier New" w:eastAsia="Courier New" w:hAnsi="Courier New"/>
          <w:b/>
          <w:bCs/>
          <w:color w:val="1B2A4A"/>
          <w:sz w:val="18"/>
          <w:szCs w:val="18"/>
        </w:rPr>
        <w:t xml:space="preserve">§16.1.e  </w:t>
      </w:r>
      <w:r>
        <w:rPr>
          <w:rFonts w:ascii="Garamond" w:cs="Garamond" w:eastAsia="Garamond" w:hAnsi="Garamond"/>
          <w:b/>
          <w:bCs/>
          <w:i w:val="false"/>
          <w:iCs w:val="false"/>
          <w:color w:val="1B2A4A"/>
          <w:sz w:val="22"/>
          <w:szCs w:val="22"/>
        </w:rPr>
        <w:t xml:space="preserve">Operational Independence of Panels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NRS Panel has sole operational authority over the technical infrastructure, security, cryptographic standards, and system availability of the National Record System. What is published to the NRS is constitutionally determined — the NRS Panel may not withhold, delay, or restrict any record that is constitutionally required to be published. The Director and Elections Panel may not issue instructions to the NRS Panel regarding the technical operation of the system. The Elections Panel has sole operational authority over the conduct of elections, the administration of the National Voting System, and the certification of all electoral results. The Director and NRS Panel may not issue instructions to the Elections Panel regarding election conduct or result certification. These independence protections are absolute and may not be modified by Commission policy or Director directive.</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Administrator Qualifications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NRS Panel administrators must hold at least 12 years of professional expertise in cryptography, distributed systems, information security, or public records management, and must have no current or recent partisan affiliation. Elections Panel administrators must hold at least 12 years of professional expertise in elections administration, electoral technology, or public administration, and must have no current or recent partisan affiliation. All administrators must pass the Constitutional Logic Test. Qualifications are assessed by the JI at time of pool nomination and published to the NRS.</w:t>
      </w:r>
    </w:p>
    <w:p>
      <w:pPr>
        <w:spacing w:after="60" w:before="200"/>
        <w:ind w:left="431"/>
        <w:jc w:val="left"/>
      </w:pPr>
      <w:r>
        <w:rPr>
          <w:rFonts w:ascii="Courier New" w:cs="Courier New" w:eastAsia="Courier New" w:hAnsi="Courier New"/>
          <w:b/>
          <w:bCs/>
          <w:color w:val="1B2A4A"/>
          <w:sz w:val="18"/>
          <w:szCs w:val="18"/>
        </w:rPr>
        <w:t xml:space="preserve">§16.2.a  </w:t>
      </w:r>
      <w:r>
        <w:rPr>
          <w:rFonts w:ascii="Garamond" w:cs="Garamond" w:eastAsia="Garamond" w:hAnsi="Garamond"/>
          <w:b/>
          <w:bCs/>
          <w:i w:val="false"/>
          <w:iCs w:val="false"/>
          <w:color w:val="1B2A4A"/>
          <w:sz w:val="22"/>
          <w:szCs w:val="22"/>
        </w:rPr>
        <w:t xml:space="preserve">Removal of Director and Administrators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Director and panel administrators may be removed for cause only. For-cause removal requires: a JI-documented finding transmitted to a State Designee Panel under §8.9.f; a Panel determination that stated grounds are substantiated; a 14-day SC appeal window from publication of the Panel finding; and a 2/3 vote of both chambers simultaneously. A Director or administrator is suspended from duties upon publication of a substantiated Panel finding, pending the legislative vote and any SC review. Any removal vote scheduled within 180 days of a major national election is automatically suspended pending SC review within 48 hours.</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Digital Infrastructure Commission —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Commission's independence does not place it above accountability. The EI oversees the Director and the Commission as a whole. The LI audits NRS Panel operations and NRS integrity annually under §9.1.e. The JI audits Elections Panel operations and electoral integrity annually. All audit findings are published to the NRS and transmitted to both chambers of the Legislature.</w:t>
      </w:r>
    </w:p>
    <w:p>
      <w:pPr>
        <w:spacing w:after="60" w:before="200"/>
        <w:ind w:left="431"/>
        <w:jc w:val="left"/>
      </w:pPr>
      <w:r>
        <w:rPr>
          <w:rFonts w:ascii="Courier New" w:cs="Courier New" w:eastAsia="Courier New" w:hAnsi="Courier New"/>
          <w:b/>
          <w:bCs/>
          <w:color w:val="1B2A4A"/>
          <w:sz w:val="18"/>
          <w:szCs w:val="18"/>
        </w:rPr>
        <w:t xml:space="preserve">§16.5.a  </w:t>
      </w:r>
      <w:r>
        <w:rPr>
          <w:rFonts w:ascii="Garamond" w:cs="Garamond" w:eastAsia="Garamond" w:hAnsi="Garamond"/>
          <w:b/>
          <w:bCs/>
          <w:i w:val="false"/>
          <w:iCs w:val="false"/>
          <w:color w:val="1B2A4A"/>
          <w:sz w:val="22"/>
          <w:szCs w:val="22"/>
        </w:rPr>
        <w:t xml:space="preserve">Mid-Term Vacancies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panel administrator seat becomes vacant mid-term, the vacancy process under §16.1.c runs immediately. The replacement serves the remainder of the vacated term only and may not subsequently be nominated to the pool for the same panel track. Where the Director seat becomes vacant, the six panel administrators jointly designate one as Acting Director by majority vote within 7 days; a special Director election must be held within 120 days. The Acting Director holds full Director authority except on full Commission decisions — they may not cast the deciding vote under §16.1.d on Commission-wide matters during the special election campaign period. Panel operational deadlocks may still be resolved by the Acting Director's deciding vote regardless of the election period, as panel decisions are operational rather than institutional in nature.</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Emergency Technical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the Commission to adopt temporary technical measures in imminent security threats or system failures, bypassing the normal majority decision threshold. The emergency power is narrowly constrained — it cannot change electoral rules, timelines, candidate eligibility, or NRS record permanence. It is a system-integrity tool only. Emergency measures expire within 72 hours unless ratified by the full Commission at a convened session.</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NVS Properties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431"/>
        <w:jc w:val="left"/>
      </w:pPr>
      <w:r>
        <w:rPr>
          <w:rFonts w:ascii="Courier New" w:cs="Courier New" w:eastAsia="Courier New" w:hAnsi="Courier New"/>
          <w:b/>
          <w:bCs/>
          <w:color w:val="1B2A4A"/>
          <w:sz w:val="18"/>
          <w:szCs w:val="18"/>
        </w:rPr>
        <w:t xml:space="preserve">§16.3.a  </w:t>
      </w:r>
      <w:r>
        <w:rPr>
          <w:rFonts w:ascii="Garamond" w:cs="Garamond" w:eastAsia="Garamond" w:hAnsi="Garamond"/>
          <w:b/>
          <w:bCs/>
          <w:i w:val="false"/>
          <w:iCs w:val="false"/>
          <w:color w:val="1B2A4A"/>
          <w:sz w:val="22"/>
          <w:szCs w:val="22"/>
        </w:rPr>
        <w:t xml:space="preserve">Ballot Secrecy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or institution — including Elections Panel of the Digital Infrastructure Commission members — may identify how any individual citizen voted. Ballot secrecy is constitutionally absolute. The NVS must make it technically impossible to link any vote to any voter, even in post-election audits.</w:t>
      </w:r>
    </w:p>
    <w:p>
      <w:pPr>
        <w:spacing w:after="60" w:before="200"/>
        <w:ind w:left="431"/>
        <w:jc w:val="left"/>
      </w:pPr>
      <w:r>
        <w:rPr>
          <w:rFonts w:ascii="Courier New" w:cs="Courier New" w:eastAsia="Courier New" w:hAnsi="Courier New"/>
          <w:b/>
          <w:bCs/>
          <w:color w:val="1B2A4A"/>
          <w:sz w:val="18"/>
          <w:szCs w:val="18"/>
        </w:rPr>
        <w:t xml:space="preserve">§16.3.b  </w:t>
      </w:r>
      <w:r>
        <w:rPr>
          <w:rFonts w:ascii="Garamond" w:cs="Garamond" w:eastAsia="Garamond" w:hAnsi="Garamond"/>
          <w:b/>
          <w:bCs/>
          <w:i w:val="false"/>
          <w:iCs w:val="false"/>
          <w:color w:val="1B2A4A"/>
          <w:sz w:val="22"/>
          <w:szCs w:val="22"/>
        </w:rPr>
        <w:t xml:space="preserve">Public Auditability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431"/>
        <w:jc w:val="left"/>
      </w:pPr>
      <w:r>
        <w:rPr>
          <w:rFonts w:ascii="Courier New" w:cs="Courier New" w:eastAsia="Courier New" w:hAnsi="Courier New"/>
          <w:b/>
          <w:bCs/>
          <w:color w:val="1B2A4A"/>
          <w:sz w:val="18"/>
          <w:szCs w:val="18"/>
        </w:rPr>
        <w:t xml:space="preserve">§16.3.c  </w:t>
      </w:r>
      <w:r>
        <w:rPr>
          <w:rFonts w:ascii="Garamond" w:cs="Garamond" w:eastAsia="Garamond" w:hAnsi="Garamond"/>
          <w:b/>
          <w:bCs/>
          <w:i w:val="false"/>
          <w:iCs w:val="false"/>
          <w:color w:val="1B2A4A"/>
          <w:sz w:val="22"/>
          <w:szCs w:val="22"/>
        </w:rPr>
        <w:t xml:space="preserve">Resilience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Voting Rights and Access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in federal elections. The Elections Panel of the Digital Infrastructure Commission administers the Citizen Voting Credential and is constitutionally obligated to maintain access to the National Voting System for every eligible citizen.</w:t>
      </w:r>
    </w:p>
    <w:p>
      <w:pPr>
        <w:spacing w:after="60" w:before="200"/>
        <w:ind w:left="431"/>
        <w:jc w:val="left"/>
      </w:pPr>
      <w:r>
        <w:rPr>
          <w:rFonts w:ascii="Courier New" w:cs="Courier New" w:eastAsia="Courier New" w:hAnsi="Courier New"/>
          <w:b/>
          <w:bCs/>
          <w:color w:val="1B2A4A"/>
          <w:sz w:val="18"/>
          <w:szCs w:val="18"/>
        </w:rPr>
        <w:t xml:space="preserve">§16.4.a  </w:t>
      </w:r>
      <w:r>
        <w:rPr>
          <w:rFonts w:ascii="Garamond" w:cs="Garamond" w:eastAsia="Garamond" w:hAnsi="Garamond"/>
          <w:b/>
          <w:bCs/>
          <w:i w:val="false"/>
          <w:iCs w:val="false"/>
          <w:color w:val="1B2A4A"/>
          <w:sz w:val="22"/>
          <w:szCs w:val="22"/>
        </w:rPr>
        <w:t xml:space="preserve">The Citizen Voting Credential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Citizen Voting Credential is issued and managed by the Elections Panel of the Digital Infrastructure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Elections Panel of the Digital Infrastructure Commission. Citizens whose Credentials are lost or compromised have the right to timely reissuance under a process the Legislature defines by statute.</w:t>
      </w:r>
    </w:p>
    <w:p>
      <w:pPr>
        <w:spacing w:after="60" w:before="200"/>
        <w:ind w:left="431"/>
        <w:jc w:val="left"/>
      </w:pPr>
      <w:r>
        <w:rPr>
          <w:rFonts w:ascii="Courier New" w:cs="Courier New" w:eastAsia="Courier New" w:hAnsi="Courier New"/>
          <w:b/>
          <w:bCs/>
          <w:color w:val="1B2A4A"/>
          <w:sz w:val="18"/>
          <w:szCs w:val="18"/>
        </w:rPr>
        <w:t xml:space="preserve">§16.4.b  </w:t>
      </w:r>
      <w:r>
        <w:rPr>
          <w:rFonts w:ascii="Garamond" w:cs="Garamond" w:eastAsia="Garamond" w:hAnsi="Garamond"/>
          <w:b/>
          <w:bCs/>
          <w:i w:val="false"/>
          <w:iCs w:val="false"/>
          <w:color w:val="1B2A4A"/>
          <w:sz w:val="22"/>
          <w:szCs w:val="22"/>
        </w:rPr>
        <w:t xml:space="preserve">Remote Voting</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431"/>
        <w:jc w:val="left"/>
      </w:pPr>
      <w:r>
        <w:rPr>
          <w:rFonts w:ascii="Courier New" w:cs="Courier New" w:eastAsia="Courier New" w:hAnsi="Courier New"/>
          <w:b/>
          <w:bCs/>
          <w:color w:val="1B2A4A"/>
          <w:sz w:val="18"/>
          <w:szCs w:val="18"/>
        </w:rPr>
        <w:t xml:space="preserve">§16.4.c  </w:t>
      </w:r>
      <w:r>
        <w:rPr>
          <w:rFonts w:ascii="Garamond" w:cs="Garamond" w:eastAsia="Garamond" w:hAnsi="Garamond"/>
          <w:b/>
          <w:bCs/>
          <w:i w:val="false"/>
          <w:iCs w:val="false"/>
          <w:color w:val="1B2A4A"/>
          <w:sz w:val="22"/>
          <w:szCs w:val="22"/>
        </w:rPr>
        <w:t xml:space="preserve">State Voting Method Flexibility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w:t>
      </w:r>
    </w:p>
    <w:p>
      <w:pPr>
        <w:spacing w:after="60" w:before="200"/>
        <w:ind w:left="431"/>
        <w:jc w:val="left"/>
      </w:pPr>
      <w:r>
        <w:rPr>
          <w:rFonts w:ascii="Courier New" w:cs="Courier New" w:eastAsia="Courier New" w:hAnsi="Courier New"/>
          <w:b/>
          <w:bCs/>
          <w:color w:val="1B2A4A"/>
          <w:sz w:val="18"/>
          <w:szCs w:val="18"/>
        </w:rPr>
        <w:t xml:space="preserve">§16.4.d  </w:t>
      </w:r>
      <w:r>
        <w:rPr>
          <w:rFonts w:ascii="Garamond" w:cs="Garamond" w:eastAsia="Garamond" w:hAnsi="Garamond"/>
          <w:b/>
          <w:bCs/>
          <w:i w:val="false"/>
          <w:iCs w:val="false"/>
          <w:color w:val="1B2A4A"/>
          <w:sz w:val="22"/>
          <w:szCs w:val="22"/>
        </w:rPr>
        <w:t xml:space="preserve">Federal Ballot Information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Before each federal election window opens, the Elections Panel of the Digital Infrastructure Commission delivers to every eligible citizen: the list of federal races on their ballot, the NVS access procedures, and the certification timeline. Delivery must reach every eligible citizen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§16.4.e  </w:t>
      </w:r>
      <w:r>
        <w:rPr>
          <w:rFonts w:ascii="Garamond" w:cs="Garamond" w:eastAsia="Garamond" w:hAnsi="Garamond"/>
          <w:b/>
          <w:bCs/>
          <w:i w:val="false"/>
          <w:iCs w:val="false"/>
          <w:color w:val="1B2A4A"/>
          <w:sz w:val="22"/>
          <w:szCs w:val="22"/>
        </w:rPr>
        <w:t xml:space="preserve">State Ballot Information on Request</w:t>
      </w:r>
    </w:p>
    <w:p>
      <w:pPr>
        <w:spacing w:after="120" w:before="0"/>
        <w:ind w:left="431"/>
        <w:jc w:val="both"/>
      </w:pPr>
      <w:r>
        <w:rPr>
          <w:rFonts w:ascii="Garamond" w:cs="Garamond" w:eastAsia="Garamond" w:hAnsi="Garamond"/>
          <w:b w:val="false"/>
          <w:bCs w:val="false"/>
          <w:i w:val="false"/>
          <w:iCs w:val="false"/>
          <w:color w:val="2a2520"/>
          <w:sz w:val="22"/>
          <w:szCs w:val="22"/>
        </w:rPr>
        <w:t xml:space="preserve">At a State's request, the Elections Panel of the Digital Infrastructure Commission may extend ballot information delivery to cover State and local races. The State bears the cost. The Commission may not refuse except on operational capacity grounds.</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Day Zero Voting System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w:t>
      </w:r>
    </w:p>
    <w:p>
      <w:pPr>
        <w:spacing w:after="60" w:before="200"/>
        <w:jc w:val="left"/>
      </w:pPr>
      <w:r>
        <w:rPr>
          <w:rFonts w:ascii="Garamond" w:cs="Garamond" w:eastAsia="Garamond" w:hAnsi="Garamond"/>
          <w:b/>
          <w:bCs/>
          <w:i w:val="false"/>
          <w:iCs w:val="false"/>
          <w:color w:val="1B2A4A"/>
          <w:sz w:val="34"/>
          <w:szCs w:val="34"/>
        </w:rPr>
        <w:t xml:space="preserve">Article XVII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431"/>
        <w:jc w:val="left"/>
      </w:pPr>
      <w:r>
        <w:rPr>
          <w:rFonts w:ascii="Courier New" w:cs="Courier New" w:eastAsia="Courier New" w:hAnsi="Courier New"/>
          <w:b/>
          <w:bCs/>
          <w:color w:val="1B2A4A"/>
          <w:sz w:val="18"/>
          <w:szCs w:val="18"/>
        </w:rPr>
        <w:t xml:space="preserve">§17.2.a  </w:t>
      </w:r>
      <w:r>
        <w:rPr>
          <w:rFonts w:ascii="Garamond" w:cs="Garamond" w:eastAsia="Garamond" w:hAnsi="Garamond"/>
          <w:b/>
          <w:bCs/>
          <w:i w:val="false"/>
          <w:iCs w:val="false"/>
          <w:color w:val="1B2A4A"/>
          <w:sz w:val="22"/>
          <w:szCs w:val="22"/>
        </w:rPr>
        <w:t xml:space="preserve">Bid Process and Requirements Specification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431"/>
        <w:jc w:val="left"/>
      </w:pPr>
      <w:r>
        <w:rPr>
          <w:rFonts w:ascii="Courier New" w:cs="Courier New" w:eastAsia="Courier New" w:hAnsi="Courier New"/>
          <w:b/>
          <w:bCs/>
          <w:color w:val="1B2A4A"/>
          <w:sz w:val="18"/>
          <w:szCs w:val="18"/>
        </w:rPr>
        <w:t xml:space="preserve">§17.2.b  </w:t>
      </w:r>
      <w:r>
        <w:rPr>
          <w:rFonts w:ascii="Garamond" w:cs="Garamond" w:eastAsia="Garamond" w:hAnsi="Garamond"/>
          <w:b/>
          <w:bCs/>
          <w:i w:val="false"/>
          <w:iCs w:val="false"/>
          <w:color w:val="1B2A4A"/>
          <w:sz w:val="22"/>
          <w:szCs w:val="22"/>
        </w:rPr>
        <w:t xml:space="preserve">Twenty-Year Review Cycle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431"/>
        <w:jc w:val="left"/>
      </w:pPr>
      <w:r>
        <w:rPr>
          <w:rFonts w:ascii="Courier New" w:cs="Courier New" w:eastAsia="Courier New" w:hAnsi="Courier New"/>
          <w:b/>
          <w:bCs/>
          <w:color w:val="1B2A4A"/>
          <w:sz w:val="18"/>
          <w:szCs w:val="18"/>
        </w:rPr>
        <w:t xml:space="preserve">§17.2.c  </w:t>
      </w:r>
      <w:r>
        <w:rPr>
          <w:rFonts w:ascii="Garamond" w:cs="Garamond" w:eastAsia="Garamond" w:hAnsi="Garamond"/>
          <w:b/>
          <w:bCs/>
          <w:i w:val="false"/>
          <w:iCs w:val="false"/>
          <w:color w:val="1B2A4A"/>
          <w:sz w:val="22"/>
          <w:szCs w:val="22"/>
        </w:rPr>
        <w:t xml:space="preserve">Transition Window</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431"/>
        <w:jc w:val="left"/>
      </w:pPr>
      <w:r>
        <w:rPr>
          <w:rFonts w:ascii="Courier New" w:cs="Courier New" w:eastAsia="Courier New" w:hAnsi="Courier New"/>
          <w:b/>
          <w:bCs/>
          <w:color w:val="1B2A4A"/>
          <w:sz w:val="18"/>
          <w:szCs w:val="18"/>
        </w:rPr>
        <w:t xml:space="preserve">§17.2.d  </w:t>
      </w:r>
      <w:r>
        <w:rPr>
          <w:rFonts w:ascii="Garamond" w:cs="Garamond" w:eastAsia="Garamond" w:hAnsi="Garamond"/>
          <w:b/>
          <w:bCs/>
          <w:i w:val="false"/>
          <w:iCs w:val="false"/>
          <w:color w:val="1B2A4A"/>
          <w:sz w:val="22"/>
          <w:szCs w:val="22"/>
        </w:rPr>
        <w:t xml:space="preserve">No-Bid Scenario</w:t>
      </w:r>
    </w:p>
    <w:p>
      <w:pPr>
        <w:spacing w:after="120" w:before="0"/>
        <w:ind w:left="431"/>
        <w:jc w:val="both"/>
      </w:pPr>
      <w:r>
        <w:rPr>
          <w:rFonts w:ascii="Garamond" w:cs="Garamond" w:eastAsia="Garamond" w:hAnsi="Garamond"/>
          <w:b w:val="false"/>
          <w:bCs w:val="false"/>
          <w:i w:val="false"/>
          <w:iCs w:val="false"/>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§1.11.b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431"/>
        <w:jc w:val="left"/>
      </w:pPr>
      <w:r>
        <w:rPr>
          <w:rFonts w:ascii="Courier New" w:cs="Courier New" w:eastAsia="Courier New" w:hAnsi="Courier New"/>
          <w:b/>
          <w:bCs/>
          <w:color w:val="1B2A4A"/>
          <w:sz w:val="18"/>
          <w:szCs w:val="18"/>
        </w:rPr>
        <w:t xml:space="preserve">§17.2.e  </w:t>
      </w:r>
      <w:r>
        <w:rPr>
          <w:rFonts w:ascii="Garamond" w:cs="Garamond" w:eastAsia="Garamond" w:hAnsi="Garamond"/>
          <w:b/>
          <w:bCs/>
          <w:i w:val="false"/>
          <w:iCs w:val="false"/>
          <w:color w:val="1B2A4A"/>
          <w:sz w:val="22"/>
          <w:szCs w:val="22"/>
        </w:rPr>
        <w:t xml:space="preserve">Federal Control Within Footprint</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431"/>
        <w:jc w:val="left"/>
      </w:pPr>
      <w:r>
        <w:rPr>
          <w:rFonts w:ascii="Courier New" w:cs="Courier New" w:eastAsia="Courier New" w:hAnsi="Courier New"/>
          <w:b/>
          <w:bCs/>
          <w:color w:val="1B2A4A"/>
          <w:sz w:val="18"/>
          <w:szCs w:val="18"/>
        </w:rPr>
        <w:t xml:space="preserve">§17.2.f  </w:t>
      </w:r>
      <w:r>
        <w:rPr>
          <w:rFonts w:ascii="Garamond" w:cs="Garamond" w:eastAsia="Garamond" w:hAnsi="Garamond"/>
          <w:b/>
          <w:bCs/>
          <w:i w:val="false"/>
          <w:iCs w:val="false"/>
          <w:color w:val="1B2A4A"/>
          <w:sz w:val="22"/>
          <w:szCs w:val="22"/>
        </w:rPr>
        <w:t xml:space="preserve">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federal government holds property interests within States through Operational Use Rights rather than fee ownership.</w:t>
      </w:r>
    </w:p>
    <w:p>
      <w:pPr>
        <w:spacing w:after="60" w:before="200"/>
        <w:ind w:left="431"/>
        <w:jc w:val="left"/>
      </w:pPr>
      <w:r>
        <w:rPr>
          <w:rFonts w:ascii="Courier New" w:cs="Courier New" w:eastAsia="Courier New" w:hAnsi="Courier New"/>
          <w:b/>
          <w:bCs/>
          <w:color w:val="1B2A4A"/>
          <w:sz w:val="18"/>
          <w:szCs w:val="18"/>
        </w:rPr>
        <w:t xml:space="preserve">§17.3.a  </w:t>
      </w:r>
      <w:r>
        <w:rPr>
          <w:rFonts w:ascii="Garamond" w:cs="Garamond" w:eastAsia="Garamond" w:hAnsi="Garamond"/>
          <w:b/>
          <w:bCs/>
          <w:i w:val="false"/>
          <w:iCs w:val="false"/>
          <w:color w:val="1B2A4A"/>
          <w:sz w:val="22"/>
          <w:szCs w:val="22"/>
        </w:rPr>
        <w:t xml:space="preserve">Registration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431"/>
        <w:jc w:val="left"/>
      </w:pPr>
      <w:r>
        <w:rPr>
          <w:rFonts w:ascii="Courier New" w:cs="Courier New" w:eastAsia="Courier New" w:hAnsi="Courier New"/>
          <w:b/>
          <w:bCs/>
          <w:color w:val="1B2A4A"/>
          <w:sz w:val="18"/>
          <w:szCs w:val="18"/>
        </w:rPr>
        <w:t xml:space="preserve">§17.3.b  </w:t>
      </w:r>
      <w:r>
        <w:rPr>
          <w:rFonts w:ascii="Garamond" w:cs="Garamond" w:eastAsia="Garamond" w:hAnsi="Garamond"/>
          <w:b/>
          <w:bCs/>
          <w:i w:val="false"/>
          <w:iCs w:val="false"/>
          <w:color w:val="1B2A4A"/>
          <w:sz w:val="22"/>
          <w:szCs w:val="22"/>
        </w:rPr>
        <w:t xml:space="preserve">Termination and Reversion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431"/>
        <w:jc w:val="left"/>
      </w:pPr>
      <w:r>
        <w:rPr>
          <w:rFonts w:ascii="Courier New" w:cs="Courier New" w:eastAsia="Courier New" w:hAnsi="Courier New"/>
          <w:b/>
          <w:bCs/>
          <w:color w:val="1B2A4A"/>
          <w:sz w:val="18"/>
          <w:szCs w:val="18"/>
        </w:rPr>
        <w:t xml:space="preserve">§17.3.c  </w:t>
      </w:r>
      <w:r>
        <w:rPr>
          <w:rFonts w:ascii="Garamond" w:cs="Garamond" w:eastAsia="Garamond" w:hAnsi="Garamond"/>
          <w:b/>
          <w:bCs/>
          <w:i w:val="false"/>
          <w:iCs w:val="false"/>
          <w:color w:val="1B2A4A"/>
          <w:sz w:val="22"/>
          <w:szCs w:val="22"/>
        </w:rPr>
        <w:t xml:space="preserve">Improvements — Negotiated Settlement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431"/>
        <w:jc w:val="left"/>
      </w:pPr>
      <w:r>
        <w:rPr>
          <w:rFonts w:ascii="Courier New" w:cs="Courier New" w:eastAsia="Courier New" w:hAnsi="Courier New"/>
          <w:b/>
          <w:bCs/>
          <w:color w:val="1B2A4A"/>
          <w:sz w:val="18"/>
          <w:szCs w:val="18"/>
        </w:rPr>
        <w:t xml:space="preserve">§17.3.d  </w:t>
      </w:r>
      <w:r>
        <w:rPr>
          <w:rFonts w:ascii="Garamond" w:cs="Garamond" w:eastAsia="Garamond" w:hAnsi="Garamond"/>
          <w:b/>
          <w:bCs/>
          <w:i w:val="false"/>
          <w:iCs w:val="false"/>
          <w:color w:val="1B2A4A"/>
          <w:sz w:val="22"/>
          <w:szCs w:val="22"/>
        </w:rPr>
        <w:t xml:space="preserve">Disputes</w:t>
      </w:r>
    </w:p>
    <w:p>
      <w:pPr>
        <w:spacing w:after="120" w:before="0"/>
        <w:ind w:left="431"/>
        <w:jc w:val="both"/>
      </w:pPr>
      <w:r>
        <w:rPr>
          <w:rFonts w:ascii="Garamond" w:cs="Garamond" w:eastAsia="Garamond" w:hAnsi="Garamond"/>
          <w:b w:val="false"/>
          <w:bCs w:val="false"/>
          <w:i w:val="false"/>
          <w:iCs w:val="false"/>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431"/>
        <w:jc w:val="left"/>
      </w:pPr>
      <w:r>
        <w:rPr>
          <w:rFonts w:ascii="Courier New" w:cs="Courier New" w:eastAsia="Courier New" w:hAnsi="Courier New"/>
          <w:b/>
          <w:bCs/>
          <w:color w:val="1B2A4A"/>
          <w:sz w:val="18"/>
          <w:szCs w:val="18"/>
        </w:rPr>
        <w:t xml:space="preserve">§17.3.e  </w:t>
      </w:r>
      <w:r>
        <w:rPr>
          <w:rFonts w:ascii="Garamond" w:cs="Garamond" w:eastAsia="Garamond" w:hAnsi="Garamond"/>
          <w:b/>
          <w:bCs/>
          <w:i w:val="false"/>
          <w:iCs w:val="false"/>
          <w:color w:val="1B2A4A"/>
          <w:sz w:val="22"/>
          <w:szCs w:val="22"/>
        </w:rPr>
        <w:t xml:space="preserve">Independence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State achieves independence through a constitutional amendment under §13.9.a and a voluntary devolution agreement under §13.4, automatic reversion under §17.3.b does not immediately apply to Operational Use Rights within the departing territory. Use rights continue under the terms of the framework agreement and independence treaty negotiated under §13.4.</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The National Trust Administrator is independently confirmed under the §2.2.h escalation framework. The Trust is structurally distinct from the Community Land Trust: the NTA manages federal holdings; the CLT Administrator manages affordable residential land held in trust for Inhabitants.</w:t>
      </w:r>
    </w:p>
    <w:p>
      <w:pPr>
        <w:spacing w:after="60" w:before="200"/>
        <w:ind w:left="431"/>
        <w:jc w:val="left"/>
      </w:pPr>
      <w:r>
        <w:rPr>
          <w:rFonts w:ascii="Courier New" w:cs="Courier New" w:eastAsia="Courier New" w:hAnsi="Courier New"/>
          <w:b/>
          <w:bCs/>
          <w:color w:val="1B2A4A"/>
          <w:sz w:val="18"/>
          <w:szCs w:val="18"/>
        </w:rPr>
        <w:t xml:space="preserve">§17.4.a  </w:t>
      </w:r>
      <w:r>
        <w:rPr>
          <w:rFonts w:ascii="Garamond" w:cs="Garamond" w:eastAsia="Garamond" w:hAnsi="Garamond"/>
          <w:b/>
          <w:bCs/>
          <w:i w:val="false"/>
          <w:iCs w:val="false"/>
          <w:color w:val="1B2A4A"/>
          <w:sz w:val="22"/>
          <w:szCs w:val="22"/>
        </w:rPr>
        <w:t xml:space="preserve">Trust Nature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431"/>
        <w:jc w:val="left"/>
      </w:pPr>
      <w:r>
        <w:rPr>
          <w:rFonts w:ascii="Courier New" w:cs="Courier New" w:eastAsia="Courier New" w:hAnsi="Courier New"/>
          <w:b/>
          <w:bCs/>
          <w:color w:val="1B2A4A"/>
          <w:sz w:val="18"/>
          <w:szCs w:val="18"/>
        </w:rPr>
        <w:t xml:space="preserve">§17.4.b  </w:t>
      </w:r>
      <w:r>
        <w:rPr>
          <w:rFonts w:ascii="Garamond" w:cs="Garamond" w:eastAsia="Garamond" w:hAnsi="Garamond"/>
          <w:b/>
          <w:bCs/>
          <w:i w:val="false"/>
          <w:iCs w:val="false"/>
          <w:color w:val="1B2A4A"/>
          <w:sz w:val="22"/>
          <w:szCs w:val="22"/>
        </w:rPr>
        <w:t xml:space="preserve">Stewardship Obligation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federal government has an active, enforceable obligation to maintain ecological integrity and public accessibility of National Trust lands. EI monitors stewardship compliance annually, cross-referenced with §1.23 (Right to a Healthy Environment). Failure triggers a mandatory remediation plan reported to the NRS. The Trust carries active obligations — not passive title.</w:t>
      </w:r>
    </w:p>
    <w:p>
      <w:pPr>
        <w:spacing w:after="60" w:before="200"/>
        <w:ind w:left="431"/>
        <w:jc w:val="left"/>
      </w:pPr>
      <w:r>
        <w:rPr>
          <w:rFonts w:ascii="Courier New" w:cs="Courier New" w:eastAsia="Courier New" w:hAnsi="Courier New"/>
          <w:b/>
          <w:bCs/>
          <w:color w:val="1B2A4A"/>
          <w:sz w:val="18"/>
          <w:szCs w:val="18"/>
        </w:rPr>
        <w:t xml:space="preserve">§17.4.c  </w:t>
      </w:r>
      <w:r>
        <w:rPr>
          <w:rFonts w:ascii="Garamond" w:cs="Garamond" w:eastAsia="Garamond" w:hAnsi="Garamond"/>
          <w:b/>
          <w:bCs/>
          <w:i w:val="false"/>
          <w:iCs w:val="false"/>
          <w:color w:val="1B2A4A"/>
          <w:sz w:val="22"/>
          <w:szCs w:val="22"/>
        </w:rPr>
        <w:t xml:space="preserve">Co-Management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431"/>
        <w:jc w:val="left"/>
      </w:pPr>
      <w:r>
        <w:rPr>
          <w:rFonts w:ascii="Courier New" w:cs="Courier New" w:eastAsia="Courier New" w:hAnsi="Courier New"/>
          <w:b/>
          <w:bCs/>
          <w:color w:val="1B2A4A"/>
          <w:sz w:val="18"/>
          <w:szCs w:val="18"/>
        </w:rPr>
        <w:t xml:space="preserve">§17.4.d  </w:t>
      </w:r>
      <w:r>
        <w:rPr>
          <w:rFonts w:ascii="Garamond" w:cs="Garamond" w:eastAsia="Garamond" w:hAnsi="Garamond"/>
          <w:b/>
          <w:bCs/>
          <w:i w:val="false"/>
          <w:iCs w:val="false"/>
          <w:color w:val="1B2A4A"/>
          <w:sz w:val="22"/>
          <w:szCs w:val="22"/>
        </w:rPr>
        <w:t xml:space="preserve">Reclassification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431"/>
        <w:jc w:val="left"/>
      </w:pPr>
      <w:r>
        <w:rPr>
          <w:rFonts w:ascii="Courier New" w:cs="Courier New" w:eastAsia="Courier New" w:hAnsi="Courier New"/>
          <w:b/>
          <w:bCs/>
          <w:color w:val="1B2A4A"/>
          <w:sz w:val="18"/>
          <w:szCs w:val="18"/>
        </w:rPr>
        <w:t xml:space="preserve">§17.4.e  </w:t>
      </w:r>
      <w:r>
        <w:rPr>
          <w:rFonts w:ascii="Garamond" w:cs="Garamond" w:eastAsia="Garamond" w:hAnsi="Garamond"/>
          <w:b/>
          <w:bCs/>
          <w:i w:val="false"/>
          <w:iCs w:val="false"/>
          <w:color w:val="1B2A4A"/>
          <w:sz w:val="22"/>
          <w:szCs w:val="22"/>
        </w:rPr>
        <w:t xml:space="preserve">International Sites</w:t>
      </w:r>
    </w:p>
    <w:p>
      <w:pPr>
        <w:spacing w:after="120" w:before="0"/>
        <w:ind w:left="431"/>
        <w:jc w:val="both"/>
      </w:pPr>
      <w:r>
        <w:rPr>
          <w:rFonts w:ascii="Garamond" w:cs="Garamond" w:eastAsia="Garamond" w:hAnsi="Garamond"/>
          <w:b w:val="false"/>
          <w:bCs w:val="false"/>
          <w:i w:val="false"/>
          <w:iCs w:val="false"/>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431"/>
        <w:jc w:val="left"/>
      </w:pPr>
      <w:r>
        <w:rPr>
          <w:rFonts w:ascii="Courier New" w:cs="Courier New" w:eastAsia="Courier New" w:hAnsi="Courier New"/>
          <w:b/>
          <w:bCs/>
          <w:color w:val="1B2A4A"/>
          <w:sz w:val="18"/>
          <w:szCs w:val="18"/>
        </w:rPr>
        <w:t xml:space="preserve">§17.4.f  </w:t>
      </w:r>
      <w:r>
        <w:rPr>
          <w:rFonts w:ascii="Garamond" w:cs="Garamond" w:eastAsia="Garamond" w:hAnsi="Garamond"/>
          <w:b/>
          <w:bCs/>
          <w:i w:val="false"/>
          <w:iCs w:val="false"/>
          <w:color w:val="1B2A4A"/>
          <w:sz w:val="22"/>
          <w:szCs w:val="22"/>
        </w:rPr>
        <w:t xml:space="preserve">Admission of New Trust Lands</w:t>
      </w:r>
    </w:p>
    <w:p>
      <w:pPr>
        <w:spacing w:after="120" w:before="0"/>
        <w:ind w:left="431"/>
        <w:jc w:val="both"/>
      </w:pPr>
      <w:r>
        <w:rPr>
          <w:rFonts w:ascii="Garamond" w:cs="Garamond" w:eastAsia="Garamond" w:hAnsi="Garamond"/>
          <w:b w:val="false"/>
          <w:bCs w:val="false"/>
          <w:i w:val="false"/>
          <w:iCs w:val="false"/>
          <w:color w:val="2a2520"/>
          <w:sz w:val="22"/>
          <w:szCs w:val="22"/>
        </w:rPr>
        <w:t xml:space="preserve">Land may be designated National Trust by a 2/3 vote of both chambers with host State consent (land in Territories: 2/3 vote alone). No executive action may designate Trust lands — designation is a legislative act.</w:t>
      </w:r>
    </w:p>
    <w:p>
      <w:pPr>
        <w:spacing w:after="60" w:before="200"/>
        <w:ind w:left="431"/>
        <w:jc w:val="left"/>
      </w:pPr>
      <w:r>
        <w:rPr>
          <w:rFonts w:ascii="Courier New" w:cs="Courier New" w:eastAsia="Courier New" w:hAnsi="Courier New"/>
          <w:b/>
          <w:bCs/>
          <w:color w:val="1B2A4A"/>
          <w:sz w:val="18"/>
          <w:szCs w:val="18"/>
        </w:rPr>
        <w:t xml:space="preserve">§17.4.g  </w:t>
      </w:r>
      <w:r>
        <w:rPr>
          <w:rFonts w:ascii="Garamond" w:cs="Garamond" w:eastAsia="Garamond" w:hAnsi="Garamond"/>
          <w:b/>
          <w:bCs/>
          <w:i w:val="false"/>
          <w:iCs w:val="false"/>
          <w:color w:val="1B2A4A"/>
          <w:sz w:val="22"/>
          <w:szCs w:val="22"/>
        </w:rPr>
        <w:t xml:space="preserve">National Trust Administrator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Administrator is a statutory independent officer whose independence is protected by statute. The Legislature creates the office by statute and establishes the Administrator's independence, term, and removal grounds through the enabling statute. The enabling statute may not reduce the stewardship obligations established in §17.4.a–f or diminish the EI's annual monitoring authority.</w:t>
      </w:r>
    </w:p>
    <w:p>
      <w:pPr>
        <w:spacing w:after="60" w:before="200"/>
        <w:ind w:left="431"/>
        <w:jc w:val="left"/>
      </w:pPr>
      <w:r>
        <w:rPr>
          <w:rFonts w:ascii="Courier New" w:cs="Courier New" w:eastAsia="Courier New" w:hAnsi="Courier New"/>
          <w:b/>
          <w:bCs/>
          <w:color w:val="1B2A4A"/>
          <w:sz w:val="18"/>
          <w:szCs w:val="18"/>
        </w:rPr>
        <w:t xml:space="preserve">§17.5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§17.3 and §17.4. Host State legislative consent is not required because Territories have no State legislature; the Territory's representative body and the LI are consulted before any use right is registered. The same constitutional principles and obligations apply.</w:t>
      </w:r>
    </w:p>
    <w:p>
      <w:pPr>
        <w:spacing w:after="60" w:before="200"/>
        <w:jc w:val="left"/>
      </w:pPr>
      <w:r>
        <w:rPr>
          <w:rFonts w:ascii="Garamond" w:cs="Garamond" w:eastAsia="Garamond" w:hAnsi="Garamond"/>
          <w:b/>
          <w:bCs/>
          <w:i w:val="false"/>
          <w:iCs w:val="false"/>
          <w:color w:val="1B2A4A"/>
          <w:sz w:val="34"/>
          <w:szCs w:val="34"/>
        </w:rPr>
        <w:t xml:space="preserve">Article XVIII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finance is regulated to prevent the structural distortion of democratic accountability through concentrated financial influence. The provisions of this section govern contributions, disclosure, and independent expenditures.</w:t>
      </w:r>
    </w:p>
    <w:p>
      <w:pPr>
        <w:spacing w:after="60" w:before="200"/>
        <w:ind w:left="431"/>
        <w:jc w:val="left"/>
      </w:pPr>
      <w:r>
        <w:rPr>
          <w:rFonts w:ascii="Courier New" w:cs="Courier New" w:eastAsia="Courier New" w:hAnsi="Courier New"/>
          <w:b/>
          <w:bCs/>
          <w:color w:val="1B2A4A"/>
          <w:sz w:val="18"/>
          <w:szCs w:val="18"/>
        </w:rPr>
        <w:t xml:space="preserve">§18.1.a  </w:t>
      </w:r>
      <w:r>
        <w:rPr>
          <w:rFonts w:ascii="Garamond" w:cs="Garamond" w:eastAsia="Garamond" w:hAnsi="Garamond"/>
          <w:b/>
          <w:bCs/>
          <w:i w:val="false"/>
          <w:iCs w:val="false"/>
          <w:color w:val="1B2A4A"/>
          <w:sz w:val="22"/>
          <w:szCs w:val="22"/>
        </w:rPr>
        <w:t xml:space="preserve">Financial Contributions as Electoral Acts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contributions above the de minimis threshold must be publicly disclosed to the Elections Panel of the Digital Infrastructure Commission and published to the NRS. Anonymity in electoral finance is prohibited. The de minimis threshold may not be set so high that it effectively permits anonymous large-scale contributions.</w:t>
      </w:r>
    </w:p>
    <w:p>
      <w:pPr>
        <w:spacing w:after="60" w:before="200"/>
        <w:ind w:left="431"/>
        <w:jc w:val="left"/>
      </w:pPr>
      <w:r>
        <w:rPr>
          <w:rFonts w:ascii="Courier New" w:cs="Courier New" w:eastAsia="Courier New" w:hAnsi="Courier New"/>
          <w:b/>
          <w:bCs/>
          <w:color w:val="1B2A4A"/>
          <w:sz w:val="18"/>
          <w:szCs w:val="18"/>
        </w:rPr>
        <w:t xml:space="preserve">§18.1.b  </w:t>
      </w:r>
      <w:r>
        <w:rPr>
          <w:rFonts w:ascii="Garamond" w:cs="Garamond" w:eastAsia="Garamond" w:hAnsi="Garamond"/>
          <w:b/>
          <w:bCs/>
          <w:i w:val="false"/>
          <w:iCs w:val="false"/>
          <w:color w:val="1B2A4A"/>
          <w:sz w:val="22"/>
          <w:szCs w:val="22"/>
        </w:rPr>
        <w:t xml:space="preserve">Natural Persons Only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431"/>
        <w:jc w:val="left"/>
      </w:pPr>
      <w:r>
        <w:rPr>
          <w:rFonts w:ascii="Courier New" w:cs="Courier New" w:eastAsia="Courier New" w:hAnsi="Courier New"/>
          <w:b/>
          <w:bCs/>
          <w:color w:val="1B2A4A"/>
          <w:sz w:val="18"/>
          <w:szCs w:val="18"/>
        </w:rPr>
        <w:t xml:space="preserve">§18.1.c  </w:t>
      </w:r>
      <w:r>
        <w:rPr>
          <w:rFonts w:ascii="Garamond" w:cs="Garamond" w:eastAsia="Garamond" w:hAnsi="Garamond"/>
          <w:b/>
          <w:bCs/>
          <w:i w:val="false"/>
          <w:iCs w:val="false"/>
          <w:color w:val="1B2A4A"/>
          <w:sz w:val="22"/>
          <w:szCs w:val="22"/>
        </w:rPr>
        <w:t xml:space="preserve">Voter-Donor Parity</w:t>
      </w:r>
    </w:p>
    <w:p>
      <w:pPr>
        <w:spacing w:after="120" w:before="0"/>
        <w:ind w:left="431"/>
        <w:jc w:val="both"/>
      </w:pPr>
      <w:r>
        <w:rPr>
          <w:rFonts w:ascii="Garamond" w:cs="Garamond" w:eastAsia="Garamond" w:hAnsi="Garamond"/>
          <w:b w:val="false"/>
          <w:bCs w:val="false"/>
          <w:i w:val="false"/>
          <w:iCs w:val="false"/>
          <w:color w:val="2a2520"/>
          <w:sz w:val="22"/>
          <w:szCs w:val="22"/>
        </w:rPr>
        <w:t xml:space="preserve">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431"/>
        <w:jc w:val="left"/>
      </w:pPr>
      <w:r>
        <w:rPr>
          <w:rFonts w:ascii="Courier New" w:cs="Courier New" w:eastAsia="Courier New" w:hAnsi="Courier New"/>
          <w:b/>
          <w:bCs/>
          <w:color w:val="1B2A4A"/>
          <w:sz w:val="18"/>
          <w:szCs w:val="18"/>
        </w:rPr>
        <w:t xml:space="preserve">§18.1.d  </w:t>
      </w:r>
      <w:r>
        <w:rPr>
          <w:rFonts w:ascii="Garamond" w:cs="Garamond" w:eastAsia="Garamond" w:hAnsi="Garamond"/>
          <w:b/>
          <w:bCs/>
          <w:i w:val="false"/>
          <w:iCs w:val="false"/>
          <w:color w:val="1B2A4A"/>
          <w:sz w:val="22"/>
          <w:szCs w:val="22"/>
        </w:rPr>
        <w:t xml:space="preserve">Full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of the Digital Infrastructure Commission administers all electoral finance rules, reviews all disclosed contributions, publishes all disclosures to the NRS, and investigates suspected violations. The EI audits Elections Panel administration annually. Candidates who receive impermissible contributions must report them within 10 days and either return them or have them treated as undisclosed.</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are subject to conduct standards administered by the Elections Panel of the Digital Infrastructure Commission. These standards govern factual accuracy, media access, and foreign interference — not political content or viewpoint.</w:t>
      </w:r>
    </w:p>
    <w:p>
      <w:pPr>
        <w:spacing w:after="60" w:before="200"/>
        <w:ind w:left="431"/>
        <w:jc w:val="left"/>
      </w:pPr>
      <w:r>
        <w:rPr>
          <w:rFonts w:ascii="Courier New" w:cs="Courier New" w:eastAsia="Courier New" w:hAnsi="Courier New"/>
          <w:b/>
          <w:bCs/>
          <w:color w:val="1B2A4A"/>
          <w:sz w:val="18"/>
          <w:szCs w:val="18"/>
        </w:rPr>
        <w:t xml:space="preserve">§18.2.a  </w:t>
      </w:r>
      <w:r>
        <w:rPr>
          <w:rFonts w:ascii="Garamond" w:cs="Garamond" w:eastAsia="Garamond" w:hAnsi="Garamond"/>
          <w:b/>
          <w:bCs/>
          <w:i w:val="false"/>
          <w:iCs w:val="false"/>
          <w:color w:val="1B2A4A"/>
          <w:sz w:val="22"/>
          <w:szCs w:val="22"/>
        </w:rPr>
        <w:t xml:space="preserve">Campaign Conduct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431"/>
        <w:jc w:val="left"/>
      </w:pPr>
      <w:r>
        <w:rPr>
          <w:rFonts w:ascii="Courier New" w:cs="Courier New" w:eastAsia="Courier New" w:hAnsi="Courier New"/>
          <w:b/>
          <w:bCs/>
          <w:color w:val="1B2A4A"/>
          <w:sz w:val="18"/>
          <w:szCs w:val="18"/>
        </w:rPr>
        <w:t xml:space="preserve">§18.2.b  </w:t>
      </w:r>
      <w:r>
        <w:rPr>
          <w:rFonts w:ascii="Garamond" w:cs="Garamond" w:eastAsia="Garamond" w:hAnsi="Garamond"/>
          <w:b/>
          <w:bCs/>
          <w:i w:val="false"/>
          <w:iCs w:val="false"/>
          <w:color w:val="1B2A4A"/>
          <w:sz w:val="22"/>
          <w:szCs w:val="22"/>
        </w:rPr>
        <w:t xml:space="preserve">Media and Communication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Campaign communications must clearly identify their sponsor. Fabricated or deceptively edited communications about other candidates are a constitutional violation, not merely a campaign conduct infraction. The EC may require advance disclosure of paid media buys above a threshold defined by statute.</w:t>
      </w:r>
    </w:p>
    <w:p>
      <w:pPr>
        <w:spacing w:after="60" w:before="200"/>
        <w:ind w:left="431"/>
        <w:jc w:val="left"/>
      </w:pPr>
      <w:r>
        <w:rPr>
          <w:rFonts w:ascii="Courier New" w:cs="Courier New" w:eastAsia="Courier New" w:hAnsi="Courier New"/>
          <w:b/>
          <w:bCs/>
          <w:color w:val="1B2A4A"/>
          <w:sz w:val="18"/>
          <w:szCs w:val="18"/>
        </w:rPr>
        <w:t xml:space="preserve">§18.2.c  </w:t>
      </w:r>
      <w:r>
        <w:rPr>
          <w:rFonts w:ascii="Garamond" w:cs="Garamond" w:eastAsia="Garamond" w:hAnsi="Garamond"/>
          <w:b/>
          <w:bCs/>
          <w:i w:val="false"/>
          <w:iCs w:val="false"/>
          <w:color w:val="1B2A4A"/>
          <w:sz w:val="22"/>
          <w:szCs w:val="22"/>
        </w:rPr>
        <w:t xml:space="preserve">Foreign Interference Prohibition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Any attempt by a foreign government, foreign national, or foreign-controlled entity to influence a Republic election is a constitutional violation. The EI investigates and publishes findings. Candidates who knowingly accept foreign assistance — financial or operational — are disqualified from the election cycle in which the violation occurred.</w:t>
      </w:r>
    </w:p>
    <w:p>
      <w:pPr>
        <w:spacing w:after="60" w:before="200"/>
        <w:ind w:left="431"/>
        <w:jc w:val="left"/>
      </w:pPr>
      <w:r>
        <w:rPr>
          <w:rFonts w:ascii="Courier New" w:cs="Courier New" w:eastAsia="Courier New" w:hAnsi="Courier New"/>
          <w:b/>
          <w:bCs/>
          <w:color w:val="1B2A4A"/>
          <w:sz w:val="18"/>
          <w:szCs w:val="18"/>
        </w:rPr>
        <w:t xml:space="preserve">§18.2.d  </w:t>
      </w:r>
      <w:r>
        <w:rPr>
          <w:rFonts w:ascii="Garamond" w:cs="Garamond" w:eastAsia="Garamond" w:hAnsi="Garamond"/>
          <w:b/>
          <w:bCs/>
          <w:i w:val="false"/>
          <w:iCs w:val="false"/>
          <w:color w:val="1B2A4A"/>
          <w:sz w:val="22"/>
          <w:szCs w:val="22"/>
        </w:rPr>
        <w:t xml:space="preserve">Incumbent Advantage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Constitutional officeholders standing for election in a different race must observe strict separation between their official functions and their campaign. Official resources — staff, communications infrastructure, government platforms — may not be used for campaign purposes. The EI monitors compliance and publishes findings.</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a publicly funded campaign financing system as an alternative to private fundraising. Participation is voluntary; the system is structured to ensure candidates who participate can mount effective campaigns.</w:t>
      </w:r>
    </w:p>
    <w:p>
      <w:pPr>
        <w:spacing w:after="60" w:before="200"/>
        <w:ind w:left="431"/>
        <w:jc w:val="left"/>
      </w:pPr>
      <w:r>
        <w:rPr>
          <w:rFonts w:ascii="Courier New" w:cs="Courier New" w:eastAsia="Courier New" w:hAnsi="Courier New"/>
          <w:b/>
          <w:bCs/>
          <w:color w:val="1B2A4A"/>
          <w:sz w:val="18"/>
          <w:szCs w:val="18"/>
        </w:rPr>
        <w:t xml:space="preserve">§18.3.a  </w:t>
      </w:r>
      <w:r>
        <w:rPr>
          <w:rFonts w:ascii="Garamond" w:cs="Garamond" w:eastAsia="Garamond" w:hAnsi="Garamond"/>
          <w:b/>
          <w:bCs/>
          <w:i w:val="false"/>
          <w:iCs w:val="false"/>
          <w:color w:val="1B2A4A"/>
          <w:sz w:val="22"/>
          <w:szCs w:val="22"/>
        </w:rPr>
        <w:t xml:space="preserve">Public Financing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Consistent with §10.3.a, the public financing system provides all registered candidates with equal baseline funding. Candidates who accept public financing are subject to spending limits defined by statute. The EC administers disbursement; no allocation may advantage incumbents or established parties.</w:t>
      </w:r>
    </w:p>
    <w:p>
      <w:pPr>
        <w:spacing w:after="60" w:before="200"/>
        <w:ind w:left="431"/>
        <w:jc w:val="left"/>
      </w:pPr>
      <w:r>
        <w:rPr>
          <w:rFonts w:ascii="Courier New" w:cs="Courier New" w:eastAsia="Courier New" w:hAnsi="Courier New"/>
          <w:b/>
          <w:bCs/>
          <w:color w:val="1B2A4A"/>
          <w:sz w:val="18"/>
          <w:szCs w:val="18"/>
        </w:rPr>
        <w:t xml:space="preserve">§18.3.b  </w:t>
      </w:r>
      <w:r>
        <w:rPr>
          <w:rFonts w:ascii="Garamond" w:cs="Garamond" w:eastAsia="Garamond" w:hAnsi="Garamond"/>
          <w:b/>
          <w:bCs/>
          <w:i w:val="false"/>
          <w:iCs w:val="false"/>
          <w:color w:val="1B2A4A"/>
          <w:sz w:val="22"/>
          <w:szCs w:val="22"/>
        </w:rPr>
        <w:t xml:space="preserve">Matching Funds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by statute create a matching funds component providing additional public funds that match small contributions from citizens — amplifying the influence of small donors relative to large ones. Matching thresholds, caps, and ratios are defined by statute and must apply equally to all participating candidates.</w:t>
      </w:r>
    </w:p>
    <w:p>
      <w:pPr>
        <w:spacing w:after="60" w:before="200"/>
        <w:ind w:left="431"/>
        <w:jc w:val="left"/>
      </w:pPr>
      <w:r>
        <w:rPr>
          <w:rFonts w:ascii="Courier New" w:cs="Courier New" w:eastAsia="Courier New" w:hAnsi="Courier New"/>
          <w:b/>
          <w:bCs/>
          <w:color w:val="1B2A4A"/>
          <w:sz w:val="18"/>
          <w:szCs w:val="18"/>
        </w:rPr>
        <w:t xml:space="preserve">§18.3.c  </w:t>
      </w:r>
      <w:r>
        <w:rPr>
          <w:rFonts w:ascii="Garamond" w:cs="Garamond" w:eastAsia="Garamond" w:hAnsi="Garamond"/>
          <w:b/>
          <w:bCs/>
          <w:i w:val="false"/>
          <w:iCs w:val="false"/>
          <w:color w:val="1B2A4A"/>
          <w:sz w:val="22"/>
          <w:szCs w:val="22"/>
        </w:rPr>
        <w:t xml:space="preserve">EC Allocation of Public Funds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EC allocates public campaign funds based on objective criteria published before each election cycle. Allocation criteria may include: number of qualifying signatures, prior election performance, demonstrated candidacy viability. No criterion may favor incumbents or penalize first-time candidates on the basis of their outsider status.</w:t>
      </w:r>
    </w:p>
    <w:p>
      <w:pPr>
        <w:spacing w:after="60" w:before="200"/>
        <w:ind w:left="431"/>
        <w:jc w:val="left"/>
      </w:pPr>
      <w:r>
        <w:rPr>
          <w:rFonts w:ascii="Courier New" w:cs="Courier New" w:eastAsia="Courier New" w:hAnsi="Courier New"/>
          <w:b/>
          <w:bCs/>
          <w:color w:val="1B2A4A"/>
          <w:sz w:val="18"/>
          <w:szCs w:val="18"/>
        </w:rPr>
        <w:t xml:space="preserve">§18.3.d  </w:t>
      </w:r>
      <w:r>
        <w:rPr>
          <w:rFonts w:ascii="Garamond" w:cs="Garamond" w:eastAsia="Garamond" w:hAnsi="Garamond"/>
          <w:b/>
          <w:bCs/>
          <w:i w:val="false"/>
          <w:iCs w:val="false"/>
          <w:color w:val="1B2A4A"/>
          <w:sz w:val="22"/>
          <w:szCs w:val="22"/>
        </w:rPr>
        <w:t xml:space="preserve">Electoral Finance — Not Protected Speech</w:t>
      </w:r>
    </w:p>
    <w:p>
      <w:pPr>
        <w:spacing w:after="120" w:before="0"/>
        <w:ind w:left="431"/>
        <w:jc w:val="both"/>
      </w:pPr>
      <w:r>
        <w:rPr>
          <w:rFonts w:ascii="Garamond" w:cs="Garamond" w:eastAsia="Garamond" w:hAnsi="Garamond"/>
          <w:b w:val="false"/>
          <w:bCs w:val="false"/>
          <w:i w:val="false"/>
          <w:iCs w:val="false"/>
          <w:color w:val="2a2520"/>
          <w:sz w:val="22"/>
          <w:szCs w:val="22"/>
        </w:rPr>
        <w:t xml:space="preserve">Financial contributions to electoral campaigns are not constitutionally protected speech under §1.5, and are not protected as associational activity under §1.8. The regulation of electoral finance is a matter of democratic integrity explicitly reserved from both speech and associational protection.</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The Activation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431"/>
        <w:jc w:val="left"/>
      </w:pPr>
      <w:r>
        <w:rPr>
          <w:rFonts w:ascii="Courier New" w:cs="Courier New" w:eastAsia="Courier New" w:hAnsi="Courier New"/>
          <w:b/>
          <w:bCs/>
          <w:color w:val="1B2A4A"/>
          <w:sz w:val="18"/>
          <w:szCs w:val="18"/>
        </w:rPr>
        <w:t xml:space="preserve">§19.1.a  </w:t>
      </w:r>
      <w:r>
        <w:rPr>
          <w:rFonts w:ascii="Garamond" w:cs="Garamond" w:eastAsia="Garamond" w:hAnsi="Garamond"/>
          <w:b/>
          <w:bCs/>
          <w:i w:val="false"/>
          <w:iCs w:val="false"/>
          <w:color w:val="1B2A4A"/>
          <w:sz w:val="22"/>
          <w:szCs w:val="22"/>
        </w:rPr>
        <w:t xml:space="preserve">Activation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431"/>
        <w:jc w:val="left"/>
      </w:pPr>
      <w:r>
        <w:rPr>
          <w:rFonts w:ascii="Courier New" w:cs="Courier New" w:eastAsia="Courier New" w:hAnsi="Courier New"/>
          <w:b/>
          <w:bCs/>
          <w:color w:val="1B2A4A"/>
          <w:sz w:val="18"/>
          <w:szCs w:val="18"/>
        </w:rPr>
        <w:t xml:space="preserve">§19.1.b  </w:t>
      </w:r>
      <w:r>
        <w:rPr>
          <w:rFonts w:ascii="Garamond" w:cs="Garamond" w:eastAsia="Garamond" w:hAnsi="Garamond"/>
          <w:b/>
          <w:bCs/>
          <w:i w:val="false"/>
          <w:iCs w:val="false"/>
          <w:color w:val="1B2A4A"/>
          <w:sz w:val="22"/>
          <w:szCs w:val="22"/>
        </w:rPr>
        <w:t xml:space="preserve">Institutional Accommodation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431"/>
        <w:jc w:val="left"/>
      </w:pPr>
      <w:r>
        <w:rPr>
          <w:rFonts w:ascii="Courier New" w:cs="Courier New" w:eastAsia="Courier New" w:hAnsi="Courier New"/>
          <w:b/>
          <w:bCs/>
          <w:color w:val="1B2A4A"/>
          <w:sz w:val="18"/>
          <w:szCs w:val="18"/>
        </w:rPr>
        <w:t xml:space="preserve">§19.1.c  </w:t>
      </w:r>
      <w:r>
        <w:rPr>
          <w:rFonts w:ascii="Garamond" w:cs="Garamond" w:eastAsia="Garamond" w:hAnsi="Garamond"/>
          <w:b/>
          <w:bCs/>
          <w:i w:val="false"/>
          <w:iCs w:val="false"/>
          <w:color w:val="1B2A4A"/>
          <w:sz w:val="22"/>
          <w:szCs w:val="22"/>
        </w:rPr>
        <w:t xml:space="preserve">Multi-Founder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 The Transition Window is the outer legal boundary for transition-related authorities. Phase 4 activates when the phases are complete, which will ordinarily precede the window's expiry; the remaining window provides a defined period for outstanding transition administration, legal continuity, and institutional stabilization.</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The Four-Phase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is implemented through a 24-month, four-phase transition process established in §19.3.a through §19.3.e.</w:t>
      </w:r>
    </w:p>
    <w:p>
      <w:pPr>
        <w:spacing w:after="60" w:before="200"/>
        <w:ind w:left="431"/>
        <w:jc w:val="left"/>
      </w:pPr>
      <w:r>
        <w:rPr>
          <w:rFonts w:ascii="Courier New" w:cs="Courier New" w:eastAsia="Courier New" w:hAnsi="Courier New"/>
          <w:b/>
          <w:bCs/>
          <w:color w:val="1B2A4A"/>
          <w:sz w:val="18"/>
          <w:szCs w:val="18"/>
        </w:rPr>
        <w:t xml:space="preserve">§19.3.a  </w:t>
      </w:r>
      <w:r>
        <w:rPr>
          <w:rFonts w:ascii="Garamond" w:cs="Garamond" w:eastAsia="Garamond" w:hAnsi="Garamond"/>
          <w:b/>
          <w:bCs/>
          <w:i w:val="false"/>
          <w:iCs w:val="false"/>
          <w:color w:val="1B2A4A"/>
          <w:sz w:val="22"/>
          <w:szCs w:val="22"/>
        </w:rPr>
        <w:t xml:space="preserve">Phase 0 — Pre-Ratification Preparation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Phase 0 is the pre-ratification preparation period. The interim Elections Panel of the Digital Infrastructure Commission is constituted, the National Voting System is certified operational, and the joint Inspectorate panel is formed — all before any ratification vote occurs.</w:t>
      </w:r>
    </w:p>
    <w:p>
      <w:pPr>
        <w:spacing w:after="60" w:before="200"/>
        <w:ind w:left="431"/>
        <w:jc w:val="left"/>
      </w:pPr>
      <w:r>
        <w:rPr>
          <w:rFonts w:ascii="Courier New" w:cs="Courier New" w:eastAsia="Courier New" w:hAnsi="Courier New"/>
          <w:b/>
          <w:bCs/>
          <w:color w:val="1B2A4A"/>
          <w:sz w:val="18"/>
          <w:szCs w:val="18"/>
        </w:rPr>
        <w:t xml:space="preserve">§19.3.b  </w:t>
      </w:r>
      <w:r>
        <w:rPr>
          <w:rFonts w:ascii="Garamond" w:cs="Garamond" w:eastAsia="Garamond" w:hAnsi="Garamond"/>
          <w:b/>
          <w:bCs/>
          <w:i w:val="false"/>
          <w:iCs w:val="false"/>
          <w:color w:val="1B2A4A"/>
          <w:sz w:val="22"/>
          <w:szCs w:val="22"/>
        </w:rPr>
        <w:t xml:space="preserve">Phase 1 — Emergency Stabilization (Days 1–90)</w:t>
      </w:r>
    </w:p>
    <w:p>
      <w:pPr>
        <w:spacing w:after="120" w:before="0"/>
        <w:ind w:left="431"/>
        <w:jc w:val="both"/>
      </w:pPr>
      <w:r>
        <w:rPr>
          <w:rFonts w:ascii="Garamond" w:cs="Garamond" w:eastAsia="Garamond" w:hAnsi="Garamond"/>
          <w:b w:val="false"/>
          <w:bCs w:val="false"/>
          <w:i w:val="false"/>
          <w:iCs w:val="false"/>
          <w:color w:val="2a2520"/>
          <w:sz w:val="22"/>
          <w:szCs w:val="22"/>
        </w:rPr>
        <w:t xml:space="preserve">Existing government officials serve as caretakers under §19.4. The joint Inspectorate panel assumes oversight. The NRS begins recording all government acts. Priority functions: social state system continuity under §10.1, public safety, and essential services. No new permanent legislation.</w:t>
      </w:r>
    </w:p>
    <w:p>
      <w:pPr>
        <w:spacing w:after="60" w:before="200"/>
        <w:ind w:left="431"/>
        <w:jc w:val="left"/>
      </w:pPr>
      <w:r>
        <w:rPr>
          <w:rFonts w:ascii="Courier New" w:cs="Courier New" w:eastAsia="Courier New" w:hAnsi="Courier New"/>
          <w:b/>
          <w:bCs/>
          <w:color w:val="1B2A4A"/>
          <w:sz w:val="18"/>
          <w:szCs w:val="18"/>
        </w:rPr>
        <w:t xml:space="preserve">§19.3.c  </w:t>
      </w:r>
      <w:r>
        <w:rPr>
          <w:rFonts w:ascii="Garamond" w:cs="Garamond" w:eastAsia="Garamond" w:hAnsi="Garamond"/>
          <w:b/>
          <w:bCs/>
          <w:i w:val="false"/>
          <w:iCs w:val="false"/>
          <w:color w:val="1B2A4A"/>
          <w:sz w:val="22"/>
          <w:szCs w:val="22"/>
        </w:rPr>
        <w:t xml:space="preserve">Phase 2 — Institutional Construction (Days 91–270)</w:t>
      </w:r>
    </w:p>
    <w:p>
      <w:pPr>
        <w:spacing w:after="120" w:before="0"/>
        <w:ind w:left="431"/>
        <w:jc w:val="both"/>
      </w:pPr>
      <w:r>
        <w:rPr>
          <w:rFonts w:ascii="Garamond" w:cs="Garamond" w:eastAsia="Garamond" w:hAnsi="Garamond"/>
          <w:b w:val="false"/>
          <w:bCs w:val="false"/>
          <w:i w:val="false"/>
          <w:iCs w:val="false"/>
          <w:color w:val="2a2520"/>
          <w:sz w:val="22"/>
          <w:szCs w:val="22"/>
        </w:rPr>
        <w:t xml:space="preserve">Phase 2 (Days 91–270) is Institutional Construction. Statehood Audits are conducted for all entering territories. Inspectorates are formally constituted. The Candidate Register for MA board members and the NRS Panel administrators of the Digital Infrastructure Commission are appointed. Digital Infrastructure Commission Elections Panel is certified as operational. The National Voting System is fully deployed for citizen registration. Phase 2 ends at Day 270.</w:t>
      </w:r>
    </w:p>
    <w:p>
      <w:pPr>
        <w:spacing w:after="60" w:before="200"/>
        <w:ind w:left="431"/>
        <w:jc w:val="left"/>
      </w:pPr>
      <w:r>
        <w:rPr>
          <w:rFonts w:ascii="Courier New" w:cs="Courier New" w:eastAsia="Courier New" w:hAnsi="Courier New"/>
          <w:b/>
          <w:bCs/>
          <w:color w:val="1B2A4A"/>
          <w:sz w:val="18"/>
          <w:szCs w:val="18"/>
        </w:rPr>
        <w:t xml:space="preserve">§19.3.d  </w:t>
      </w:r>
      <w:r>
        <w:rPr>
          <w:rFonts w:ascii="Garamond" w:cs="Garamond" w:eastAsia="Garamond" w:hAnsi="Garamond"/>
          <w:b/>
          <w:bCs/>
          <w:i w:val="false"/>
          <w:iCs w:val="false"/>
          <w:color w:val="1B2A4A"/>
          <w:sz w:val="22"/>
          <w:szCs w:val="22"/>
        </w:rPr>
        <w:t xml:space="preserve">Phase 3 — First Elections (Days 271–450)</w:t>
      </w:r>
    </w:p>
    <w:p>
      <w:pPr>
        <w:spacing w:after="120" w:before="0"/>
        <w:ind w:left="431"/>
        <w:jc w:val="both"/>
      </w:pPr>
      <w:r>
        <w:rPr>
          <w:rFonts w:ascii="Garamond" w:cs="Garamond" w:eastAsia="Garamond" w:hAnsi="Garamond"/>
          <w:b w:val="false"/>
          <w:bCs w:val="false"/>
          <w:i w:val="false"/>
          <w:iCs w:val="false"/>
          <w:color w:val="2a2520"/>
          <w:sz w:val="22"/>
          <w:szCs w:val="22"/>
        </w:rPr>
        <w:t xml:space="preserve">Phase 3 (Days 271-450) is First Elections. The first National Election Day. Supreme Court justices nominated by the PM and confirmed by the Senate under §4.2.d and §4.2.h. Elections Panel of the Digital Infrastructure Commission inaugural elections. Phase 3 ends when the first the Legislature is sworn in and the first executives take office — the moment at which the Republic's constitutional design becomes self-sustaining.</w:t>
      </w:r>
    </w:p>
    <w:p>
      <w:pPr>
        <w:spacing w:after="60" w:before="200"/>
        <w:ind w:left="431"/>
        <w:jc w:val="left"/>
      </w:pPr>
      <w:r>
        <w:rPr>
          <w:rFonts w:ascii="Courier New" w:cs="Courier New" w:eastAsia="Courier New" w:hAnsi="Courier New"/>
          <w:b/>
          <w:bCs/>
          <w:color w:val="1B2A4A"/>
          <w:sz w:val="18"/>
          <w:szCs w:val="18"/>
        </w:rPr>
        <w:t xml:space="preserve">§19.3.e  </w:t>
      </w:r>
      <w:r>
        <w:rPr>
          <w:rFonts w:ascii="Garamond" w:cs="Garamond" w:eastAsia="Garamond" w:hAnsi="Garamond"/>
          <w:b/>
          <w:bCs/>
          <w:i w:val="false"/>
          <w:iCs w:val="false"/>
          <w:color w:val="1B2A4A"/>
          <w:sz w:val="22"/>
          <w:szCs w:val="22"/>
        </w:rPr>
        <w:t xml:space="preserve">Phase 4 — Full Constitutional Operation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Beginning the day the first Legislature convenes and the first executives take the constitutional oath. From Phase 4, all constitutional provisions are fully operative. The 24-month Transition Window concludes at the end of Phase 4.</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not a discretionary choice.</w:t>
      </w:r>
    </w:p>
    <w:p>
      <w:pPr>
        <w:spacing w:after="60" w:before="200"/>
        <w:ind w:left="431"/>
        <w:jc w:val="left"/>
      </w:pPr>
      <w:r>
        <w:rPr>
          <w:rFonts w:ascii="Courier New" w:cs="Courier New" w:eastAsia="Courier New" w:hAnsi="Courier New"/>
          <w:b/>
          <w:bCs/>
          <w:color w:val="1B2A4A"/>
          <w:sz w:val="18"/>
          <w:szCs w:val="18"/>
        </w:rPr>
        <w:t xml:space="preserve">§19.6.a  </w:t>
      </w:r>
      <w:r>
        <w:rPr>
          <w:rFonts w:ascii="Garamond" w:cs="Garamond" w:eastAsia="Garamond" w:hAnsi="Garamond"/>
          <w:b/>
          <w:bCs/>
          <w:i w:val="false"/>
          <w:iCs w:val="false"/>
          <w:color w:val="1B2A4A"/>
          <w:sz w:val="22"/>
          <w:szCs w:val="22"/>
        </w:rPr>
        <w:t xml:space="preserve">Debt Assumption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431"/>
        <w:jc w:val="left"/>
      </w:pPr>
      <w:r>
        <w:rPr>
          <w:rFonts w:ascii="Courier New" w:cs="Courier New" w:eastAsia="Courier New" w:hAnsi="Courier New"/>
          <w:b/>
          <w:bCs/>
          <w:color w:val="1B2A4A"/>
          <w:sz w:val="18"/>
          <w:szCs w:val="18"/>
        </w:rPr>
        <w:t xml:space="preserve">§19.6.b  </w:t>
      </w:r>
      <w:r>
        <w:rPr>
          <w:rFonts w:ascii="Garamond" w:cs="Garamond" w:eastAsia="Garamond" w:hAnsi="Garamond"/>
          <w:b/>
          <w:bCs/>
          <w:i w:val="false"/>
          <w:iCs w:val="false"/>
          <w:color w:val="1B2A4A"/>
          <w:sz w:val="22"/>
          <w:szCs w:val="22"/>
        </w:rPr>
        <w:t xml:space="preserve">Active Military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431"/>
        <w:jc w:val="left"/>
      </w:pPr>
      <w:r>
        <w:rPr>
          <w:rFonts w:ascii="Courier New" w:cs="Courier New" w:eastAsia="Courier New" w:hAnsi="Courier New"/>
          <w:b/>
          <w:bCs/>
          <w:color w:val="1B2A4A"/>
          <w:sz w:val="18"/>
          <w:szCs w:val="18"/>
        </w:rPr>
        <w:t xml:space="preserve">§19.6.c  </w:t>
      </w:r>
      <w:r>
        <w:rPr>
          <w:rFonts w:ascii="Garamond" w:cs="Garamond" w:eastAsia="Garamond" w:hAnsi="Garamond"/>
          <w:b/>
          <w:bCs/>
          <w:i w:val="false"/>
          <w:iCs w:val="false"/>
          <w:color w:val="1B2A4A"/>
          <w:sz w:val="22"/>
          <w:szCs w:val="22"/>
        </w:rPr>
        <w:t xml:space="preserve">Social Insurance Programs</w:t>
      </w:r>
    </w:p>
    <w:p>
      <w:pPr>
        <w:spacing w:after="120" w:before="0"/>
        <w:ind w:left="431"/>
        <w:jc w:val="both"/>
      </w:pPr>
      <w:r>
        <w:rPr>
          <w:rFonts w:ascii="Garamond" w:cs="Garamond" w:eastAsia="Garamond" w:hAnsi="Garamond"/>
          <w:b w:val="false"/>
          <w:bCs w:val="false"/>
          <w:i w:val="false"/>
          <w:iCs w:val="false"/>
          <w:color w:val="2a2520"/>
          <w:sz w:val="22"/>
          <w:szCs w:val="22"/>
        </w:rPr>
        <w:t xml:space="preserve">Retirement pensions, disability benefits, health coverage — of the prior government continue uninterrupted during the Transition Window. The Republic does not create a gap in social protection as part of its founding.</w:t>
      </w:r>
    </w:p>
    <w:p>
      <w:pPr>
        <w:spacing w:after="60" w:before="200"/>
        <w:ind w:left="431"/>
        <w:jc w:val="left"/>
      </w:pPr>
      <w:r>
        <w:rPr>
          <w:rFonts w:ascii="Courier New" w:cs="Courier New" w:eastAsia="Courier New" w:hAnsi="Courier New"/>
          <w:b/>
          <w:bCs/>
          <w:color w:val="1B2A4A"/>
          <w:sz w:val="18"/>
          <w:szCs w:val="18"/>
        </w:rPr>
        <w:t xml:space="preserve">§19.6.d  </w:t>
      </w:r>
      <w:r>
        <w:rPr>
          <w:rFonts w:ascii="Garamond" w:cs="Garamond" w:eastAsia="Garamond" w:hAnsi="Garamond"/>
          <w:b/>
          <w:bCs/>
          <w:i w:val="false"/>
          <w:iCs w:val="false"/>
          <w:color w:val="1B2A4A"/>
          <w:sz w:val="22"/>
          <w:szCs w:val="22"/>
        </w:rPr>
        <w:t xml:space="preserve">Veterans and National Service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431"/>
        <w:jc w:val="left"/>
      </w:pPr>
      <w:r>
        <w:rPr>
          <w:rFonts w:ascii="Courier New" w:cs="Courier New" w:eastAsia="Courier New" w:hAnsi="Courier New"/>
          <w:b/>
          <w:bCs/>
          <w:color w:val="1B2A4A"/>
          <w:sz w:val="18"/>
          <w:szCs w:val="18"/>
        </w:rPr>
        <w:t xml:space="preserve">§19.6.e  </w:t>
      </w:r>
      <w:r>
        <w:rPr>
          <w:rFonts w:ascii="Garamond" w:cs="Garamond" w:eastAsia="Garamond" w:hAnsi="Garamond"/>
          <w:b/>
          <w:bCs/>
          <w:i w:val="false"/>
          <w:iCs w:val="false"/>
          <w:color w:val="1B2A4A"/>
          <w:sz w:val="22"/>
          <w:szCs w:val="22"/>
        </w:rPr>
        <w:t xml:space="preserve">Constitutional Claims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§19.6.f  </w:t>
      </w:r>
      <w:r>
        <w:rPr>
          <w:rFonts w:ascii="Garamond" w:cs="Garamond" w:eastAsia="Garamond" w:hAnsi="Garamond"/>
          <w:b/>
          <w:bCs/>
          <w:i w:val="false"/>
          <w:iCs w:val="false"/>
          <w:color w:val="1B2A4A"/>
          <w:sz w:val="22"/>
          <w:szCs w:val="22"/>
        </w:rPr>
        <w:t xml:space="preserve">Legal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Transition-Period Territory and Subdivision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transition period provides specific mechanisms for territories seeking statehood and for prior-government states seeking subdivision. These mechanisms operate alongside the standard Phase structure and do not delay Phase activation.</w:t>
      </w:r>
    </w:p>
    <w:p>
      <w:pPr>
        <w:spacing w:after="60" w:before="200"/>
        <w:ind w:left="431"/>
        <w:jc w:val="left"/>
      </w:pPr>
      <w:r>
        <w:rPr>
          <w:rFonts w:ascii="Courier New" w:cs="Courier New" w:eastAsia="Courier New" w:hAnsi="Courier New"/>
          <w:b/>
          <w:bCs/>
          <w:color w:val="1B2A4A"/>
          <w:sz w:val="18"/>
          <w:szCs w:val="18"/>
        </w:rPr>
        <w:t xml:space="preserve">§19.7.a  </w:t>
      </w:r>
      <w:r>
        <w:rPr>
          <w:rFonts w:ascii="Garamond" w:cs="Garamond" w:eastAsia="Garamond" w:hAnsi="Garamond"/>
          <w:b/>
          <w:bCs/>
          <w:i w:val="false"/>
          <w:iCs w:val="false"/>
          <w:color w:val="1B2A4A"/>
          <w:sz w:val="22"/>
          <w:szCs w:val="22"/>
        </w:rPr>
        <w:t xml:space="preserve">Transition-Period Territorial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431"/>
        <w:jc w:val="left"/>
      </w:pPr>
      <w:r>
        <w:rPr>
          <w:rFonts w:ascii="Courier New" w:cs="Courier New" w:eastAsia="Courier New" w:hAnsi="Courier New"/>
          <w:b/>
          <w:bCs/>
          <w:color w:val="1B2A4A"/>
          <w:sz w:val="18"/>
          <w:szCs w:val="18"/>
        </w:rPr>
        <w:t xml:space="preserve">§19.7.b  </w:t>
      </w:r>
      <w:r>
        <w:rPr>
          <w:rFonts w:ascii="Garamond" w:cs="Garamond" w:eastAsia="Garamond" w:hAnsi="Garamond"/>
          <w:b/>
          <w:bCs/>
          <w:i w:val="false"/>
          <w:iCs w:val="false"/>
          <w:color w:val="1B2A4A"/>
          <w:sz w:val="22"/>
          <w:szCs w:val="22"/>
        </w:rPr>
        <w:t xml:space="preserve">Subdivision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431"/>
        <w:jc w:val="left"/>
      </w:pPr>
      <w:r>
        <w:rPr>
          <w:rFonts w:ascii="Courier New" w:cs="Courier New" w:eastAsia="Courier New" w:hAnsi="Courier New"/>
          <w:b/>
          <w:bCs/>
          <w:color w:val="1B2A4A"/>
          <w:sz w:val="18"/>
          <w:szCs w:val="18"/>
        </w:rPr>
        <w:t xml:space="preserve">§19.7.c  </w:t>
      </w:r>
      <w:r>
        <w:rPr>
          <w:rFonts w:ascii="Garamond" w:cs="Garamond" w:eastAsia="Garamond" w:hAnsi="Garamond"/>
          <w:b/>
          <w:bCs/>
          <w:i w:val="false"/>
          <w:iCs w:val="false"/>
          <w:color w:val="1B2A4A"/>
          <w:sz w:val="22"/>
          <w:szCs w:val="22"/>
        </w:rPr>
        <w:t xml:space="preserve">Phase 2 Statehood Audit Failures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431"/>
        <w:jc w:val="left"/>
      </w:pPr>
      <w:r>
        <w:rPr>
          <w:rFonts w:ascii="Courier New" w:cs="Courier New" w:eastAsia="Courier New" w:hAnsi="Courier New"/>
          <w:b/>
          <w:bCs/>
          <w:color w:val="1B2A4A"/>
          <w:sz w:val="18"/>
          <w:szCs w:val="18"/>
        </w:rPr>
        <w:t xml:space="preserve">§19.7.d  </w:t>
      </w:r>
      <w:r>
        <w:rPr>
          <w:rFonts w:ascii="Garamond" w:cs="Garamond" w:eastAsia="Garamond" w:hAnsi="Garamond"/>
          <w:b/>
          <w:bCs/>
          <w:i w:val="false"/>
          <w:iCs w:val="false"/>
          <w:color w:val="1B2A4A"/>
          <w:sz w:val="22"/>
          <w:szCs w:val="22"/>
        </w:rPr>
        <w:t xml:space="preserve">Pre-Existing Territories and the District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431"/>
        <w:jc w:val="left"/>
      </w:pPr>
      <w:r>
        <w:rPr>
          <w:rFonts w:ascii="Courier New" w:cs="Courier New" w:eastAsia="Courier New" w:hAnsi="Courier New"/>
          <w:b/>
          <w:bCs/>
          <w:color w:val="1B2A4A"/>
          <w:sz w:val="18"/>
          <w:szCs w:val="18"/>
        </w:rPr>
        <w:t xml:space="preserve">§19.8.a  </w:t>
      </w:r>
      <w:r>
        <w:rPr>
          <w:rFonts w:ascii="Garamond" w:cs="Garamond" w:eastAsia="Garamond" w:hAnsi="Garamond"/>
          <w:b/>
          <w:bCs/>
          <w:i w:val="false"/>
          <w:iCs w:val="false"/>
          <w:color w:val="1B2A4A"/>
          <w:sz w:val="22"/>
          <w:szCs w:val="22"/>
        </w:rPr>
        <w:t xml:space="preserve">Initial Register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During Phase 2, the joint Inspectorate panel assembles an initial Candidate Register for the MA board members and NRS Panel administrators.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431"/>
        <w:jc w:val="left"/>
      </w:pPr>
      <w:r>
        <w:rPr>
          <w:rFonts w:ascii="Courier New" w:cs="Courier New" w:eastAsia="Courier New" w:hAnsi="Courier New"/>
          <w:b/>
          <w:bCs/>
          <w:color w:val="1B2A4A"/>
          <w:sz w:val="18"/>
          <w:szCs w:val="18"/>
        </w:rPr>
        <w:t xml:space="preserve">§19.8.b  </w:t>
      </w:r>
      <w:r>
        <w:rPr>
          <w:rFonts w:ascii="Garamond" w:cs="Garamond" w:eastAsia="Garamond" w:hAnsi="Garamond"/>
          <w:b/>
          <w:bCs/>
          <w:i w:val="false"/>
          <w:iCs w:val="false"/>
          <w:color w:val="1B2A4A"/>
          <w:sz w:val="22"/>
          <w:szCs w:val="22"/>
        </w:rPr>
        <w:t xml:space="preserve">Interim Functions and First Nomination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NRS Panel administrators within 180 days.</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constitutional answer to how a new Republic deals with the wrongs of what it replaced.</w:t>
      </w:r>
    </w:p>
    <w:p>
      <w:pPr>
        <w:spacing w:after="60" w:before="200"/>
        <w:ind w:left="431"/>
        <w:jc w:val="left"/>
      </w:pPr>
      <w:r>
        <w:rPr>
          <w:rFonts w:ascii="Courier New" w:cs="Courier New" w:eastAsia="Courier New" w:hAnsi="Courier New"/>
          <w:b/>
          <w:bCs/>
          <w:color w:val="1B2A4A"/>
          <w:sz w:val="18"/>
          <w:szCs w:val="18"/>
        </w:rPr>
        <w:t xml:space="preserve">§19.9.a  </w:t>
      </w:r>
      <w:r>
        <w:rPr>
          <w:rFonts w:ascii="Garamond" w:cs="Garamond" w:eastAsia="Garamond" w:hAnsi="Garamond"/>
          <w:b/>
          <w:bCs/>
          <w:i w:val="false"/>
          <w:iCs w:val="false"/>
          <w:color w:val="1B2A4A"/>
          <w:sz w:val="22"/>
          <w:szCs w:val="22"/>
        </w:rPr>
        <w:t xml:space="preserve">TAM Establishment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w:t>
      </w:r>
    </w:p>
    <w:p>
      <w:pPr>
        <w:spacing w:after="60" w:before="200"/>
        <w:ind w:left="431"/>
        <w:jc w:val="left"/>
      </w:pPr>
      <w:r>
        <w:rPr>
          <w:rFonts w:ascii="Courier New" w:cs="Courier New" w:eastAsia="Courier New" w:hAnsi="Courier New"/>
          <w:b/>
          <w:bCs/>
          <w:color w:val="1B2A4A"/>
          <w:sz w:val="18"/>
          <w:szCs w:val="18"/>
        </w:rPr>
        <w:t xml:space="preserve">§19.9.b  </w:t>
      </w:r>
      <w:r>
        <w:rPr>
          <w:rFonts w:ascii="Garamond" w:cs="Garamond" w:eastAsia="Garamond" w:hAnsi="Garamond"/>
          <w:b/>
          <w:bCs/>
          <w:i w:val="false"/>
          <w:iCs w:val="false"/>
          <w:color w:val="1B2A4A"/>
          <w:sz w:val="22"/>
          <w:szCs w:val="22"/>
        </w:rPr>
        <w:t xml:space="preserve">TAM Amendment and Successor Bar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431"/>
        <w:jc w:val="left"/>
      </w:pPr>
      <w:r>
        <w:rPr>
          <w:rFonts w:ascii="Courier New" w:cs="Courier New" w:eastAsia="Courier New" w:hAnsi="Courier New"/>
          <w:b/>
          <w:bCs/>
          <w:color w:val="1B2A4A"/>
          <w:sz w:val="18"/>
          <w:szCs w:val="18"/>
        </w:rPr>
        <w:t xml:space="preserve">§19.9.c  </w:t>
      </w:r>
      <w:r>
        <w:rPr>
          <w:rFonts w:ascii="Garamond" w:cs="Garamond" w:eastAsia="Garamond" w:hAnsi="Garamond"/>
          <w:b/>
          <w:bCs/>
          <w:i w:val="false"/>
          <w:iCs w:val="false"/>
          <w:color w:val="1B2A4A"/>
          <w:sz w:val="22"/>
          <w:szCs w:val="22"/>
        </w:rPr>
        <w:t xml:space="preserve">TAM Jurisdiction and Publication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200"/>
        <w:ind w:left="431"/>
        <w:jc w:val="left"/>
      </w:pPr>
      <w:r>
        <w:rPr>
          <w:rFonts w:ascii="Courier New" w:cs="Courier New" w:eastAsia="Courier New" w:hAnsi="Courier New"/>
          <w:b/>
          <w:bCs/>
          <w:color w:val="1B2A4A"/>
          <w:sz w:val="18"/>
          <w:szCs w:val="18"/>
        </w:rPr>
        <w:t xml:space="preserve">§19.9.d  </w:t>
      </w:r>
      <w:r>
        <w:rPr>
          <w:rFonts w:ascii="Garamond" w:cs="Garamond" w:eastAsia="Garamond" w:hAnsi="Garamond"/>
          <w:b/>
          <w:bCs/>
          <w:i w:val="false"/>
          <w:iCs w:val="false"/>
          <w:color w:val="1B2A4A"/>
          <w:sz w:val="22"/>
          <w:szCs w:val="22"/>
        </w:rPr>
        <w:t xml:space="preserve">TAM Sunset and Rationale</w:t>
      </w:r>
    </w:p>
    <w:p>
      <w:pPr>
        <w:spacing w:after="120" w:before="0"/>
        <w:ind w:left="431"/>
        <w:jc w:val="both"/>
      </w:pPr>
      <w:r>
        <w:rPr>
          <w:rFonts w:ascii="Garamond" w:cs="Garamond" w:eastAsia="Garamond" w:hAnsi="Garamond"/>
          <w:b w:val="false"/>
          <w:bCs w:val="false"/>
          <w:i w:val="false"/>
          <w:iCs w:val="false"/>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nations that have completed the independence process under §13.9.a and §13.4, to independent nations outside the Republic seeking a defined relationship, or to nations recognised as pre-existing sovereigns under Article XIV.</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authorise, or systematically permit violations of any of the six non-derogable rights established in §1.26.b to any person within its jurisdiction. The Judicial Inspectorate certifies compliance with this condition before parliamentary ratification of any compact; a compact negotiated with a non-compliant entity is void regardless of parliamentary ratification. The JI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period the Legislature defines by statute.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During suspension, both parties' obligations under the compact continue in effect pending the SC's determination; the Associated Community's observer delegate rights are suspended for the duration of the review.</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Republic receives written notice of termination,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§3.2.e. Both executives must transmit the proposed compact to the Senate simultaneously with a joint assessment of its consistency with this Article. The JI certification under §20.3 must be published to the NRS before the Senate may hold a ratification vote.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2026-05-22T15:34:55.648Z</dcterms:created>
  <dcterms:modified xsi:type="dcterms:W3CDTF">2026-05-22T15:34:55.660Z</dcterms:modified>
</cp:coreProperties>
</file>

<file path=docProps/custom.xml><?xml version="1.0" encoding="utf-8"?>
<Properties xmlns="http://schemas.openxmlformats.org/officeDocument/2006/custom-properties" xmlns:vt="http://schemas.openxmlformats.org/officeDocument/2006/docPropsVTypes"/>
</file>