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If the Assembly does not elect a Civic Consul within that period, the Civic Consul designates a Caretaker Civic Consul from the confirmed ministers;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Caretaker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Caretaker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Where the Monitor Generals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