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JM’s ongoing audit of the Elections Panel encompasses the administration of each agency director pool; audit findings confirming pool status are published to the NRS. The Civic Consul nominates the agency director from the pool only; a nomination outside the pool is constitutionally void. The Senate confirms by 2/3 supermajority within 90 days of nomination;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is reportable by the other two Monitors.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campaign financing system established under §8.3 is a constitutional mandate.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