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2A4A"/>
          <w:sz w:val="52"/>
          <w:szCs w:val="52"/>
        </w:rPr>
        <w:t>THE CONSTITUTION OF THE FEDERATED REPUBLIC</w:t>
      </w:r>
    </w:p>
    <w:p>
      <w:pPr>
        <w:pBdr>
          <w:bottom w:val="single" w:color="1B2A4A" w:sz="6" w:space="1"/>
        </w:pBdr>
        <w:spacing w:after="120" w:before="120"/>
      </w:pPr>
    </w:p>
    <w:p>
      <w:pPr>
        <w:spacing w:after="60" w:before="60"/>
      </w:pPr>
      <w:r>
        <w:rPr>
          <w:rFonts w:ascii="Arial" w:cs="Arial" w:eastAsia="Arial" w:hAnsi="Arial"/>
          <w:i/>
          <w:iCs/>
          <w:color w:val="000000"/>
          <w:sz w:val="22"/>
          <w:szCs w:val="22"/>
        </w:rPr>
        <w:t>A Constitutional Framework for Sovereign Governance — Rights, Powers, and Limits</w:t>
      </w:r>
    </w:p>
    <w:p>
      <w:pPr>
        <w:spacing w:after="0" w:before="240"/>
      </w:pPr>
      <w:r>
        <w:t xml:space="preserve"/>
      </w:r>
    </w:p>
    <w:p>
      <w:pPr>
        <w:pStyle w:val="Heading1"/>
        <w:spacing w:after="120" w:before="360"/>
      </w:pPr>
      <w:r>
        <w:rPr>
          <w:rFonts w:ascii="Arial" w:cs="Arial" w:eastAsia="Arial" w:hAnsi="Arial"/>
          <w:b/>
          <w:bCs/>
          <w:color w:val="1B2A4A"/>
          <w:sz w:val="32"/>
          <w:szCs w:val="32"/>
        </w:rPr>
        <w:t>PREAMBLE</w:t>
      </w:r>
    </w:p>
    <w:p>
      <w:pPr>
        <w:spacing w:after="60" w:before="60"/>
      </w:pPr>
      <w:r>
        <w:rPr>
          <w:rFonts w:ascii="Arial" w:cs="Arial" w:eastAsia="Arial" w:hAnsi="Arial"/>
          <w:color w:val="000000"/>
          <w:sz w:val="22"/>
          <w:szCs w:val="22"/>
        </w:rPr>
        <w:t>We, the inhabitants of the Federated Republic, knowing that power unchecked becomes tyranny and that rights unprotected become hollow, do ordain and establish this Constitution.</w:t>
      </w:r>
    </w:p>
    <w:p>
      <w:pPr>
        <w:spacing w:after="60" w:before="60"/>
      </w:pPr>
      <w:r>
        <w:rPr>
          <w:rFonts w:ascii="Arial" w:cs="Arial" w:eastAsia="Arial" w:hAnsi="Arial"/>
          <w:color w:val="000000"/>
          <w:sz w:val="22"/>
          <w:szCs w:val="22"/>
        </w:rPr>
        <w:t>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60" w:before="60"/>
      </w:pPr>
      <w:r>
        <w:rPr>
          <w:rFonts w:ascii="Arial" w:cs="Arial" w:eastAsia="Arial" w:hAnsi="Arial"/>
          <w:color w:val="000000"/>
          <w:sz w:val="22"/>
          <w:szCs w:val="22"/>
        </w:rPr>
        <w:t>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60" w:before="60"/>
      </w:pPr>
      <w:r>
        <w:rPr>
          <w:rFonts w:ascii="Arial" w:cs="Arial" w:eastAsia="Arial" w:hAnsi="Arial"/>
          <w:color w:val="000000"/>
          <w:sz w:val="22"/>
          <w:szCs w:val="22"/>
        </w:rPr>
        <w:t>Every right enumerated here is a floor, not a ceiling. Every power granted to government is a ceiling, not a floor. What this Constitution does not give to government, government does not have.</w:t>
      </w:r>
    </w:p>
    <w:p>
      <w:pPr>
        <w:spacing w:after="60" w:before="60"/>
      </w:pPr>
      <w:r>
        <w:rPr>
          <w:rFonts w:ascii="Arial" w:cs="Arial" w:eastAsia="Arial" w:hAnsi="Arial"/>
          <w:color w:val="000000"/>
          <w:sz w:val="22"/>
          <w:szCs w:val="22"/>
        </w:rPr>
        <w:t>This is our compact — with each other, and with those who will inherit what we build.</w:t>
      </w:r>
    </w:p>
    <w:p>
      <w:pPr>
        <w:pBdr>
          <w:bottom w:val="single" w:color="1B2A4A" w:sz="6" w:space="1"/>
        </w:pBdr>
        <w:spacing w:after="120" w:before="120"/>
      </w:pPr>
    </w:p>
    <w:p>
      <w:pPr>
        <w:spacing w:after="60" w:before="60"/>
      </w:pPr>
      <w:r>
        <w:rPr>
          <w:rFonts w:ascii="Arial" w:cs="Arial" w:eastAsia="Arial" w:hAnsi="Arial"/>
          <w:i/>
          <w:iCs/>
          <w:color w:val="555555"/>
          <w:sz w:val="22"/>
          <w:szCs w:val="22"/>
        </w:rPr>
        <w:t>Navigation Guide and Citizen Glossary are published as companion documents. They have no legal force. The operative text begins with Article I.</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 — THE INDIVIDUAL SOVEREIGNTY FLOOR</w:t>
      </w:r>
    </w:p>
    <w:p>
      <w:pPr>
        <w:spacing w:after="60" w:before="60"/>
      </w:pPr>
      <w:r>
        <w:rPr>
          <w:rFonts w:ascii="Arial" w:cs="Arial" w:eastAsia="Arial" w:hAnsi="Arial"/>
          <w:color w:val="000000"/>
          <w:sz w:val="22"/>
          <w:szCs w:val="22"/>
        </w:rPr>
        <w:t>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pPr>
      <w:r>
        <w:rPr>
          <w:rFonts w:ascii="Arial" w:cs="Arial" w:eastAsia="Arial" w:hAnsi="Arial"/>
          <w:color w:val="000000"/>
          <w:sz w:val="22"/>
          <w:szCs w:val="22"/>
        </w:rPr>
        <w:t>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A — Personal Integrity (§§ 1.0 – 1.3)  —</w:t>
      </w:r>
    </w:p>
    <w:p>
      <w:pPr>
        <w:pStyle w:val="Heading2"/>
      </w:pPr>
      <w:r>
        <w:rPr>
          <w:b/>
        </w:rPr>
        <w:t>Section 1.0 — Right of Access to Courts</w:t>
      </w:r>
    </w:p>
    <w:p>
      <w:pPr>
        <w:spacing w:after="60" w:before="60"/>
      </w:pPr>
      <w:r>
        <w:rPr>
          <w:rFonts w:ascii="Arial" w:cs="Arial" w:eastAsia="Arial" w:hAnsi="Arial"/>
          <w:color w:val="000000"/>
          <w:sz w:val="22"/>
          <w:szCs w:val="22"/>
        </w:rPr>
        <w:t>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w:t>
      </w:r>
    </w:p>
    <w:p>
      <w:pPr>
        <w:spacing w:after="0" w:before="120"/>
      </w:pPr>
      <w:r>
        <w:t xml:space="preserve"/>
      </w:r>
    </w:p>
    <w:p>
      <w:pPr>
        <w:pStyle w:val="Heading2"/>
        <w:spacing w:after="80" w:before="200"/>
      </w:pPr>
      <w:r>
        <w:rPr>
          <w:rFonts w:ascii="Arial" w:cs="Arial" w:eastAsia="Arial" w:hAnsi="Arial"/>
          <w:b/>
          <w:bCs/>
          <w:color w:val="4A6FA5"/>
          <w:sz w:val="24"/>
          <w:szCs w:val="24"/>
        </w:rPr>
        <w:t>Section 1.1 — Right to Life</w:t>
      </w:r>
    </w:p>
    <w:p>
      <w:pPr>
        <w:spacing w:after="60" w:before="60"/>
      </w:pPr>
      <w:r>
        <w:rPr>
          <w:rFonts w:ascii="Arial" w:cs="Arial" w:eastAsia="Arial" w:hAnsi="Arial"/>
          <w:color w:val="000000"/>
          <w:sz w:val="22"/>
          <w:szCs w:val="22"/>
        </w:rPr>
        <w:t>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spacing w:after="0" w:before="120"/>
      </w:pPr>
      <w:r>
        <w:t xml:space="preserve"/>
      </w:r>
    </w:p>
    <w:p>
      <w:pPr>
        <w:pStyle w:val="Heading2"/>
        <w:spacing w:after="80" w:before="200"/>
      </w:pPr>
      <w:r>
        <w:rPr>
          <w:rFonts w:ascii="Arial" w:cs="Arial" w:eastAsia="Arial" w:hAnsi="Arial"/>
          <w:b/>
          <w:bCs/>
          <w:color w:val="4A6FA5"/>
          <w:sz w:val="24"/>
          <w:szCs w:val="24"/>
        </w:rPr>
        <w:t>Section 1.2 — Prohibition of Torture and Cruel Treatment</w:t>
      </w:r>
    </w:p>
    <w:p>
      <w:pPr>
        <w:spacing w:after="60" w:before="60"/>
      </w:pPr>
      <w:r>
        <w:rPr>
          <w:rFonts w:ascii="Arial" w:cs="Arial" w:eastAsia="Arial" w:hAnsi="Arial"/>
          <w:color w:val="000000"/>
          <w:sz w:val="22"/>
          <w:szCs w:val="22"/>
        </w:rPr>
        <w:t>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and may trigger Rule Violation proceedings under §2.7 — a constitutional mechanism that triggers automatic suspension from duties and a Senate trial, defined fully at §2.7. This prohibition is permanently unamendable under §15.3.</w:t>
      </w:r>
    </w:p>
    <w:p>
      <w:pPr>
        <w:spacing w:after="0" w:before="120"/>
      </w:pPr>
      <w:r>
        <w:t xml:space="preserve"/>
      </w:r>
    </w:p>
    <w:p>
      <w:pPr>
        <w:pStyle w:val="Heading2"/>
        <w:spacing w:after="80" w:before="200"/>
      </w:pPr>
      <w:r>
        <w:rPr>
          <w:rFonts w:ascii="Arial" w:cs="Arial" w:eastAsia="Arial" w:hAnsi="Arial"/>
          <w:b/>
          <w:bCs/>
          <w:color w:val="4A6FA5"/>
          <w:sz w:val="24"/>
          <w:szCs w:val="24"/>
        </w:rPr>
        <w:t>Section 1.3 — Prohibition of Slavery and Forced Labor</w:t>
      </w:r>
    </w:p>
    <w:p>
      <w:pPr>
        <w:spacing w:after="60" w:before="60"/>
      </w:pPr>
      <w:r>
        <w:rPr>
          <w:rFonts w:ascii="Arial" w:cs="Arial" w:eastAsia="Arial" w:hAnsi="Arial"/>
          <w:color w:val="000000"/>
          <w:sz w:val="22"/>
          <w:szCs w:val="22"/>
        </w:rPr>
        <w:t>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B — Civil and Political Liberties (§§ 1.4 – 1.7)  —</w:t>
      </w:r>
    </w:p>
    <w:p>
      <w:pPr>
        <w:pStyle w:val="Heading2"/>
        <w:spacing w:after="80" w:before="200"/>
      </w:pPr>
      <w:r>
        <w:rPr>
          <w:rFonts w:ascii="Arial" w:cs="Arial" w:eastAsia="Arial" w:hAnsi="Arial"/>
          <w:b/>
          <w:bCs/>
          <w:color w:val="4A6FA5"/>
          <w:sz w:val="24"/>
          <w:szCs w:val="24"/>
        </w:rPr>
        <w:t>Section 1.4 — Freedom of Expression</w:t>
      </w:r>
    </w:p>
    <w:p>
      <w:pPr>
        <w:spacing w:after="60" w:before="60"/>
      </w:pPr>
      <w:r>
        <w:rPr>
          <w:rFonts w:ascii="Arial" w:cs="Arial" w:eastAsia="Arial" w:hAnsi="Arial"/>
          <w:color w:val="000000"/>
          <w:sz w:val="22"/>
          <w:szCs w:val="22"/>
        </w:rPr>
        <w:t>No branch, agency, official, or instrumentality of the Republic or any State may abridge the freedom of speech, press, or assembly in any medium — physical or digital.</w:t>
      </w:r>
    </w:p>
    <w:p>
      <w:pPr>
        <w:spacing w:after="60" w:before="60"/>
        <w:ind w:left="720" w:hanging="360"/>
      </w:pPr>
      <w:r>
        <w:rPr>
          <w:rFonts w:ascii="Arial" w:cs="Arial" w:eastAsia="Arial" w:hAnsi="Arial"/>
          <w:b/>
          <w:bCs/>
          <w:color w:val="4A6FA5"/>
          <w:sz w:val="22"/>
          <w:szCs w:val="22"/>
        </w:rPr>
        <w:t xml:space="preserve">1.4.a Censorship by Proxy: </w:t>
      </w:r>
      <w:r>
        <w:rPr>
          <w:rFonts w:ascii="Arial" w:cs="Arial" w:eastAsia="Arial" w:hAnsi="Arial"/>
          <w:color w:val="000000"/>
          <w:sz w:val="22"/>
          <w:szCs w:val="22"/>
        </w:rPr>
        <w:t>No government agent may coerce, incentivize, or direct private entities to suppress protected speech.</w:t>
      </w:r>
    </w:p>
    <w:p>
      <w:pPr>
        <w:spacing w:after="60" w:before="60"/>
        <w:ind w:left="720" w:hanging="360"/>
      </w:pPr>
      <w:r>
        <w:rPr>
          <w:rFonts w:ascii="Arial" w:cs="Arial" w:eastAsia="Arial" w:hAnsi="Arial"/>
          <w:b/>
          <w:bCs/>
          <w:color w:val="4A6FA5"/>
          <w:sz w:val="22"/>
          <w:szCs w:val="22"/>
        </w:rPr>
        <w:t xml:space="preserve">1.4.b Separation of Church and State: </w:t>
      </w:r>
      <w:r>
        <w:rPr>
          <w:rFonts w:ascii="Arial" w:cs="Arial" w:eastAsia="Arial" w:hAnsi="Arial"/>
          <w:color w:val="000000"/>
          <w:sz w:val="22"/>
          <w:szCs w:val="22"/>
        </w:rPr>
        <w:t>No religion may be established by law. Public funds directed to religious organizations for secular services must adhere to non-discrimination statutes.</w:t>
      </w:r>
    </w:p>
    <w:p>
      <w:pPr>
        <w:spacing w:after="0" w:before="120"/>
      </w:pPr>
      <w:r>
        <w:t xml:space="preserve"/>
      </w:r>
    </w:p>
    <w:p>
      <w:pPr>
        <w:pStyle w:val="Heading2"/>
        <w:spacing w:after="80" w:before="200"/>
      </w:pPr>
      <w:r>
        <w:rPr>
          <w:rFonts w:ascii="Arial" w:cs="Arial" w:eastAsia="Arial" w:hAnsi="Arial"/>
          <w:b/>
          <w:bCs/>
          <w:color w:val="4A6FA5"/>
          <w:sz w:val="24"/>
          <w:szCs w:val="24"/>
        </w:rPr>
        <w:t>Section 1.5 — Freedom of Thought, Conscience, and Religion</w:t>
      </w:r>
    </w:p>
    <w:p>
      <w:pPr>
        <w:spacing w:after="60" w:before="60"/>
      </w:pPr>
      <w:r>
        <w:rPr>
          <w:rFonts w:ascii="Arial" w:cs="Arial" w:eastAsia="Arial" w:hAnsi="Arial"/>
          <w:color w:val="000000"/>
          <w:sz w:val="22"/>
          <w:szCs w:val="22"/>
        </w:rPr>
        <w:t>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spacing w:after="0" w:before="120"/>
      </w:pPr>
      <w:r>
        <w:t xml:space="preserve"/>
      </w:r>
    </w:p>
    <w:p>
      <w:pPr>
        <w:pStyle w:val="Heading2"/>
        <w:spacing w:after="80" w:before="200"/>
      </w:pPr>
      <w:r>
        <w:rPr>
          <w:rFonts w:ascii="Arial" w:cs="Arial" w:eastAsia="Arial" w:hAnsi="Arial"/>
          <w:b/>
          <w:bCs/>
          <w:color w:val="4A6FA5"/>
          <w:sz w:val="24"/>
          <w:szCs w:val="24"/>
        </w:rPr>
        <w:t>Section 1.6 — Freedom of Association</w:t>
      </w:r>
    </w:p>
    <w:p>
      <w:pPr>
        <w:spacing w:after="60" w:before="60"/>
      </w:pPr>
      <w:r>
        <w:rPr>
          <w:rFonts w:ascii="Arial" w:cs="Arial" w:eastAsia="Arial" w:hAnsi="Arial"/>
          <w:color w:val="000000"/>
          <w:sz w:val="22"/>
          <w:szCs w:val="22"/>
        </w:rPr>
        <w:t>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spacing w:after="0" w:before="120"/>
      </w:pPr>
      <w:r>
        <w:t xml:space="preserve"/>
      </w:r>
    </w:p>
    <w:p>
      <w:pPr>
        <w:pStyle w:val="Heading2"/>
        <w:spacing w:after="80" w:before="200"/>
      </w:pPr>
      <w:r>
        <w:rPr>
          <w:rFonts w:ascii="Arial" w:cs="Arial" w:eastAsia="Arial" w:hAnsi="Arial"/>
          <w:b/>
          <w:bCs/>
          <w:color w:val="4A6FA5"/>
          <w:sz w:val="24"/>
          <w:szCs w:val="24"/>
        </w:rPr>
        <w:t>Section 1.7 — Right to Petition</w:t>
      </w:r>
    </w:p>
    <w:p>
      <w:pPr>
        <w:spacing w:after="60" w:before="60"/>
      </w:pPr>
      <w:r>
        <w:rPr>
          <w:rFonts w:ascii="Arial" w:cs="Arial" w:eastAsia="Arial" w:hAnsi="Arial"/>
          <w:color w:val="000000"/>
          <w:sz w:val="22"/>
          <w:szCs w:val="22"/>
        </w:rPr>
        <w:t>Every citizen has the right to petition any branch of government on any matter of public or personal concern. This right extends to citizens only. All petitions must receive a formal response within a period the Legislature defines by statute. Petition records are published to the National Record System. The right to petition includes the right to file formal complaints against government officials and agencies.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C — Equality (§ 1.8)  —</w:t>
      </w:r>
    </w:p>
    <w:p>
      <w:pPr>
        <w:pStyle w:val="Heading2"/>
        <w:spacing w:after="80" w:before="200"/>
      </w:pPr>
      <w:r>
        <w:rPr>
          <w:rFonts w:ascii="Arial" w:cs="Arial" w:eastAsia="Arial" w:hAnsi="Arial"/>
          <w:b/>
          <w:bCs/>
          <w:color w:val="4A6FA5"/>
          <w:sz w:val="24"/>
          <w:szCs w:val="24"/>
        </w:rPr>
        <w:t>Section 1.8 — Equality Before the Law</w:t>
      </w:r>
    </w:p>
    <w:p>
      <w:pPr>
        <w:spacing w:after="60" w:before="60"/>
      </w:pPr>
      <w:r>
        <w:t>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D — Privacy, Property and Economic Rights (§§ 1.9 – 1.12)  —</w:t>
      </w:r>
    </w:p>
    <w:p>
      <w:pPr>
        <w:pStyle w:val="Heading2"/>
        <w:spacing w:after="80" w:before="200"/>
      </w:pPr>
      <w:r>
        <w:rPr>
          <w:rFonts w:ascii="Arial" w:cs="Arial" w:eastAsia="Arial" w:hAnsi="Arial"/>
          <w:b/>
          <w:bCs/>
          <w:color w:val="4A6FA5"/>
          <w:sz w:val="24"/>
          <w:szCs w:val="24"/>
        </w:rPr>
        <w:t>Section 1.9 — Bodily Autonomy and Digital Privacy</w:t>
      </w:r>
    </w:p>
    <w:p>
      <w:pPr>
        <w:spacing w:after="60" w:before="60"/>
        <w:ind w:left="720" w:hanging="360"/>
      </w:pPr>
      <w:r>
        <w:rPr>
          <w:rFonts w:ascii="Arial" w:cs="Arial" w:eastAsia="Arial" w:hAnsi="Arial"/>
          <w:b/>
          <w:bCs/>
          <w:color w:val="4A6FA5"/>
          <w:sz w:val="22"/>
          <w:szCs w:val="22"/>
        </w:rPr>
        <w:t xml:space="preserve">1.9.a Physical Sovereignty: </w:t>
      </w:r>
      <w:r>
        <w:rPr>
          <w:rFonts w:ascii="Arial" w:cs="Arial" w:eastAsia="Arial" w:hAnsi="Arial"/>
          <w:color w:val="000000"/>
          <w:sz w:val="22"/>
          <w:szCs w:val="22"/>
        </w:rPr>
        <w:t>Every person has the absolute right to refuse any medical procedure or biological sampling. No mandate is permissible under any declared emergency unless the individual provides uncoerced, revocable written consent.</w:t>
      </w:r>
    </w:p>
    <w:p>
      <w:pPr>
        <w:spacing w:after="60" w:before="60"/>
        <w:ind w:left="720" w:hanging="360"/>
      </w:pPr>
      <w:r>
        <w:rPr>
          <w:rFonts w:ascii="Arial" w:cs="Arial" w:eastAsia="Arial" w:hAnsi="Arial"/>
          <w:b/>
          <w:bCs/>
          <w:color w:val="4A6FA5"/>
          <w:sz w:val="22"/>
          <w:szCs w:val="22"/>
        </w:rPr>
        <w:t xml:space="preserve">1.9.b Data Ownership: </w:t>
      </w:r>
      <w:r>
        <w:rPr>
          <w:rFonts w:ascii="Arial" w:cs="Arial" w:eastAsia="Arial" w:hAnsi="Arial"/>
          <w:color w:val="000000"/>
          <w:sz w:val="22"/>
          <w:szCs w:val="22"/>
        </w:rPr>
        <w:t>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ind w:left="720" w:hanging="360"/>
      </w:pPr>
      <w:r>
        <w:rPr>
          <w:rFonts w:ascii="Arial" w:cs="Arial" w:eastAsia="Arial" w:hAnsi="Arial"/>
          <w:b/>
          <w:bCs/>
          <w:color w:val="4A6FA5"/>
          <w:sz w:val="22"/>
          <w:szCs w:val="22"/>
        </w:rPr>
        <w:t xml:space="preserve">1.9.c Encryption Protection: </w:t>
      </w:r>
      <w:r>
        <w:rPr>
          <w:rFonts w:ascii="Arial" w:cs="Arial" w:eastAsia="Arial" w:hAnsi="Arial"/>
          <w:color w:val="000000"/>
          <w:sz w:val="22"/>
          <w:szCs w:val="22"/>
        </w:rPr>
        <w:t>Cryptographic keys are private property. No court or agency may compel their disclosure.</w:t>
      </w:r>
    </w:p>
    <w:p>
      <w:pPr>
        <w:spacing w:after="0" w:before="120"/>
      </w:pPr>
      <w:r>
        <w:t xml:space="preserve"/>
      </w:r>
    </w:p>
    <w:p>
      <w:pPr>
        <w:pStyle w:val="Heading2"/>
        <w:spacing w:after="80" w:before="200"/>
      </w:pPr>
      <w:r>
        <w:rPr>
          <w:rFonts w:ascii="Arial" w:cs="Arial" w:eastAsia="Arial" w:hAnsi="Arial"/>
          <w:b/>
          <w:bCs/>
          <w:color w:val="4A6FA5"/>
          <w:sz w:val="24"/>
          <w:szCs w:val="24"/>
        </w:rPr>
        <w:t>Section 1.10 — Inviolability of the Home and Property Rights</w:t>
      </w:r>
    </w:p>
    <w:p>
      <w:pPr>
        <w:spacing w:after="60" w:before="60"/>
        <w:ind w:left="720" w:hanging="360"/>
      </w:pPr>
      <w:r>
        <w:rPr>
          <w:rFonts w:ascii="Arial" w:cs="Arial" w:eastAsia="Arial" w:hAnsi="Arial"/>
          <w:b/>
          <w:bCs/>
          <w:color w:val="4A6FA5"/>
          <w:sz w:val="22"/>
          <w:szCs w:val="22"/>
        </w:rPr>
        <w:t xml:space="preserve">1.10.a Home and Digital Privacy: </w:t>
      </w:r>
      <w:r>
        <w:rPr>
          <w:rFonts w:ascii="Arial" w:cs="Arial" w:eastAsia="Arial" w:hAnsi="Arial"/>
          <w:color w:val="000000"/>
          <w:sz w:val="22"/>
          <w:szCs w:val="22"/>
        </w:rPr>
        <w:t>'Home'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ind w:left="720" w:hanging="360"/>
      </w:pPr>
      <w:r>
        <w:rPr>
          <w:rFonts w:ascii="Arial" w:cs="Arial" w:eastAsia="Arial" w:hAnsi="Arial"/>
          <w:b/>
          <w:bCs/>
          <w:color w:val="4A6FA5"/>
          <w:sz w:val="22"/>
          <w:szCs w:val="22"/>
        </w:rPr>
        <w:t xml:space="preserve">1.10.b Eminent Domain: </w:t>
      </w:r>
      <w:r>
        <w:rPr>
          <w:rFonts w:ascii="Arial" w:cs="Arial" w:eastAsia="Arial" w:hAnsi="Arial"/>
          <w:color w:val="000000"/>
          <w:sz w:val="22"/>
          <w:szCs w:val="22"/>
        </w:rPr>
        <w:t>Seizure of private property requires proof of absolute public necessity, payment of 150% of fair market value, and recording on the National Record System. Private-to-private transfer via eminent domain is prohibited.</w:t>
      </w:r>
    </w:p>
    <w:p>
      <w:pPr>
        <w:spacing w:after="0" w:before="120"/>
      </w:pPr>
      <w:r>
        <w:t xml:space="preserve"/>
      </w:r>
    </w:p>
    <w:p>
      <w:pPr>
        <w:pStyle w:val="Heading2"/>
        <w:spacing w:after="80" w:before="200"/>
      </w:pPr>
      <w:r>
        <w:rPr>
          <w:rFonts w:ascii="Arial" w:cs="Arial" w:eastAsia="Arial" w:hAnsi="Arial"/>
          <w:b/>
          <w:bCs/>
          <w:color w:val="4A6FA5"/>
          <w:sz w:val="24"/>
          <w:szCs w:val="24"/>
        </w:rPr>
        <w:t>Section 1.11 — Self-Defense and the Right to Bear Arms</w:t>
      </w:r>
    </w:p>
    <w:p>
      <w:pPr>
        <w:spacing w:after="60" w:before="60"/>
        <w:ind w:left="720" w:hanging="360"/>
      </w:pPr>
      <w:r>
        <w:rPr>
          <w:rFonts w:ascii="Arial" w:cs="Arial" w:eastAsia="Arial" w:hAnsi="Arial"/>
          <w:b/>
          <w:bCs/>
          <w:color w:val="4A6FA5"/>
          <w:sz w:val="22"/>
          <w:szCs w:val="22"/>
        </w:rPr>
        <w:t xml:space="preserve">1.11.a Right to Bear Arms: </w:t>
      </w:r>
      <w:r>
        <w:rPr>
          <w:rFonts w:ascii="Arial" w:cs="Arial" w:eastAsia="Arial" w:hAnsi="Arial"/>
          <w:color w:val="000000"/>
          <w:sz w:val="22"/>
          <w:szCs w:val="22"/>
        </w:rPr>
        <w:t>The right to keep and bear arms for personal defense and hunting must not be infringed.</w:t>
      </w:r>
    </w:p>
    <w:p>
      <w:pPr>
        <w:spacing w:after="60" w:before="60"/>
        <w:ind w:left="720" w:hanging="360"/>
      </w:pPr>
      <w:r>
        <w:rPr>
          <w:rFonts w:ascii="Arial" w:cs="Arial" w:eastAsia="Arial" w:hAnsi="Arial"/>
          <w:b/>
          <w:bCs/>
          <w:color w:val="4A6FA5"/>
          <w:sz w:val="22"/>
          <w:szCs w:val="22"/>
        </w:rPr>
        <w:t xml:space="preserve">1.11.b State Licensing Latitude: </w:t>
      </w:r>
      <w:r>
        <w:rPr>
          <w:rFonts w:ascii="Arial" w:cs="Arial" w:eastAsia="Arial" w:hAnsi="Arial"/>
          <w:color w:val="000000"/>
          <w:sz w:val="22"/>
          <w:szCs w:val="22"/>
        </w:rPr>
        <w:t>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ind w:left="720" w:hanging="360"/>
      </w:pPr>
      <w:r>
        <w:rPr>
          <w:rFonts w:ascii="Arial" w:cs="Arial" w:eastAsia="Arial" w:hAnsi="Arial"/>
          <w:b/>
          <w:bCs/>
          <w:color w:val="4A6FA5"/>
          <w:sz w:val="22"/>
          <w:szCs w:val="22"/>
        </w:rPr>
        <w:t xml:space="preserve">1.11.c Non-Prohibition Principle: </w:t>
      </w:r>
      <w:r>
        <w:rPr>
          <w:rFonts w:ascii="Arial" w:cs="Arial" w:eastAsia="Arial" w:hAnsi="Arial"/>
          <w:color w:val="000000"/>
          <w:sz w:val="22"/>
          <w:szCs w:val="22"/>
        </w:rPr>
        <w:t>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spacing w:after="0" w:before="120"/>
      </w:pPr>
      <w:r>
        <w:t xml:space="preserve"/>
      </w:r>
    </w:p>
    <w:p>
      <w:pPr>
        <w:pStyle w:val="Heading2"/>
        <w:spacing w:after="80" w:before="200"/>
      </w:pPr>
      <w:r>
        <w:rPr>
          <w:rFonts w:ascii="Arial" w:cs="Arial" w:eastAsia="Arial" w:hAnsi="Arial"/>
          <w:b/>
          <w:bCs/>
          <w:color w:val="4A6FA5"/>
          <w:sz w:val="24"/>
          <w:szCs w:val="24"/>
        </w:rPr>
        <w:t>Section 1.12 — Freedom of Movement and Labor</w:t>
      </w:r>
    </w:p>
    <w:p>
      <w:pPr>
        <w:spacing w:after="60" w:before="60"/>
      </w:pPr>
      <w:r>
        <w:rPr>
          <w:rFonts w:ascii="Arial" w:cs="Arial" w:eastAsia="Arial" w:hAnsi="Arial"/>
          <w:color w:val="000000"/>
          <w:sz w:val="22"/>
          <w:szCs w:val="22"/>
        </w:rPr>
        <w:t>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pPr>
      <w:r>
        <w:rPr>
          <w:rFonts w:ascii="Arial" w:cs="Arial" w:eastAsia="Arial" w:hAnsi="Arial"/>
          <w:color w:val="000000"/>
          <w:sz w:val="22"/>
          <w:szCs w:val="22"/>
        </w:rPr>
        <w:t>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E — Criminal Justice Rights (§§ 1.13 – 1.18)  —</w:t>
      </w:r>
    </w:p>
    <w:p>
      <w:pPr>
        <w:pStyle w:val="Heading2"/>
        <w:spacing w:after="80" w:before="200"/>
      </w:pPr>
      <w:r>
        <w:rPr>
          <w:rFonts w:ascii="Arial" w:cs="Arial" w:eastAsia="Arial" w:hAnsi="Arial"/>
          <w:b/>
          <w:bCs/>
          <w:color w:val="4A6FA5"/>
          <w:sz w:val="24"/>
          <w:szCs w:val="24"/>
        </w:rPr>
        <w:t>Section 1.13 — Right Against Arbitrary Detention</w:t>
      </w:r>
    </w:p>
    <w:p>
      <w:pPr>
        <w:spacing w:after="60" w:before="60"/>
      </w:pPr>
      <w:r>
        <w:rPr>
          <w:rFonts w:ascii="Arial" w:cs="Arial" w:eastAsia="Arial" w:hAnsi="Arial"/>
          <w:color w:val="000000"/>
          <w:sz w:val="22"/>
          <w:szCs w:val="22"/>
        </w:rPr>
        <w:t>Any person detained or arrested by the State has two constitutionally guaranteed judicial rights that no executive, military authority, or emergency declaration may suspend or delay. Both are permanently unamendable under §15.3.</w:t>
      </w:r>
    </w:p>
    <w:p>
      <w:pPr>
        <w:spacing w:after="60" w:before="60"/>
        <w:ind w:left="720" w:hanging="360"/>
      </w:pPr>
      <w:r>
        <w:rPr>
          <w:rFonts w:ascii="Arial" w:cs="Arial" w:eastAsia="Arial" w:hAnsi="Arial"/>
          <w:b/>
          <w:bCs/>
          <w:color w:val="4A6FA5"/>
          <w:sz w:val="22"/>
          <w:szCs w:val="22"/>
        </w:rPr>
        <w:t xml:space="preserve">1.13.a First Appearance: </w:t>
      </w:r>
      <w:r>
        <w:rPr>
          <w:rFonts w:ascii="Arial" w:cs="Arial" w:eastAsia="Arial" w:hAnsi="Arial"/>
          <w:color w:val="000000"/>
          <w:sz w:val="22"/>
          <w:szCs w:val="22"/>
        </w:rPr>
        <w:t>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ind w:left="720" w:hanging="360"/>
      </w:pPr>
      <w:r>
        <w:t>1.13.b Habeas Corpus Response Deadline: 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ind w:left="720" w:hanging="360"/>
      </w:pPr>
      <w:r>
        <w:t>1.13.c Habeas Corpus: 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spacing w:after="0" w:before="120"/>
      </w:pPr>
      <w:r>
        <w:t xml:space="preserve"/>
      </w:r>
    </w:p>
    <w:p>
      <w:pPr>
        <w:pStyle w:val="Heading2"/>
        <w:spacing w:after="80" w:before="200"/>
      </w:pPr>
      <w:r>
        <w:rPr>
          <w:rFonts w:ascii="Arial" w:cs="Arial" w:eastAsia="Arial" w:hAnsi="Arial"/>
          <w:b/>
          <w:bCs/>
          <w:color w:val="4A6FA5"/>
          <w:sz w:val="24"/>
          <w:szCs w:val="24"/>
        </w:rPr>
        <w:t>Section 1.14 — Right to Counsel and to Be Informed</w:t>
      </w:r>
    </w:p>
    <w:p>
      <w:pPr>
        <w:spacing w:after="60" w:before="60"/>
        <w:ind w:left="720" w:hanging="360"/>
      </w:pPr>
      <w:r>
        <w:rPr>
          <w:rFonts w:ascii="Arial" w:cs="Arial" w:eastAsia="Arial" w:hAnsi="Arial"/>
          <w:b/>
          <w:bCs/>
          <w:color w:val="4A6FA5"/>
          <w:sz w:val="22"/>
          <w:szCs w:val="22"/>
        </w:rPr>
        <w:t xml:space="preserve">1.14.a Right to Counsel: </w:t>
      </w:r>
      <w:r>
        <w:rPr>
          <w:rFonts w:ascii="Arial" w:cs="Arial" w:eastAsia="Arial" w:hAnsi="Arial"/>
          <w:color w:val="000000"/>
          <w:sz w:val="22"/>
          <w:szCs w:val="22"/>
        </w:rPr>
        <w:t>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ind w:left="720" w:hanging="360"/>
      </w:pPr>
      <w:r>
        <w:rPr>
          <w:rFonts w:ascii="Arial" w:cs="Arial" w:eastAsia="Arial" w:hAnsi="Arial"/>
          <w:b/>
          <w:bCs/>
          <w:color w:val="4A6FA5"/>
          <w:sz w:val="22"/>
          <w:szCs w:val="22"/>
        </w:rPr>
        <w:t xml:space="preserve">1.14.b Caseload Guarantee: </w:t>
      </w:r>
      <w:r>
        <w:rPr>
          <w:rFonts w:ascii="Arial" w:cs="Arial" w:eastAsia="Arial" w:hAnsi="Arial"/>
          <w:color w:val="000000"/>
          <w:sz w:val="22"/>
          <w:szCs w:val="22"/>
        </w:rPr>
        <w:t>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w:t>
      </w:r>
    </w:p>
    <w:p>
      <w:pPr>
        <w:spacing w:after="60" w:before="60"/>
        <w:ind w:left="720" w:hanging="360"/>
      </w:pPr>
      <w:r>
        <w:rPr>
          <w:rFonts w:ascii="Arial" w:cs="Arial" w:eastAsia="Arial" w:hAnsi="Arial"/>
          <w:b/>
          <w:bCs/>
          <w:color w:val="4A6FA5"/>
          <w:sz w:val="22"/>
          <w:szCs w:val="22"/>
        </w:rPr>
        <w:t xml:space="preserve">1.14.c Right to Be Informed of Charges: </w:t>
      </w:r>
      <w:r>
        <w:rPr>
          <w:rFonts w:ascii="Arial" w:cs="Arial" w:eastAsia="Arial" w:hAnsi="Arial"/>
          <w:color w:val="000000"/>
          <w:sz w:val="22"/>
          <w:szCs w:val="22"/>
        </w:rPr>
        <w:t>Any person detained or accused must be informed promptly, in plain language, of the precise nature and legal grounds of their detention or charges before any questioning begins. This must be recorded on the National Record System.</w:t>
      </w:r>
    </w:p>
    <w:p>
      <w:pPr>
        <w:spacing w:after="60" w:before="60"/>
        <w:ind w:left="720" w:hanging="360"/>
      </w:pPr>
      <w:r>
        <w:rPr>
          <w:rFonts w:ascii="Arial" w:cs="Arial" w:eastAsia="Arial" w:hAnsi="Arial"/>
          <w:b/>
          <w:bCs/>
          <w:color w:val="4A6FA5"/>
          <w:sz w:val="22"/>
          <w:szCs w:val="22"/>
        </w:rPr>
        <w:t xml:space="preserve">1.14.d Right to Full Disclosure: </w:t>
      </w:r>
      <w:r>
        <w:rPr>
          <w:rFonts w:ascii="Arial" w:cs="Arial" w:eastAsia="Arial" w:hAnsi="Arial"/>
          <w:color w:val="000000"/>
          <w:sz w:val="22"/>
          <w:szCs w:val="22"/>
        </w:rPr>
        <w:t>Any accused person has the right to full disclosure of all State evidence, including exculpatory evidence, before trial. Willful withholding of exculpatory evidence is grounds for immediate dismissal of the case and may trigger Rule Violation proceedings under §2.7.</w:t>
      </w:r>
    </w:p>
    <w:p>
      <w:pPr>
        <w:spacing w:after="0" w:before="120"/>
      </w:pPr>
      <w:r>
        <w:t xml:space="preserve"/>
      </w:r>
    </w:p>
    <w:p>
      <w:pPr>
        <w:pStyle w:val="Heading2"/>
        <w:spacing w:after="80" w:before="200"/>
      </w:pPr>
      <w:r>
        <w:rPr>
          <w:rFonts w:ascii="Arial" w:cs="Arial" w:eastAsia="Arial" w:hAnsi="Arial"/>
          <w:b/>
          <w:bCs/>
          <w:color w:val="4A6FA5"/>
          <w:sz w:val="24"/>
          <w:szCs w:val="24"/>
        </w:rPr>
        <w:t>Section 1.15 — Due Process</w:t>
      </w:r>
    </w:p>
    <w:p>
      <w:pPr>
        <w:spacing w:after="60" w:before="60"/>
        <w:ind w:left="720" w:hanging="360"/>
      </w:pPr>
      <w:r>
        <w:rPr>
          <w:rFonts w:ascii="Arial" w:cs="Arial" w:eastAsia="Arial" w:hAnsi="Arial"/>
          <w:b/>
          <w:bCs/>
          <w:color w:val="4A6FA5"/>
          <w:sz w:val="22"/>
          <w:szCs w:val="22"/>
        </w:rPr>
        <w:t xml:space="preserve">1.15.a Speedy Trial Principle: </w:t>
      </w:r>
      <w:r>
        <w:rPr>
          <w:rFonts w:ascii="Arial" w:cs="Arial" w:eastAsia="Arial" w:hAnsi="Arial"/>
          <w:color w:val="000000"/>
          <w:sz w:val="22"/>
          <w:szCs w:val="22"/>
        </w:rPr>
        <w:t>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ind w:left="720" w:hanging="360"/>
      </w:pPr>
      <w:r>
        <w:rPr>
          <w:rFonts w:ascii="Arial" w:cs="Arial" w:eastAsia="Arial" w:hAnsi="Arial"/>
          <w:b/>
          <w:bCs/>
          <w:color w:val="4A6FA5"/>
          <w:sz w:val="22"/>
          <w:szCs w:val="22"/>
        </w:rPr>
        <w:t xml:space="preserve">1.15.b Bail Proportionality: </w:t>
      </w:r>
      <w:r>
        <w:rPr>
          <w:rFonts w:ascii="Arial" w:cs="Arial" w:eastAsia="Arial" w:hAnsi="Arial"/>
          <w:color w:val="000000"/>
          <w:sz w:val="22"/>
          <w:szCs w:val="22"/>
        </w:rPr>
        <w:t>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ind w:left="720" w:hanging="360"/>
      </w:pPr>
      <w:r>
        <w:rPr>
          <w:rFonts w:ascii="Arial" w:cs="Arial" w:eastAsia="Arial" w:hAnsi="Arial"/>
          <w:b/>
          <w:bCs/>
          <w:color w:val="4A6FA5"/>
          <w:sz w:val="22"/>
          <w:szCs w:val="22"/>
        </w:rPr>
        <w:t xml:space="preserve">1.15.c Protection from Trial Penalties: </w:t>
      </w:r>
      <w:r>
        <w:rPr>
          <w:rFonts w:ascii="Arial" w:cs="Arial" w:eastAsia="Arial" w:hAnsi="Arial"/>
          <w:color w:val="000000"/>
          <w:sz w:val="22"/>
          <w:szCs w:val="22"/>
        </w:rPr>
        <w:t>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may trigger Rule Violation proceedings under §2.7 against responsible officials.</w:t>
      </w:r>
    </w:p>
    <w:p>
      <w:pPr>
        <w:spacing w:after="60" w:before="60"/>
        <w:ind w:left="720" w:hanging="360"/>
      </w:pPr>
      <w:r>
        <w:rPr>
          <w:rFonts w:ascii="Arial" w:cs="Arial" w:eastAsia="Arial" w:hAnsi="Arial"/>
          <w:b/>
          <w:bCs/>
          <w:color w:val="4A6FA5"/>
          <w:sz w:val="22"/>
          <w:szCs w:val="22"/>
        </w:rPr>
        <w:t xml:space="preserve">1.15.d Source Code Right: </w:t>
      </w:r>
      <w:r>
        <w:rPr>
          <w:rFonts w:ascii="Arial" w:cs="Arial" w:eastAsia="Arial" w:hAnsi="Arial"/>
          <w:color w:val="000000"/>
          <w:sz w:val="22"/>
          <w:szCs w:val="22"/>
        </w:rPr>
        <w:t>Any accused person has the right to inspect, challenge, and rebut any algorithm, source code, or raw dataset used as evidence or to generate a score influencing their case.</w:t>
      </w:r>
    </w:p>
    <w:p>
      <w:pPr>
        <w:spacing w:after="0" w:before="120"/>
      </w:pPr>
      <w:r>
        <w:t xml:space="preserve"/>
      </w:r>
    </w:p>
    <w:p>
      <w:pPr>
        <w:pStyle w:val="Heading2"/>
        <w:spacing w:after="80" w:before="200"/>
      </w:pPr>
      <w:r>
        <w:rPr>
          <w:rFonts w:ascii="Arial" w:cs="Arial" w:eastAsia="Arial" w:hAnsi="Arial"/>
          <w:b/>
          <w:bCs/>
          <w:color w:val="4A6FA5"/>
          <w:sz w:val="24"/>
          <w:szCs w:val="24"/>
        </w:rPr>
        <w:t>Section 1.16 — Right to Silence and Protection from Self-Incrimination</w:t>
      </w:r>
    </w:p>
    <w:p>
      <w:pPr>
        <w:spacing w:after="60" w:before="60"/>
      </w:pPr>
      <w:r>
        <w:rPr>
          <w:rFonts w:ascii="Arial" w:cs="Arial" w:eastAsia="Arial" w:hAnsi="Arial"/>
          <w:color w:val="000000"/>
          <w:sz w:val="22"/>
          <w:szCs w:val="22"/>
        </w:rPr>
        <w:t>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spacing w:after="0" w:before="120"/>
      </w:pPr>
      <w:r>
        <w:t xml:space="preserve"/>
      </w:r>
    </w:p>
    <w:p>
      <w:pPr>
        <w:pStyle w:val="Heading2"/>
        <w:spacing w:after="80" w:before="200"/>
      </w:pPr>
      <w:r>
        <w:rPr>
          <w:rFonts w:ascii="Arial" w:cs="Arial" w:eastAsia="Arial" w:hAnsi="Arial"/>
          <w:b/>
          <w:bCs/>
          <w:color w:val="4A6FA5"/>
          <w:sz w:val="24"/>
          <w:szCs w:val="24"/>
        </w:rPr>
        <w:t>Section 1.17 — Right to a Public Trial</w:t>
      </w:r>
    </w:p>
    <w:p>
      <w:pPr>
        <w:spacing w:after="60" w:before="60"/>
      </w:pPr>
      <w:r>
        <w:rPr>
          <w:rFonts w:ascii="Arial" w:cs="Arial" w:eastAsia="Arial" w:hAnsi="Arial"/>
          <w:color w:val="000000"/>
          <w:sz w:val="22"/>
          <w:szCs w:val="22"/>
        </w:rPr>
        <w:t>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1.18 — Retroactivity and Double Jeopardy</w:t>
      </w:r>
    </w:p>
    <w:p>
      <w:pPr>
        <w:spacing w:after="60" w:before="60"/>
        <w:ind w:left="720" w:hanging="360"/>
      </w:pPr>
      <w:r>
        <w:rPr>
          <w:rFonts w:ascii="Arial" w:cs="Arial" w:eastAsia="Arial" w:hAnsi="Arial"/>
          <w:b/>
          <w:bCs/>
          <w:color w:val="4A6FA5"/>
          <w:sz w:val="22"/>
          <w:szCs w:val="22"/>
        </w:rPr>
        <w:t xml:space="preserve">1.18.a No Retroactive Criminal Laws: </w:t>
      </w:r>
      <w:r>
        <w:rPr>
          <w:rFonts w:ascii="Arial" w:cs="Arial" w:eastAsia="Arial" w:hAnsi="Arial"/>
          <w:color w:val="000000"/>
          <w:sz w:val="22"/>
          <w:szCs w:val="22"/>
        </w:rPr>
        <w:t>No person may be convicted of an act not defined as a criminal offense at the time it was committed. No penalty may exceed that applicable when the offense. Laws that reduce a penalty apply retroactively to the benefit of the accused.</w:t>
      </w:r>
    </w:p>
    <w:p>
      <w:pPr>
        <w:spacing w:after="60" w:before="60"/>
        <w:ind w:left="720" w:hanging="360"/>
      </w:pPr>
      <w:r>
        <w:rPr>
          <w:rFonts w:ascii="Arial" w:cs="Arial" w:eastAsia="Arial" w:hAnsi="Arial"/>
          <w:b/>
          <w:bCs/>
          <w:color w:val="4A6FA5"/>
          <w:sz w:val="22"/>
          <w:szCs w:val="22"/>
        </w:rPr>
        <w:t xml:space="preserve">1.18.b Double Jeopardy: </w:t>
      </w:r>
      <w:r>
        <w:rPr>
          <w:rFonts w:ascii="Arial" w:cs="Arial" w:eastAsia="Arial" w:hAnsi="Arial"/>
          <w:color w:val="000000"/>
          <w:sz w:val="22"/>
          <w:szCs w:val="22"/>
        </w:rPr>
        <w:t>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F — Social and Community Rights (§§ 1.20 – 1.24)  —</w:t>
      </w:r>
    </w:p>
    <w:p>
      <w:pPr/>
      <w:r>
        <w:rPr>
          <w:b/>
        </w:rPr>
        <w:t>—  Part F (preface) — Democratic and Participation Rights (§ 1.19)  —</w:t>
      </w:r>
    </w:p>
    <w:p>
      <w:pPr>
        <w:pStyle w:val="Heading2"/>
        <w:spacing w:after="80" w:before="200"/>
      </w:pPr>
      <w:r>
        <w:rPr>
          <w:rFonts w:ascii="Arial" w:cs="Arial" w:eastAsia="Arial" w:hAnsi="Arial"/>
          <w:b/>
          <w:bCs/>
          <w:color w:val="4A6FA5"/>
          <w:sz w:val="24"/>
          <w:szCs w:val="24"/>
        </w:rPr>
        <w:t>Section 1.19 — Right to Democratic Participation</w:t>
      </w:r>
    </w:p>
    <w:p>
      <w:pPr>
        <w:spacing w:after="60" w:before="60"/>
        <w:ind w:left="720" w:hanging="360"/>
      </w:pPr>
      <w:r>
        <w:rPr>
          <w:rFonts w:ascii="Arial" w:cs="Arial" w:eastAsia="Arial" w:hAnsi="Arial"/>
          <w:b/>
          <w:bCs/>
          <w:color w:val="4A6FA5"/>
          <w:sz w:val="22"/>
          <w:szCs w:val="22"/>
        </w:rPr>
        <w:t xml:space="preserve">1.19 Suffrage and Candidacy: </w:t>
      </w:r>
      <w:r>
        <w:rPr>
          <w:rFonts w:ascii="Arial" w:cs="Arial" w:eastAsia="Arial" w:hAnsi="Arial"/>
          <w:color w:val="000000"/>
          <w:sz w:val="22"/>
          <w:szCs w:val="22"/>
        </w:rPr>
        <w:t>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spacing w:after="0" w:before="120"/>
      </w:pPr>
      <w:r>
        <w:t xml:space="preserve"/>
      </w:r>
    </w:p>
    <w:p>
      <w:pPr>
        <w:pStyle w:val="Heading2"/>
        <w:spacing w:after="80" w:before="200"/>
      </w:pPr>
      <w:r>
        <w:rPr>
          <w:rFonts w:ascii="Arial" w:cs="Arial" w:eastAsia="Arial" w:hAnsi="Arial"/>
          <w:b/>
          <w:bCs/>
          <w:color w:val="4A6FA5"/>
          <w:sz w:val="24"/>
          <w:szCs w:val="24"/>
        </w:rPr>
        <w:t>Section 1.20 — Right to Marry and Found a Family</w:t>
      </w:r>
    </w:p>
    <w:p>
      <w:pPr>
        <w:spacing w:after="60" w:before="60"/>
      </w:pPr>
      <w:r>
        <w:rPr>
          <w:rFonts w:ascii="Arial" w:cs="Arial" w:eastAsia="Arial" w:hAnsi="Arial"/>
          <w:color w:val="000000"/>
          <w:sz w:val="22"/>
          <w:szCs w:val="22"/>
        </w:rPr>
        <w:t>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spacing w:after="0" w:before="120"/>
      </w:pPr>
      <w:r>
        <w:t xml:space="preserve"/>
      </w:r>
    </w:p>
    <w:p>
      <w:pPr>
        <w:pStyle w:val="Heading2"/>
        <w:spacing w:after="80" w:before="200"/>
      </w:pPr>
      <w:r>
        <w:rPr>
          <w:rFonts w:ascii="Arial" w:cs="Arial" w:eastAsia="Arial" w:hAnsi="Arial"/>
          <w:b/>
          <w:bCs/>
          <w:color w:val="4A6FA5"/>
          <w:sz w:val="24"/>
          <w:szCs w:val="24"/>
        </w:rPr>
        <w:t>Section 1.21 — Rights of Children</w:t>
      </w:r>
    </w:p>
    <w:p>
      <w:pPr>
        <w:spacing w:after="60" w:before="60"/>
      </w:pPr>
      <w:r>
        <w:t>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spacing w:after="0" w:before="120"/>
      </w:pPr>
      <w:r>
        <w:t xml:space="preserve"/>
      </w:r>
    </w:p>
    <w:p>
      <w:pPr>
        <w:pStyle w:val="Heading2"/>
        <w:spacing w:after="80" w:before="200"/>
      </w:pPr>
      <w:r>
        <w:rPr>
          <w:rFonts w:ascii="Arial" w:cs="Arial" w:eastAsia="Arial" w:hAnsi="Arial"/>
          <w:b/>
          <w:bCs/>
          <w:color w:val="4A6FA5"/>
          <w:sz w:val="24"/>
          <w:szCs w:val="24"/>
        </w:rPr>
        <w:t>Section 1.22 — Environmental Accountability and Stewardship</w:t>
      </w:r>
    </w:p>
    <w:p>
      <w:pPr>
        <w:spacing w:after="60" w:before="60"/>
        <w:ind w:left="720" w:hanging="360"/>
      </w:pPr>
      <w:r>
        <w:rPr>
          <w:rFonts w:ascii="Arial" w:cs="Arial" w:eastAsia="Arial" w:hAnsi="Arial"/>
          <w:b/>
          <w:bCs/>
          <w:color w:val="4A6FA5"/>
          <w:sz w:val="22"/>
          <w:szCs w:val="22"/>
        </w:rPr>
        <w:t xml:space="preserve">1.22.a Government Non-Harm: </w:t>
      </w:r>
      <w:r>
        <w:rPr>
          <w:rFonts w:ascii="Arial" w:cs="Arial" w:eastAsia="Arial" w:hAnsi="Arial"/>
          <w:color w:val="000000"/>
          <w:sz w:val="22"/>
          <w:szCs w:val="22"/>
        </w:rPr>
        <w:t>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No official may authorize, direct, or participate in the concealment of government-caused or government-permitted environmental harm. Willful concealment triggers Rule Violation proceedings under §2.7.</w:t>
      </w:r>
    </w:p>
    <w:p>
      <w:pPr>
        <w:spacing w:after="60" w:before="60"/>
        <w:ind w:left="720" w:hanging="360"/>
      </w:pPr>
      <w:r>
        <w:rPr>
          <w:rFonts w:ascii="Arial" w:cs="Arial" w:eastAsia="Arial" w:hAnsi="Arial"/>
          <w:b/>
          <w:bCs/>
          <w:color w:val="4A6FA5"/>
          <w:sz w:val="22"/>
          <w:szCs w:val="22"/>
        </w:rPr>
        <w:t xml:space="preserve">1.22.b Environmental Stewardship: </w:t>
      </w:r>
      <w:r>
        <w:rPr>
          <w:rFonts w:ascii="Arial" w:cs="Arial" w:eastAsia="Arial" w:hAnsi="Arial"/>
          <w:color w:val="000000"/>
          <w:sz w:val="22"/>
          <w:szCs w:val="22"/>
        </w:rPr>
        <w:t>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spacing w:after="0" w:before="120"/>
      </w:pPr>
      <w:r>
        <w:t xml:space="preserve"/>
      </w:r>
    </w:p>
    <w:p>
      <w:pPr>
        <w:pStyle w:val="Heading2"/>
        <w:spacing w:after="80" w:before="200"/>
      </w:pPr>
      <w:r>
        <w:rPr>
          <w:rFonts w:ascii="Arial" w:cs="Arial" w:eastAsia="Arial" w:hAnsi="Arial"/>
          <w:b/>
          <w:bCs/>
          <w:color w:val="4A6FA5"/>
          <w:sz w:val="24"/>
          <w:szCs w:val="24"/>
        </w:rPr>
        <w:t>Section 1.23 — Federal Education Assistance and Constitutional Literacy</w:t>
      </w:r>
    </w:p>
    <w:p>
      <w:pPr>
        <w:spacing w:after="60" w:before="60"/>
        <w:ind w:left="720" w:hanging="360"/>
      </w:pPr>
      <w:r>
        <w:rPr>
          <w:rFonts w:ascii="Arial" w:cs="Arial" w:eastAsia="Arial" w:hAnsi="Arial"/>
          <w:b/>
          <w:bCs/>
          <w:color w:val="4A6FA5"/>
          <w:sz w:val="22"/>
          <w:szCs w:val="22"/>
        </w:rPr>
        <w:t xml:space="preserve">1.23.a Federal Education Assistance: </w:t>
      </w:r>
      <w:r>
        <w:rPr>
          <w:rFonts w:ascii="Arial" w:cs="Arial" w:eastAsia="Arial" w:hAnsi="Arial"/>
          <w:color w:val="000000"/>
          <w:sz w:val="22"/>
          <w:szCs w:val="22"/>
        </w:rPr>
        <w:t>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ind w:left="720" w:hanging="360"/>
      </w:pPr>
      <w:r>
        <w:rPr>
          <w:rFonts w:ascii="Arial" w:cs="Arial" w:eastAsia="Arial" w:hAnsi="Arial"/>
          <w:b/>
          <w:bCs/>
          <w:color w:val="4A6FA5"/>
          <w:sz w:val="22"/>
          <w:szCs w:val="22"/>
        </w:rPr>
        <w:t xml:space="preserve">1.23.b Constitutional Literacy: </w:t>
      </w:r>
      <w:r>
        <w:rPr>
          <w:rFonts w:ascii="Arial" w:cs="Arial" w:eastAsia="Arial" w:hAnsi="Arial"/>
          <w:color w:val="000000"/>
          <w:sz w:val="22"/>
          <w:szCs w:val="22"/>
        </w:rPr>
        <w:t>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ind w:left="720" w:hanging="360"/>
      </w:pPr>
      <w:r>
        <w:rPr>
          <w:rFonts w:ascii="Arial" w:cs="Arial" w:eastAsia="Arial" w:hAnsi="Arial"/>
          <w:b/>
          <w:bCs/>
          <w:color w:val="4A6FA5"/>
          <w:sz w:val="22"/>
          <w:szCs w:val="22"/>
        </w:rPr>
        <w:t xml:space="preserve">1.23.c Parental Right: </w:t>
      </w:r>
      <w:r>
        <w:rPr>
          <w:rFonts w:ascii="Arial" w:cs="Arial" w:eastAsia="Arial" w:hAnsi="Arial"/>
          <w:color w:val="000000"/>
          <w:sz w:val="22"/>
          <w:szCs w:val="22"/>
        </w:rPr>
        <w:t>Parents retain the right to educate children through alternative means provided the same constitutional literacy and basic literacy standards established under §1.23.b are demonstrably met.</w:t>
      </w:r>
    </w:p>
    <w:p>
      <w:pPr>
        <w:spacing w:after="0" w:before="120"/>
      </w:pPr>
      <w:r>
        <w:t xml:space="preserve"/>
      </w:r>
    </w:p>
    <w:p>
      <w:pPr>
        <w:pStyle w:val="Heading2"/>
        <w:spacing w:after="80" w:before="200"/>
      </w:pPr>
      <w:r>
        <w:rPr>
          <w:rFonts w:ascii="Arial" w:cs="Arial" w:eastAsia="Arial" w:hAnsi="Arial"/>
          <w:b/>
          <w:bCs/>
          <w:color w:val="4A6FA5"/>
          <w:sz w:val="24"/>
          <w:szCs w:val="24"/>
        </w:rPr>
        <w:t>Section 1.24 — Housing Access and Non-Exclusion</w:t>
      </w:r>
    </w:p>
    <w:p>
      <w:pPr>
        <w:spacing w:after="60" w:before="60"/>
        <w:ind w:left="720" w:hanging="360"/>
      </w:pPr>
      <w:r>
        <w:rPr>
          <w:rFonts w:ascii="Arial" w:cs="Arial" w:eastAsia="Arial" w:hAnsi="Arial"/>
          <w:b/>
          <w:bCs/>
          <w:color w:val="4A6FA5"/>
          <w:sz w:val="22"/>
          <w:szCs w:val="22"/>
        </w:rPr>
        <w:t xml:space="preserve">1.24.a Non-Exclusion Principle: </w:t>
      </w:r>
      <w:r>
        <w:rPr>
          <w:rFonts w:ascii="Arial" w:cs="Arial" w:eastAsia="Arial" w:hAnsi="Arial"/>
          <w:color w:val="000000"/>
          <w:sz w:val="22"/>
          <w:szCs w:val="22"/>
        </w:rPr>
        <w:t>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ind w:left="720" w:hanging="360"/>
      </w:pPr>
      <w:r>
        <w:rPr>
          <w:rFonts w:ascii="Arial" w:cs="Arial" w:eastAsia="Arial" w:hAnsi="Arial"/>
          <w:b/>
          <w:bCs/>
          <w:color w:val="4A6FA5"/>
          <w:sz w:val="22"/>
          <w:szCs w:val="22"/>
        </w:rPr>
        <w:t xml:space="preserve">1.24.b BNF Housing Obligation: </w:t>
      </w:r>
      <w:r>
        <w:rPr>
          <w:rFonts w:ascii="Arial" w:cs="Arial" w:eastAsia="Arial" w:hAnsi="Arial"/>
          <w:color w:val="000000"/>
          <w:sz w:val="22"/>
          <w:szCs w:val="22"/>
        </w:rPr>
        <w:t>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spacing w:after="0" w:before="120"/>
      </w:pPr>
      <w:r>
        <w:t xml:space="preserve"/>
      </w:r>
    </w:p>
    <w:p>
      <w:pPr>
        <w:pStyle w:val="Heading2"/>
        <w:spacing w:after="80" w:before="200"/>
      </w:pPr>
      <w:r>
        <w:rPr>
          <w:rFonts w:ascii="Arial" w:cs="Arial" w:eastAsia="Arial" w:hAnsi="Arial"/>
          <w:b/>
          <w:bCs/>
          <w:color w:val="4A6FA5"/>
          <w:sz w:val="24"/>
          <w:szCs w:val="24"/>
        </w:rPr>
        <w:t>Section 1.25 — Emergency Derogation</w:t>
      </w:r>
    </w:p>
    <w:p>
      <w:pPr>
        <w:spacing w:after="60" w:before="60"/>
        <w:ind w:left="720" w:hanging="360"/>
      </w:pPr>
      <w:r>
        <w:rPr>
          <w:rFonts w:ascii="Arial" w:cs="Arial" w:eastAsia="Arial" w:hAnsi="Arial"/>
          <w:b/>
          <w:bCs/>
          <w:color w:val="4A6FA5"/>
          <w:sz w:val="22"/>
          <w:szCs w:val="22"/>
        </w:rPr>
        <w:t xml:space="preserve">1.25.a Declaration Requirements: </w:t>
      </w:r>
      <w:r>
        <w:rPr>
          <w:rFonts w:ascii="Arial" w:cs="Arial" w:eastAsia="Arial" w:hAnsi="Arial"/>
          <w:color w:val="000000"/>
          <w:sz w:val="22"/>
          <w:szCs w:val="22"/>
        </w:rPr>
        <w:t>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ind w:left="720" w:hanging="360"/>
      </w:pPr>
      <w:r>
        <w:rPr>
          <w:rFonts w:ascii="Arial" w:cs="Arial" w:eastAsia="Arial" w:hAnsi="Arial"/>
          <w:b/>
          <w:bCs/>
          <w:color w:val="4A6FA5"/>
          <w:sz w:val="22"/>
          <w:szCs w:val="22"/>
        </w:rPr>
        <w:t xml:space="preserve">1.25.b Non-Derogable Rights: </w:t>
      </w:r>
      <w:r>
        <w:rPr>
          <w:rFonts w:ascii="Arial" w:cs="Arial" w:eastAsia="Arial" w:hAnsi="Arial"/>
          <w:color w:val="000000"/>
          <w:sz w:val="22"/>
          <w:szCs w:val="22"/>
        </w:rPr>
        <w:t>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ind w:left="720" w:hanging="360"/>
      </w:pPr>
      <w:r>
        <w:rPr>
          <w:rFonts w:ascii="Arial" w:cs="Arial" w:eastAsia="Arial" w:hAnsi="Arial"/>
          <w:b/>
          <w:bCs/>
          <w:color w:val="4A6FA5"/>
          <w:sz w:val="22"/>
          <w:szCs w:val="22"/>
        </w:rPr>
        <w:t xml:space="preserve">1.25.c Inspectorate Continuity: </w:t>
      </w:r>
      <w:r>
        <w:rPr>
          <w:rFonts w:ascii="Arial" w:cs="Arial" w:eastAsia="Arial" w:hAnsi="Arial"/>
          <w:color w:val="000000"/>
          <w:sz w:val="22"/>
          <w:szCs w:val="22"/>
        </w:rPr>
        <w:t>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ind w:left="720" w:hanging="360"/>
      </w:pPr>
      <w:r>
        <w:rPr>
          <w:rFonts w:ascii="Arial" w:cs="Arial" w:eastAsia="Arial" w:hAnsi="Arial"/>
          <w:b/>
          <w:bCs/>
          <w:color w:val="4A6FA5"/>
          <w:sz w:val="22"/>
          <w:szCs w:val="22"/>
        </w:rPr>
        <w:t xml:space="preserve">1.25.d Automatic Expiry and Judicial Review: </w:t>
      </w:r>
      <w:r>
        <w:rPr>
          <w:rFonts w:ascii="Arial" w:cs="Arial" w:eastAsia="Arial" w:hAnsi="Arial"/>
          <w:color w:val="000000"/>
          <w:sz w:val="22"/>
          <w:szCs w:val="22"/>
        </w:rPr>
        <w:t>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ind w:left="720" w:hanging="360"/>
      </w:pPr>
      <w:r>
        <w:rPr>
          <w:rFonts w:ascii="Arial" w:cs="Arial" w:eastAsia="Arial" w:hAnsi="Arial"/>
          <w:b/>
          <w:bCs/>
          <w:color w:val="4A6FA5"/>
          <w:sz w:val="22"/>
          <w:szCs w:val="22"/>
        </w:rPr>
        <w:t xml:space="preserve">1.25.e No Permanent Emergency: </w:t>
      </w:r>
      <w:r>
        <w:rPr>
          <w:rFonts w:ascii="Arial" w:cs="Arial" w:eastAsia="Arial" w:hAnsi="Arial"/>
          <w:color w:val="000000"/>
          <w:sz w:val="22"/>
          <w:szCs w:val="22"/>
        </w:rPr>
        <w:t>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Style w:val="Heading2"/>
      </w:pPr>
      <w:r>
        <w:t>Section 1.26 — Associated Community Residents</w:t>
      </w:r>
    </w:p>
    <w:p>
      <w:pPr>
        <w:spacing w:after="60" w:before="60"/>
        <w:ind w:left="720" w:hanging="360"/>
      </w:pPr>
      <w:r>
        <w:rPr>
          <w:rFonts w:ascii="Arial" w:cs="Arial" w:eastAsia="Arial" w:hAnsi="Arial"/>
          <w:b/>
          <w:bCs/>
          <w:color w:val="4A6FA5"/>
          <w:sz w:val="22"/>
          <w:szCs w:val="22"/>
        </w:rPr>
        <w:t xml:space="preserve">1.26 Associated Community Residents: </w:t>
      </w:r>
      <w:r>
        <w:rPr>
          <w:rFonts w:ascii="Arial" w:cs="Arial" w:eastAsia="Arial" w:hAnsi="Arial"/>
          <w:color w:val="000000"/>
          <w:sz w:val="22"/>
          <w:szCs w:val="22"/>
        </w:rPr>
        <w:t>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Style w:val="Heading2"/>
      </w:pPr>
      <w:r>
        <w:t>Section 1.27 — Non-Refoulement</w:t>
      </w:r>
    </w:p>
    <w:p>
      <w:r>
        <w:rPr>
          <w:rFonts w:ascii="Arial" w:hAnsi="Arial"/>
          <w:b/>
          <w:sz w:val="22"/>
        </w:rPr>
        <w:t xml:space="preserve">1.27 Non-Refoulement: </w:t>
      </w:r>
      <w:r>
        <w:rPr>
          <w:rFonts w:ascii="Arial" w:hAnsi="Arial"/>
          <w:sz w:val="22"/>
        </w:rPr>
        <w:t>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II — THE DUAL EXECUTIVE</w:t>
      </w:r>
    </w:p>
    <w:p>
      <w:pPr>
        <w:spacing w:after="0" w:before="120"/>
      </w:pPr>
      <w:r>
        <w:t xml:space="preserve"/>
      </w:r>
    </w:p>
    <w:p>
      <w:pPr>
        <w:spacing w:after="60" w:before="60"/>
      </w:pPr>
      <w:r>
        <w:rPr>
          <w:rFonts w:ascii="Arial" w:cs="Arial" w:eastAsia="Arial" w:hAnsi="Arial"/>
          <w:color w:val="000000"/>
          <w:sz w:val="22"/>
          <w:szCs w:val="22"/>
        </w:rPr>
        <w:t>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constitutional Rule Violation during any prior period of federal service. No person may serve more than one presidential term.</w:t>
      </w:r>
    </w:p>
    <w:p>
      <w:pPr>
        <w:pStyle w:val="Heading2"/>
        <w:spacing w:after="80" w:before="200"/>
      </w:pPr>
      <w:r>
        <w:rPr>
          <w:rFonts w:ascii="Arial" w:cs="Arial" w:eastAsia="Arial" w:hAnsi="Arial"/>
          <w:b/>
          <w:bCs/>
          <w:color w:val="4A6FA5"/>
          <w:sz w:val="24"/>
          <w:szCs w:val="24"/>
        </w:rPr>
        <w:t>Section 2.1 — The President</w:t>
      </w:r>
    </w:p>
    <w:p>
      <w:pPr>
        <w:spacing w:after="60" w:before="60"/>
        <w:ind w:left="720" w:hanging="360"/>
      </w:pPr>
      <w:r>
        <w:rPr>
          <w:rFonts w:ascii="Arial" w:cs="Arial" w:eastAsia="Arial" w:hAnsi="Arial"/>
          <w:b/>
          <w:bCs/>
          <w:color w:val="4A6FA5"/>
          <w:sz w:val="22"/>
          <w:szCs w:val="22"/>
        </w:rPr>
        <w:t xml:space="preserve">2.1 Presidential Term: </w:t>
      </w:r>
      <w:r>
        <w:rPr>
          <w:rFonts w:ascii="Arial" w:cs="Arial" w:eastAsia="Arial" w:hAnsi="Arial"/>
          <w:color w:val="000000"/>
          <w:sz w:val="22"/>
          <w:szCs w:val="22"/>
        </w:rPr>
        <w:t>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ind w:left="720" w:hanging="360"/>
      </w:pPr>
      <w:r>
        <w:rPr>
          <w:rFonts w:ascii="Arial" w:cs="Arial" w:eastAsia="Arial" w:hAnsi="Arial"/>
          <w:b/>
          <w:bCs/>
          <w:color w:val="4A6FA5"/>
          <w:sz w:val="22"/>
          <w:szCs w:val="22"/>
        </w:rPr>
        <w:t xml:space="preserve">2.1.a Tier 1 — Immediate Defensive Response: </w:t>
      </w:r>
      <w:r>
        <w:rPr>
          <w:rFonts w:ascii="Arial" w:cs="Arial" w:eastAsia="Arial" w:hAnsi="Arial"/>
          <w:color w:val="000000"/>
          <w:sz w:val="22"/>
          <w:szCs w:val="22"/>
        </w:rPr>
        <w:t>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ind w:left="720" w:hanging="360"/>
      </w:pPr>
      <w:r>
        <w:rPr>
          <w:rFonts w:ascii="Arial" w:cs="Arial" w:eastAsia="Arial" w:hAnsi="Arial"/>
          <w:b/>
          <w:bCs/>
          <w:color w:val="4A6FA5"/>
          <w:sz w:val="22"/>
          <w:szCs w:val="22"/>
        </w:rPr>
        <w:t xml:space="preserve">2.1.b Tier 2 — Senate Armed Services Authorization: </w:t>
      </w:r>
      <w:r>
        <w:rPr>
          <w:rFonts w:ascii="Arial" w:cs="Arial" w:eastAsia="Arial" w:hAnsi="Arial"/>
          <w:color w:val="000000"/>
          <w:sz w:val="22"/>
          <w:szCs w:val="22"/>
        </w:rPr>
        <w:t>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ind w:left="720" w:hanging="360"/>
      </w:pPr>
      <w:r>
        <w:rPr>
          <w:rFonts w:ascii="Arial" w:cs="Arial" w:eastAsia="Arial" w:hAnsi="Arial"/>
          <w:b/>
          <w:bCs/>
          <w:color w:val="4A6FA5"/>
          <w:sz w:val="22"/>
          <w:szCs w:val="22"/>
        </w:rPr>
        <w:t xml:space="preserve">2.1.c Tier 3 — Legislative Declaration of Defense: </w:t>
      </w:r>
      <w:r>
        <w:rPr>
          <w:rFonts w:ascii="Arial" w:cs="Arial" w:eastAsia="Arial" w:hAnsi="Arial"/>
          <w:color w:val="000000"/>
          <w:sz w:val="22"/>
          <w:szCs w:val="22"/>
        </w:rPr>
        <w:t>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ind w:left="720" w:hanging="360"/>
      </w:pPr>
      <w:r>
        <w:rPr>
          <w:rFonts w:ascii="Arial" w:cs="Arial" w:eastAsia="Arial" w:hAnsi="Arial"/>
          <w:b/>
          <w:bCs/>
          <w:color w:val="4A6FA5"/>
          <w:sz w:val="22"/>
          <w:szCs w:val="22"/>
        </w:rPr>
        <w:t xml:space="preserve">2.1.d Funding Lock: </w:t>
      </w:r>
      <w:r>
        <w:rPr>
          <w:rFonts w:ascii="Arial" w:cs="Arial" w:eastAsia="Arial" w:hAnsi="Arial"/>
          <w:color w:val="000000"/>
          <w:sz w:val="22"/>
          <w:szCs w:val="22"/>
        </w:rPr>
        <w:t>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ind w:left="720" w:hanging="360"/>
      </w:pPr>
      <w:r>
        <w:rPr>
          <w:rFonts w:ascii="Arial" w:cs="Arial" w:eastAsia="Arial" w:hAnsi="Arial"/>
          <w:b/>
          <w:bCs/>
          <w:color w:val="4A6FA5"/>
          <w:sz w:val="22"/>
          <w:szCs w:val="22"/>
        </w:rPr>
        <w:t xml:space="preserve">2.1.e Privacy Firewall: </w:t>
      </w:r>
      <w:r>
        <w:rPr>
          <w:rFonts w:ascii="Arial" w:cs="Arial" w:eastAsia="Arial" w:hAnsi="Arial"/>
          <w:color w:val="000000"/>
          <w:sz w:val="22"/>
          <w:szCs w:val="22"/>
        </w:rPr>
        <w:t>Any order for domestic surveillance or intelligence activity directed at Republic citizens is a Rule Violation against the President and the Director of Intelligence, triggering immediate suspension and a Senate trial within 72 hours under §2.7.</w:t>
      </w:r>
    </w:p>
    <w:p>
      <w:pPr>
        <w:spacing w:after="60" w:before="60"/>
        <w:ind w:left="720" w:hanging="360"/>
      </w:pPr>
      <w:r>
        <w:rPr>
          <w:rFonts w:ascii="Arial" w:cs="Arial" w:eastAsia="Arial" w:hAnsi="Arial"/>
          <w:b/>
          <w:bCs/>
          <w:color w:val="4A6FA5"/>
          <w:sz w:val="22"/>
          <w:szCs w:val="22"/>
        </w:rPr>
        <w:t xml:space="preserve">2.1.f Presidential Veto — Scope: </w:t>
      </w:r>
      <w:r>
        <w:rPr>
          <w:rFonts w:ascii="Arial" w:cs="Arial" w:eastAsia="Arial" w:hAnsi="Arial"/>
          <w:color w:val="000000"/>
          <w:sz w:val="22"/>
          <w:szCs w:val="22"/>
        </w:rPr>
        <w:t>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ind w:left="720" w:hanging="360"/>
      </w:pPr>
      <w:r>
        <w:rPr>
          <w:rFonts w:ascii="Arial" w:cs="Arial" w:eastAsia="Arial" w:hAnsi="Arial"/>
          <w:b/>
          <w:bCs/>
          <w:color w:val="4A6FA5"/>
          <w:sz w:val="22"/>
          <w:szCs w:val="22"/>
        </w:rPr>
        <w:t xml:space="preserve">2.1.f.i Judicial Review and Override: </w:t>
      </w:r>
      <w:r>
        <w:rPr>
          <w:rFonts w:ascii="Arial" w:cs="Arial" w:eastAsia="Arial" w:hAnsi="Arial"/>
          <w:color w:val="000000"/>
          <w:sz w:val="22"/>
          <w:szCs w:val="22"/>
        </w:rPr>
        <w:t>The Supreme Court reviews any veto within 48 hours on petition from either chamber's Speaker on two independent grounds: scope and justification. A veto found out of scope or unjustified is void and is a Rule Violation.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ind w:left="720" w:hanging="360"/>
      </w:pPr>
      <w:r>
        <w:rPr>
          <w:rFonts w:ascii="Arial" w:cs="Arial" w:eastAsia="Arial" w:hAnsi="Arial"/>
          <w:b/>
          <w:bCs/>
          <w:color w:val="4A6FA5"/>
          <w:sz w:val="22"/>
          <w:szCs w:val="22"/>
        </w:rPr>
        <w:t xml:space="preserve">2.1.f.ii Suspension for Repeated Void Vetoes: </w:t>
      </w:r>
      <w:r>
        <w:rPr>
          <w:rFonts w:ascii="Arial" w:cs="Arial" w:eastAsia="Arial" w:hAnsi="Arial"/>
          <w:color w:val="000000"/>
          <w:sz w:val="22"/>
          <w:szCs w:val="22"/>
        </w:rPr>
        <w:t>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ind w:left="720" w:hanging="360"/>
      </w:pPr>
      <w:r>
        <w:rPr>
          <w:rFonts w:ascii="Arial" w:cs="Arial" w:eastAsia="Arial" w:hAnsi="Arial"/>
          <w:b/>
          <w:bCs/>
          <w:color w:val="4A6FA5"/>
          <w:sz w:val="22"/>
          <w:szCs w:val="22"/>
        </w:rPr>
        <w:t xml:space="preserve">2.1.g Presidential Clemency: </w:t>
      </w:r>
      <w:r>
        <w:rPr>
          <w:rFonts w:ascii="Arial" w:cs="Arial" w:eastAsia="Arial" w:hAnsi="Arial"/>
          <w:color w:val="000000"/>
          <w:sz w:val="22"/>
          <w:szCs w:val="22"/>
        </w:rPr>
        <w:t>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 Rule Violation under §2.7; any offense in which the President was a participant, co-conspirator, or direct beneficiary; any offense committed by a current or former official abusing their official position; or any offense for which the convicted person is simultaneously subject to Rule Violation proceedings. The President may not grant clemency to themselves. Every petition, every EI report, and every grant or decline is published to the National Record System permanently.</w:t>
      </w:r>
    </w:p>
    <w:p>
      <w:pPr>
        <w:spacing w:after="60" w:before="60"/>
        <w:ind w:left="720" w:hanging="360"/>
      </w:pPr>
      <w:r>
        <w:rPr>
          <w:b/>
        </w:rPr>
        <w:t xml:space="preserve">2.1.h Dual Executive Conflict Resolution During Active Operations: </w:t>
      </w:r>
      <w: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spacing w:after="0" w:before="120"/>
      </w:pPr>
      <w:r>
        <w:t xml:space="preserve"/>
      </w:r>
    </w:p>
    <w:p>
      <w:pPr>
        <w:pStyle w:val="Heading2"/>
        <w:spacing w:after="80" w:before="200"/>
      </w:pPr>
      <w:r>
        <w:rPr>
          <w:rFonts w:ascii="Arial" w:cs="Arial" w:eastAsia="Arial" w:hAnsi="Arial"/>
          <w:b/>
          <w:bCs/>
          <w:color w:val="4A6FA5"/>
          <w:sz w:val="24"/>
          <w:szCs w:val="24"/>
        </w:rPr>
        <w:t>Section 2.2 — The Prime Minister</w:t>
      </w:r>
    </w:p>
    <w:p>
      <w:pPr>
        <w:spacing w:after="60" w:before="60"/>
      </w:pPr>
      <w:r>
        <w:rPr>
          <w:rFonts w:ascii="Arial" w:cs="Arial" w:eastAsia="Arial" w:hAnsi="Arial"/>
          <w:color w:val="000000"/>
          <w:sz w:val="22"/>
          <w:szCs w:val="22"/>
        </w:rPr>
        <w:t>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ind w:left="720" w:hanging="360"/>
      </w:pPr>
      <w:r>
        <w:rPr>
          <w:rFonts w:ascii="Arial" w:cs="Arial" w:eastAsia="Arial" w:hAnsi="Arial"/>
          <w:b/>
          <w:bCs/>
          <w:color w:val="4A6FA5"/>
          <w:sz w:val="22"/>
          <w:szCs w:val="22"/>
        </w:rPr>
        <w:t xml:space="preserve">2.2.a The Record System Mandate: </w:t>
      </w:r>
      <w:r>
        <w:rPr>
          <w:rFonts w:ascii="Arial" w:cs="Arial" w:eastAsia="Arial" w:hAnsi="Arial"/>
          <w:color w:val="000000"/>
          <w:sz w:val="22"/>
          <w:szCs w:val="22"/>
        </w:rPr>
        <w:t>The Prime Minister must record all executive orders, contracts, and expenditures on the National Record System within 24 hours of issuance. Unrecorded orders are void.</w:t>
      </w:r>
    </w:p>
    <w:p>
      <w:pPr>
        <w:spacing w:after="60" w:before="60"/>
        <w:ind w:left="720" w:hanging="360"/>
      </w:pPr>
      <w:r>
        <w:rPr>
          <w:rFonts w:ascii="Arial" w:cs="Arial" w:eastAsia="Arial" w:hAnsi="Arial"/>
          <w:b/>
          <w:bCs/>
          <w:color w:val="4A6FA5"/>
          <w:sz w:val="22"/>
          <w:szCs w:val="22"/>
        </w:rPr>
        <w:t xml:space="preserve">2.2.b Duty of Refusal: </w:t>
      </w:r>
      <w:r>
        <w:rPr>
          <w:rFonts w:ascii="Arial" w:cs="Arial" w:eastAsia="Arial" w:hAnsi="Arial"/>
          <w:color w:val="000000"/>
          <w:sz w:val="22"/>
          <w:szCs w:val="22"/>
        </w:rPr>
        <w:t>Civil servants must refuse and report any order that lacks PM fund certification, violates Article I rights, or has not been recorded on the National Record System.</w:t>
      </w:r>
    </w:p>
    <w:p>
      <w:pPr>
        <w:spacing w:after="60" w:before="60"/>
        <w:ind w:left="720" w:hanging="360"/>
      </w:pPr>
      <w:r>
        <w:rPr>
          <w:rFonts w:ascii="Arial" w:cs="Arial" w:eastAsia="Arial" w:hAnsi="Arial"/>
          <w:b/>
          <w:bCs/>
          <w:color w:val="4A6FA5"/>
          <w:sz w:val="22"/>
          <w:szCs w:val="22"/>
        </w:rPr>
        <w:t xml:space="preserve">2.2.c Maximum Consecutive Service: </w:t>
      </w:r>
      <w:r>
        <w:rPr>
          <w:rFonts w:ascii="Arial" w:cs="Arial" w:eastAsia="Arial" w:hAnsi="Arial"/>
          <w:color w:val="000000"/>
          <w:sz w:val="22"/>
          <w:szCs w:val="22"/>
        </w:rPr>
        <w:t>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ind w:left="720" w:hanging="360"/>
      </w:pPr>
      <w:r>
        <w:rPr>
          <w:rFonts w:ascii="Arial" w:cs="Arial" w:eastAsia="Arial" w:hAnsi="Arial"/>
          <w:b/>
          <w:bCs/>
          <w:color w:val="4A6FA5"/>
          <w:sz w:val="22"/>
          <w:szCs w:val="22"/>
        </w:rPr>
        <w:t xml:space="preserve">2.2.d Civil Service Integrity: </w:t>
      </w:r>
      <w:r>
        <w:rPr>
          <w:rFonts w:ascii="Arial" w:cs="Arial" w:eastAsia="Arial" w:hAnsi="Arial"/>
          <w:color w:val="000000"/>
          <w:sz w:val="22"/>
          <w:szCs w:val="22"/>
        </w:rPr>
        <w:t>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ind w:left="720" w:hanging="360"/>
      </w:pPr>
      <w:r>
        <w:rPr>
          <w:rFonts w:ascii="Arial" w:cs="Arial" w:eastAsia="Arial" w:hAnsi="Arial"/>
          <w:b/>
          <w:bCs/>
          <w:color w:val="4A6FA5"/>
          <w:sz w:val="22"/>
          <w:szCs w:val="22"/>
        </w:rPr>
        <w:t xml:space="preserve">2.2.d.i Civil Service Statutory Mandate and Rule Violation: </w:t>
      </w:r>
      <w:r>
        <w:rPr>
          <w:rFonts w:ascii="Arial" w:cs="Arial" w:eastAsia="Arial" w:hAnsi="Arial"/>
          <w:color w:val="000000"/>
          <w:sz w:val="22"/>
          <w:szCs w:val="22"/>
        </w:rPr>
        <w:t>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a Rule Violation.</w:t>
      </w:r>
    </w:p>
    <w:p>
      <w:pPr>
        <w:spacing w:after="60" w:before="60"/>
        <w:ind w:left="720" w:hanging="360"/>
      </w:pPr>
      <w:r>
        <w:rPr>
          <w:rFonts w:ascii="Arial" w:cs="Arial" w:eastAsia="Arial" w:hAnsi="Arial"/>
          <w:b/>
          <w:bCs/>
          <w:color w:val="4A6FA5"/>
          <w:sz w:val="22"/>
          <w:szCs w:val="22"/>
        </w:rPr>
        <w:t xml:space="preserve">2.2.e Domestic Emergency Authority: </w:t>
      </w:r>
      <w:r>
        <w:rPr>
          <w:rFonts w:ascii="Arial" w:cs="Arial" w:eastAsia="Arial" w:hAnsi="Arial"/>
          <w:color w:val="000000"/>
          <w:sz w:val="22"/>
          <w:szCs w:val="22"/>
        </w:rPr>
        <w:t>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ind w:left="720" w:hanging="360"/>
      </w:pPr>
      <w:r>
        <w:rPr>
          <w:rFonts w:ascii="Arial" w:cs="Arial" w:eastAsia="Arial" w:hAnsi="Arial"/>
          <w:b/>
          <w:bCs/>
          <w:color w:val="4A6FA5"/>
          <w:sz w:val="22"/>
          <w:szCs w:val="22"/>
        </w:rPr>
        <w:t xml:space="preserve">2.2.f PM Clemency: </w:t>
      </w:r>
      <w:r>
        <w:rPr>
          <w:rFonts w:ascii="Arial" w:cs="Arial" w:eastAsia="Arial" w:hAnsi="Arial"/>
          <w:color w:val="000000"/>
          <w:sz w:val="22"/>
          <w:szCs w:val="22"/>
        </w:rPr>
        <w:t>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Rule Violations, for offenses in which the PM was a participant or beneficiary, for offenses committed by officials abusing their position, or for persons simultaneously subject to Rule Violation proceedings. The PM may not grant clemency to themselves. Every petition, EI report, and executive decision is published to the National Record System permanently.</w:t>
      </w:r>
    </w:p>
    <w:p>
      <w:pPr>
        <w:spacing w:after="60" w:before="60"/>
        <w:ind w:left="720" w:hanging="360"/>
      </w:pPr>
      <w:r>
        <w:rPr>
          <w:b/>
        </w:rPr>
        <w:t xml:space="preserve">2.2.g Ministerial Appointments: </w:t>
      </w:r>
      <w: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0" w:before="120"/>
      </w:pPr>
      <w:r>
        <w:t xml:space="preserve"/>
      </w:r>
    </w:p>
    <w:p>
      <w:pPr>
        <w:pStyle w:val="Heading2"/>
        <w:spacing w:after="80" w:before="200"/>
      </w:pPr>
      <w:r>
        <w:rPr>
          <w:rFonts w:ascii="Arial" w:cs="Arial" w:eastAsia="Arial" w:hAnsi="Arial"/>
          <w:b/>
          <w:bCs/>
          <w:color w:val="4A6FA5"/>
          <w:sz w:val="24"/>
          <w:szCs w:val="24"/>
        </w:rPr>
        <w:t>Section 2.3 — PM Selection and Removal by the House</w:t>
      </w:r>
    </w:p>
    <w:p>
      <w:pPr>
        <w:spacing w:after="60" w:before="60"/>
      </w:pPr>
      <w:r>
        <w:rPr>
          <w:rFonts w:ascii="Arial" w:cs="Arial" w:eastAsia="Arial" w:hAnsi="Arial"/>
          <w:color w:val="000000"/>
          <w:sz w:val="22"/>
          <w:szCs w:val="22"/>
        </w:rPr>
        <w:t>The Prime Minister serves at the confidence of the House.</w:t>
      </w:r>
    </w:p>
    <w:p>
      <w:pPr>
        <w:spacing w:after="60" w:before="60"/>
        <w:ind w:left="720" w:hanging="360"/>
      </w:pPr>
      <w:r>
        <w:rPr>
          <w:rFonts w:ascii="Arial" w:cs="Arial" w:eastAsia="Arial" w:hAnsi="Arial"/>
          <w:b/>
          <w:bCs/>
          <w:color w:val="4A6FA5"/>
          <w:sz w:val="22"/>
          <w:szCs w:val="22"/>
        </w:rPr>
        <w:t xml:space="preserve">2.3.a Selection: </w:t>
      </w:r>
      <w:r>
        <w:rPr>
          <w:rFonts w:ascii="Arial" w:cs="Arial" w:eastAsia="Arial" w:hAnsi="Arial"/>
          <w:color w:val="000000"/>
          <w:sz w:val="22"/>
          <w:szCs w:val="22"/>
        </w:rPr>
        <w:t>The House selects the Prime Minister by absolute majority — meaning a majority of the full seated membership, not merely those present or voting; this definition applies throughout this Article. Failure to seat a PM within a period the Legislature defines by statute — not to exceed 60 days — results in dissolution of the entire House. the Legislature must by statute define the consequences for members who fail to participate in good faith during the selection period; the consequences must include, at minimum, a bar on standing for election to any federal office for at least one full House electoral cycle following the dissolution. the Legislature must also provide that members who cast at least one affirmative vote for any PM candidate during the selection period are exempt from any such bar. Upon dissolution, the Senate Speaker calls new House elections within 30 days; the new House must be fully seated within 60 days of dissolution.</w:t>
      </w:r>
    </w:p>
    <w:p>
      <w:pPr>
        <w:spacing w:after="60" w:before="60"/>
        <w:ind w:left="720" w:hanging="360"/>
      </w:pPr>
      <w:r>
        <w:rPr>
          <w:rFonts w:ascii="Arial" w:cs="Arial" w:eastAsia="Arial" w:hAnsi="Arial"/>
          <w:b/>
          <w:bCs/>
          <w:color w:val="4A6FA5"/>
          <w:sz w:val="22"/>
          <w:szCs w:val="22"/>
        </w:rPr>
        <w:t xml:space="preserve">2.3.b Constructive Vote of No Confidence: </w:t>
      </w:r>
      <w:r>
        <w:rPr>
          <w:rFonts w:ascii="Arial" w:cs="Arial" w:eastAsia="Arial" w:hAnsi="Arial"/>
          <w:color w:val="000000"/>
          <w:sz w:val="22"/>
          <w:szCs w:val="22"/>
        </w:rPr>
        <w:t>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This constructive requirement means the House must agree not only that it has lost confidence in the current PM but that it has found a specific successor with majority support.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ind w:left="720" w:hanging="360"/>
      </w:pPr>
      <w:r>
        <w:rPr>
          <w:rFonts w:ascii="Arial" w:cs="Arial" w:eastAsia="Arial" w:hAnsi="Arial"/>
          <w:b/>
          <w:bCs/>
          <w:color w:val="4A6FA5"/>
          <w:sz w:val="22"/>
          <w:szCs w:val="22"/>
        </w:rPr>
        <w:t xml:space="preserve">2.3.c Caretaker Protocol: </w:t>
      </w:r>
      <w:r>
        <w:rPr>
          <w:rFonts w:ascii="Arial" w:cs="Arial" w:eastAsia="Arial" w:hAnsi="Arial"/>
          <w:color w:val="000000"/>
          <w:sz w:val="22"/>
          <w:szCs w:val="22"/>
        </w:rPr>
        <w:t>The Senior Domestic Affairs Council Officer serves as Caretaker PM during any PM vacancy, restricted to maintenance of existing obligations only. No new policy or spending may be initiated during the interim. Exception — Domestic Emergency: The Caretaker PM retains the full domestic emergency authority of §2.2.e during any vacancy period. Exception — Military Fund Certification: The Caretaker PM retains the full fund certification authority of §2.1.d for military operations that were active and duly authorized at the date of the PM vacancy — including ongoing Tier 2 and Tier 3 operations. The Caretaker PM may not issue fund certification for a new Tier 2 authorization arising during the vacancy period unless the Senate Armed Services Committee has additionally certified in writing that operational necessity requires immediate fund authorization before a permanent PM can be seated. That certification is published to the National Record System within 6 hours of issuance. A declared domestic emergency by a Caretaker PM follows the same parliamentary ratification requirement of §2.2.e as any other domestic emergency declaration. Emergencies do not pause for governance transitions; the constitutional framework must remain capable of responding regardless of whether a permanent PM has been seated.</w:t>
      </w:r>
    </w:p>
    <w:p>
      <w:pPr>
        <w:spacing w:after="60" w:before="60"/>
        <w:ind w:left="720" w:hanging="360"/>
      </w:pPr>
      <w:r>
        <w:rPr>
          <w:rFonts w:ascii="Arial" w:cs="Arial" w:eastAsia="Arial" w:hAnsi="Arial"/>
          <w:b/>
          <w:bCs/>
          <w:color w:val="4A6FA5"/>
          <w:sz w:val="22"/>
          <w:szCs w:val="22"/>
        </w:rPr>
        <w:t xml:space="preserve">2.3.d Post-Dissolution Election Bar: </w:t>
      </w:r>
      <w:r>
        <w:rPr>
          <w:rFonts w:ascii="Arial" w:cs="Arial" w:eastAsia="Arial" w:hAnsi="Arial"/>
          <w:color w:val="000000"/>
          <w:sz w:val="22"/>
          <w:szCs w:val="22"/>
        </w:rPr>
        <w:t>In any House election triggered by dissolution, no political party or organized faction that held a majority of seats in the dissolved House may field candidates in the emergency election. That organization may return at the next regular election cycle. Members who held minority seats are unaffected. The Post-Dissolution Election Bar and any individual member's mandatory cooling-off period operate independently and neither waives the other. For purposes of this section, a majority of seats means more than half of the total seated membership when dissolution; where no single party holds a majority, the Post-Dissolution Election Bar does not apply to any party.</w:t>
      </w:r>
    </w:p>
    <w:p>
      <w:pPr>
        <w:spacing w:after="60" w:before="60"/>
        <w:ind w:left="720" w:hanging="360"/>
      </w:pPr>
      <w:r>
        <w:rPr>
          <w:rFonts w:ascii="Arial" w:cs="Arial" w:eastAsia="Arial" w:hAnsi="Arial"/>
          <w:b/>
          <w:bCs/>
          <w:color w:val="4A6FA5"/>
          <w:sz w:val="22"/>
          <w:szCs w:val="22"/>
        </w:rPr>
        <w:t xml:space="preserve">2.3.e Repeated Dissolution Protocol: </w:t>
      </w:r>
      <w:r>
        <w:rPr>
          <w:rFonts w:ascii="Arial" w:cs="Arial" w:eastAsia="Arial" w:hAnsi="Arial"/>
          <w:color w:val="000000"/>
          <w:sz w:val="22"/>
          <w:szCs w:val="22"/>
        </w:rPr>
        <w:t>Where a second consecutive dissolution occurs — a newly elected House also failing to seat a PM within the statutory window — the Legislature must by statute establish an escalating consequences framework that includes: a shortened PM-selection period for the resulting House; a Senate-nominated Caretaker PM authority with full (not maintenance-only) PM powers for a defined period; a Senate selection mechanism for such a Caretaker PM from candidates who have never held partisan elected office; and a fresh-general-election backstop when Senate itself deadlocks. The constitutional principle is that successive dissolutions produce increasingly direct Senate intervention and ultimately a clean-slate election with all prior dissolution bars suspended. the Legislature defines the specific sequence, timelines, and thresholds by statute, provided the sequence ends in a new general election if no PM can be seated within the statutory escalation period.</w:t>
      </w:r>
    </w:p>
    <w:p>
      <w:pPr>
        <w:pStyle w:val="Heading2"/>
        <w:spacing w:after="80" w:before="200"/>
      </w:pPr>
      <w:r>
        <w:rPr>
          <w:rFonts w:ascii="Arial" w:cs="Arial" w:eastAsia="Arial" w:hAnsi="Arial"/>
          <w:b/>
          <w:bCs/>
          <w:color w:val="4A6FA5"/>
          <w:sz w:val="24"/>
          <w:szCs w:val="24"/>
        </w:rPr>
        <w:t>Section 2.4 — PM Legislative Objection</w:t>
      </w:r>
    </w:p>
    <w:p>
      <w:pPr>
        <w:spacing w:after="60" w:before="60"/>
      </w:pPr>
      <w:r>
        <w:rPr>
          <w:rFonts w:ascii="Arial" w:cs="Arial" w:eastAsia="Arial" w:hAnsi="Arial"/>
          <w:color w:val="000000"/>
          <w:sz w:val="22"/>
          <w:szCs w:val="22"/>
        </w:rPr>
        <w:t>The Prime Minister holds two objection powers over enacted legislation. Both are suspensive — the Legislature retains the final word in all cases.</w:t>
      </w:r>
    </w:p>
    <w:p>
      <w:pPr>
        <w:spacing w:after="60" w:before="60"/>
        <w:ind w:left="720" w:hanging="360"/>
      </w:pPr>
      <w:r>
        <w:rPr>
          <w:rFonts w:ascii="Arial" w:cs="Arial" w:eastAsia="Arial" w:hAnsi="Arial"/>
          <w:b/>
          <w:bCs/>
          <w:color w:val="4A6FA5"/>
          <w:sz w:val="22"/>
          <w:szCs w:val="22"/>
        </w:rPr>
        <w:t xml:space="preserve">2.4.a Suspensive Veto: </w:t>
      </w:r>
      <w:r>
        <w:rPr>
          <w:rFonts w:ascii="Arial" w:cs="Arial" w:eastAsia="Arial" w:hAnsi="Arial"/>
          <w:color w:val="000000"/>
          <w:sz w:val="22"/>
          <w:szCs w:val="22"/>
        </w:rPr>
        <w:t>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ind w:left="720" w:hanging="360"/>
      </w:pPr>
      <w:r>
        <w:rPr>
          <w:rFonts w:ascii="Arial" w:cs="Arial" w:eastAsia="Arial" w:hAnsi="Arial"/>
          <w:b/>
          <w:bCs/>
          <w:color w:val="4A6FA5"/>
          <w:sz w:val="22"/>
          <w:szCs w:val="22"/>
        </w:rPr>
        <w:t xml:space="preserve">2.4.b Fiscal Objection: </w:t>
      </w:r>
      <w:r>
        <w:rPr>
          <w:rFonts w:ascii="Arial" w:cs="Arial" w:eastAsia="Arial" w:hAnsi="Arial"/>
          <w:color w:val="000000"/>
          <w:sz w:val="22"/>
          <w:szCs w:val="22"/>
        </w:rPr>
        <w:t>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ind w:left="720" w:hanging="360"/>
      </w:pPr>
      <w:r>
        <w:rPr>
          <w:rFonts w:ascii="Arial" w:cs="Arial" w:eastAsia="Arial" w:hAnsi="Arial"/>
          <w:b/>
          <w:bCs/>
          <w:color w:val="4A6FA5"/>
          <w:sz w:val="22"/>
          <w:szCs w:val="22"/>
        </w:rPr>
        <w:t xml:space="preserve">2.4.c Limits: </w:t>
      </w:r>
      <w:r>
        <w:rPr>
          <w:rFonts w:ascii="Arial" w:cs="Arial" w:eastAsia="Arial" w:hAnsi="Arial"/>
          <w:color w:val="000000"/>
          <w:sz w:val="22"/>
          <w:szCs w:val="22"/>
        </w:rPr>
        <w:t>The suspensive veto provides a deliberation interval and forces the Legislature to recommit to the legislation; it does not convert PM policy preferences into law. Any objection lacking the required written statement is void and is a Rule Violation.</w:t>
      </w:r>
    </w:p>
    <w:p>
      <w:pPr>
        <w:spacing w:after="0" w:before="120"/>
      </w:pPr>
      <w:r>
        <w:t xml:space="preserve"/>
      </w:r>
    </w:p>
    <w:p>
      <w:pPr>
        <w:pStyle w:val="Heading2"/>
        <w:spacing w:after="80" w:before="200"/>
      </w:pPr>
      <w:r>
        <w:rPr>
          <w:rFonts w:ascii="Arial" w:cs="Arial" w:eastAsia="Arial" w:hAnsi="Arial"/>
          <w:b/>
          <w:bCs/>
          <w:color w:val="4A6FA5"/>
          <w:sz w:val="24"/>
          <w:szCs w:val="24"/>
        </w:rPr>
        <w:t>Section 2.5 — The Legislative Review Period</w:t>
      </w:r>
    </w:p>
    <w:p>
      <w:pPr>
        <w:spacing w:after="60" w:before="60"/>
      </w:pPr>
      <w:r>
        <w:rPr>
          <w:rFonts w:ascii="Arial" w:cs="Arial" w:eastAsia="Arial" w:hAnsi="Arial"/>
          <w:color w:val="000000"/>
          <w:sz w:val="22"/>
          <w:szCs w:val="22"/>
        </w:rPr>
        <w:t>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ind w:left="720" w:hanging="360"/>
      </w:pPr>
      <w:r>
        <w:rPr>
          <w:rFonts w:ascii="Arial" w:cs="Arial" w:eastAsia="Arial" w:hAnsi="Arial"/>
          <w:b/>
          <w:bCs/>
          <w:color w:val="4A6FA5"/>
          <w:sz w:val="22"/>
          <w:szCs w:val="22"/>
        </w:rPr>
        <w:t xml:space="preserve">2.5.a Emergency Legislative Continuity: </w:t>
      </w:r>
      <w:r>
        <w:rPr>
          <w:rFonts w:ascii="Arial" w:cs="Arial" w:eastAsia="Arial" w:hAnsi="Arial"/>
          <w:color w:val="000000"/>
          <w:sz w:val="22"/>
          <w:szCs w:val="22"/>
        </w:rPr>
        <w:t>If the House is physically unable to convene — in person or by any remote means — during the 72-hour presidential review window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2.6 — Succession</w:t>
      </w:r>
    </w:p>
    <w:p>
      <w:pPr>
        <w:spacing w:after="60" w:before="60"/>
        <w:ind w:left="720" w:hanging="360"/>
      </w:pPr>
      <w:r>
        <w:rPr>
          <w:rFonts w:ascii="Arial" w:cs="Arial" w:eastAsia="Arial" w:hAnsi="Arial"/>
          <w:b/>
          <w:bCs/>
          <w:color w:val="4A6FA5"/>
          <w:sz w:val="22"/>
          <w:szCs w:val="22"/>
        </w:rPr>
        <w:t xml:space="preserve">2.6.a Presidential Succession Line: </w:t>
      </w:r>
      <w:r>
        <w:rPr>
          <w:rFonts w:ascii="Arial" w:cs="Arial" w:eastAsia="Arial" w:hAnsi="Arial"/>
          <w:color w:val="000000"/>
          <w:sz w:val="22"/>
          <w:szCs w:val="22"/>
        </w:rPr>
        <w:t>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The Deputy Speaker automatically ascends to Speaker if the Speaker assumes the Presidency.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ind w:left="720" w:hanging="360"/>
      </w:pPr>
      <w:r>
        <w:rPr>
          <w:rFonts w:ascii="Arial" w:cs="Arial" w:eastAsia="Arial" w:hAnsi="Arial"/>
          <w:b/>
          <w:bCs/>
          <w:color w:val="4A6FA5"/>
          <w:sz w:val="22"/>
          <w:szCs w:val="22"/>
        </w:rPr>
        <w:t xml:space="preserve">2.6.b Incapacity Certification: </w:t>
      </w:r>
      <w:r>
        <w:rPr>
          <w:rFonts w:ascii="Arial" w:cs="Arial" w:eastAsia="Arial" w:hAnsi="Arial"/>
          <w:color w:val="000000"/>
          <w:sz w:val="22"/>
          <w:szCs w:val="22"/>
        </w:rPr>
        <w:t>If the President is incapacitated during an active Tier 1 defensive response under §2.1.a, the Senate Speaker immediately assumes Tier 1 authority pending the President's restoration or formal succession. Incapacity is certified jointly by the Prime Minister and the most senior sitting Supreme Court justice, and published to the National Record System within 6 hours. If the Prime Minister is the successor in the succession line and therefore has a conflict of interest in certifying incapacity, the Senate Speaker substitutes for the Prime Minister in the certification. Incapacity that does not involve active Tier 1 operations follows the same certification process; succession takes effect upon certification.</w:t>
      </w:r>
    </w:p>
    <w:p>
      <w:pPr>
        <w:spacing w:after="60" w:before="60"/>
        <w:ind w:left="720" w:hanging="360"/>
      </w:pPr>
      <w:r>
        <w:rPr>
          <w:rFonts w:ascii="Arial" w:cs="Arial" w:eastAsia="Arial" w:hAnsi="Arial"/>
          <w:b/>
          <w:bCs/>
          <w:color w:val="4A6FA5"/>
          <w:sz w:val="22"/>
          <w:szCs w:val="22"/>
        </w:rPr>
        <w:t xml:space="preserve">2.6.c Succession-Based Presidential Term: </w:t>
      </w:r>
      <w:r>
        <w:rPr>
          <w:rFonts w:ascii="Arial" w:cs="Arial" w:eastAsia="Arial" w:hAnsi="Arial"/>
          <w:color w:val="000000"/>
          <w:sz w:val="22"/>
          <w:szCs w:val="22"/>
        </w:rPr>
        <w:t>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spacing w:after="0" w:before="120"/>
      </w:pPr>
      <w:r>
        <w:t xml:space="preserve"/>
      </w:r>
    </w:p>
    <w:p>
      <w:pPr>
        <w:pStyle w:val="Heading2"/>
        <w:spacing w:after="80" w:before="200"/>
      </w:pPr>
      <w:r>
        <w:rPr>
          <w:rFonts w:ascii="Arial" w:cs="Arial" w:eastAsia="Arial" w:hAnsi="Arial"/>
          <w:b/>
          <w:bCs/>
          <w:color w:val="4A6FA5"/>
          <w:sz w:val="24"/>
          <w:szCs w:val="24"/>
        </w:rPr>
        <w:t>Section 2.7 — Constitutional Violations and Automatic Consequences</w:t>
      </w:r>
    </w:p>
    <w:p>
      <w:pPr>
        <w:spacing w:after="60" w:before="60"/>
      </w:pPr>
      <w:r>
        <w:rPr>
          <w:rFonts w:ascii="Arial" w:cs="Arial" w:eastAsia="Arial" w:hAnsi="Arial"/>
          <w:color w:val="000000"/>
          <w:sz w:val="22"/>
          <w:szCs w:val="22"/>
        </w:rPr>
        <w:t>A Supreme Court finding that any official has violated a constitutional rule triggers these automatic consequences: (1) immediate suspension from duties and pay freeze; (2) revocation of access to classified information, government systems, and official vehicles; (3) a Senate trial within the statutory period. These consequences are automatic — no further order, motion, or vote is required to initiate them. They may not be stayed by executive order or by parliamentary motion. The suspension and trial apply whether or not the official contests the underlying finding.</w:t>
      </w:r>
    </w:p>
    <w:p>
      <w:pPr>
        <w:spacing w:after="60" w:before="60"/>
      </w:pPr>
      <w:r>
        <w:rPr>
          <w:rFonts w:ascii="Arial" w:cs="Arial" w:eastAsia="Arial" w:hAnsi="Arial"/>
          <w:color w:val="000000"/>
          <w:sz w:val="22"/>
          <w:szCs w:val="22"/>
        </w:rPr>
        <w:t>Any provision of this Constitution that characterizes an action or omission as subject to Rule Violation proceedings invokes this Section automatically. Cross-references to §2.7 elsewhere in this Constitution are declaratory only. Inspectorate findings do not constitute Rule Violation determinations — only courts may make that legal conclusion. Inspectorate findings are facts that the Legislature, courts, or the People may act upon.</w:t>
      </w:r>
    </w:p>
    <w:p>
      <w:pPr>
        <w:spacing w:after="60" w:before="60"/>
        <w:ind w:left="720" w:hanging="360"/>
      </w:pPr>
      <w:r>
        <w:rPr>
          <w:rFonts w:ascii="Arial" w:cs="Arial" w:eastAsia="Arial" w:hAnsi="Arial"/>
          <w:b/>
          <w:bCs/>
          <w:color w:val="4A6FA5"/>
          <w:sz w:val="22"/>
          <w:szCs w:val="22"/>
        </w:rPr>
        <w:t xml:space="preserve">2.7.a Former Official Accountability: </w:t>
      </w:r>
      <w:r>
        <w:rPr>
          <w:rFonts w:ascii="Arial" w:cs="Arial" w:eastAsia="Arial" w:hAnsi="Arial"/>
          <w:color w:val="000000"/>
          <w:sz w:val="22"/>
          <w:szCs w:val="22"/>
        </w:rPr>
        <w:t>A Supreme Court finding of a constitutional violation for conduct committed while a person held federal office applies regardless of whether the person remains in office when the finding. Where the person has left office, the suspension and Senate trial provisions do not apply — they have no office to suspend from. Instead, the finding triggers automatically: (1) a permanent bar on holding any federal elected or appointed office; and (2) permanent forfeiture of any federal pension or benefit accrued during the period of the violation. Both consequences apply from the date of the court's finding without further proceeding. Criminal liability remains separately pursuable and is not affected by this provision. This lookback applies to constitutional violations for conduct occurring within 5 years before the finding; conduct more than 5 years before the finding date is not subject to the former-official consequences of this sub-section, though criminal prosecution remains available under applicable statutes of limitation.</w:t>
      </w:r>
    </w:p>
    <w:p>
      <w:pPr>
        <w:spacing w:after="60" w:before="60"/>
        <w:ind w:left="720" w:hanging="360"/>
      </w:pPr>
      <w:r>
        <w:rPr>
          <w:rFonts w:ascii="Arial" w:cs="Arial" w:eastAsia="Arial" w:hAnsi="Arial"/>
          <w:b/>
          <w:bCs/>
          <w:color w:val="4A6FA5"/>
          <w:sz w:val="22"/>
          <w:szCs w:val="22"/>
        </w:rPr>
        <w:t xml:space="preserve">2.7.b Suspension Deferred During Active Military Operations: </w:t>
      </w:r>
      <w:r>
        <w:rPr>
          <w:rFonts w:ascii="Arial" w:cs="Arial" w:eastAsia="Arial" w:hAnsi="Arial"/>
          <w:color w:val="000000"/>
          <w:sz w:val="22"/>
          <w:szCs w:val="22"/>
        </w:rPr>
        <w:t>Where the official subject to a Rule Violation finding is the President and active Tier 1, Tier 2, or Tier 3 military operations are underway when the finding, the immediate suspension of §2.7 is deferred until those operations conclude or until the Senate Armed Services Committee certifies that operational continuity does not require the President's personal command authority. During deferral, the automatic Writ of Impeachment is filed and the Senate trial is scheduled, but the President continues in office. The Senate Speaker assumes parallel readiness to assume defense and diplomatic functions on 30 minutes' notice. Deferral may not exceed 30 days; if the Senate trial has not concluded within 30 days of the original finding, the suspension takes effect automatically regardless of operational status. This provision does not apply where the Rule Violation itself concerns the conduct of those military operations. §2.7.b applies only where the constitutional violation is classified as major under §2.7.c — a minor violation under §2.7.c does not trigger suspension and therefore does not engage the deferral mechanism of this provision.</w:t>
      </w:r>
    </w:p>
    <w:p>
      <w:pPr>
        <w:spacing w:after="60" w:before="60"/>
        <w:ind w:left="720" w:hanging="360"/>
      </w:pPr>
      <w:r>
        <w:rPr>
          <w:rFonts w:ascii="Arial" w:cs="Arial" w:eastAsia="Arial" w:hAnsi="Arial"/>
          <w:b/>
          <w:bCs/>
          <w:color w:val="4A6FA5"/>
          <w:sz w:val="22"/>
          <w:szCs w:val="22"/>
        </w:rPr>
        <w:t xml:space="preserve">2.7.c Minor Violations — Corrective Order Track: </w:t>
      </w:r>
      <w:r>
        <w:rPr>
          <w:rFonts w:ascii="Arial" w:cs="Arial" w:eastAsia="Arial" w:hAnsi="Arial"/>
          <w:color w:val="000000"/>
          <w:sz w:val="22"/>
          <w:szCs w:val="22"/>
        </w:rPr>
        <w:t>A violation is minor — triggering the corrective order track rather than suspension — where it is procedural or incidental, the court finds no evidence of deliberate circumvention, the affected rights have not been materially prejudiced, and the official has not previously committed a constitutional violation during the current period of service. In assessing major or minor, the court must consider whether the official self-corrected promptly after the relevant Inspectorate's published finding and before any court proceeding; prompt self-correction weighs toward minor. the Legislature may by statute define what constitutes a new period of service for this purpose.</w:t>
      </w:r>
    </w:p>
    <w:p>
      <w:pPr>
        <w:spacing w:after="60" w:before="60"/>
        <w:ind w:left="720" w:hanging="360"/>
      </w:pPr>
      <w:r>
        <w:rPr>
          <w:rFonts w:ascii="Arial" w:cs="Arial" w:eastAsia="Arial" w:hAnsi="Arial"/>
          <w:b/>
          <w:bCs/>
          <w:color w:val="4A6FA5"/>
          <w:sz w:val="22"/>
          <w:szCs w:val="22"/>
        </w:rPr>
        <w:t xml:space="preserve">2.7.d Corrective Order Mechanics: </w:t>
      </w:r>
      <w:r>
        <w:rPr>
          <w:rFonts w:ascii="Arial" w:cs="Arial" w:eastAsia="Arial" w:hAnsi="Arial"/>
          <w:color w:val="000000"/>
          <w:sz w:val="22"/>
          <w:szCs w:val="22"/>
        </w:rPr>
        <w:t>A corrective order directs the official to rectify the specific violation within a court-defined period, not exceeding 30 days. Failure to comply converts the corrective order to a major violation and triggers the suspension track automatically, without a new court proceeding. Compliance is verified by the relevant Inspectorate and recorded on the National Record System. A corrective order does not constitute a formal Rule Violation finding for purposes of calculating prior violations under §2.7.c.</w:t>
      </w:r>
    </w:p>
    <w:p>
      <w:pPr>
        <w:spacing w:after="60" w:before="60"/>
      </w:pPr>
      <w:r>
        <w:rPr>
          <w:b/>
        </w:rPr>
        <w:t xml:space="preserve">2.7.e Legislative Members — Modified Consequences: </w:t>
      </w:r>
      <w:r>
        <w:t>Where a Supreme Court Rule Violation finding is issued against a sitting member of the House or Senate, the automatic consequences of §2.7 apply with the following modifications: the member is immediately suspended from voting and committee participation (not removed from office); access to classified information and restricted government systems is revoked; and the finding is automatically referred to the relevant chamber's ethics committee, which must commence §3.6 expulsion proceedings within 30 days of the finding. The chamber retains the expulsion decision under §3.6's threshold requirements, but may not decline to commence proceedings following a Rule Violation referral. The Senate trial provision of §2.7 does not apply to legislative members — the §3.6 expulsion process is the exclusive legislative accountability track for members following a Rule Violation finding.</w:t>
      </w:r>
    </w:p>
    <w:p>
      <w:pPr>
        <w:spacing w:after="0" w:before="120"/>
      </w:pPr>
      <w:r>
        <w:t xml:space="preserve"/>
      </w:r>
    </w:p>
    <w:p>
      <w:pPr>
        <w:pStyle w:val="Heading2"/>
        <w:spacing w:after="80" w:before="200"/>
      </w:pPr>
      <w:r>
        <w:rPr>
          <w:rFonts w:ascii="Arial" w:cs="Arial" w:eastAsia="Arial" w:hAnsi="Arial"/>
          <w:b/>
          <w:bCs/>
          <w:color w:val="4A6FA5"/>
          <w:sz w:val="24"/>
          <w:szCs w:val="24"/>
        </w:rPr>
        <w:t>Section 2.8 — Emergency Governance Protocol</w:t>
      </w:r>
    </w:p>
    <w:p>
      <w:pPr>
        <w:spacing w:after="60" w:before="60"/>
      </w:pPr>
      <w:r>
        <w:rPr>
          <w:rFonts w:ascii="Arial" w:cs="Arial" w:eastAsia="Arial" w:hAnsi="Arial"/>
          <w:color w:val="000000"/>
          <w:sz w:val="22"/>
          <w:szCs w:val="22"/>
        </w:rPr>
        <w:t>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pPr>
      <w:r>
        <w:rPr>
          <w:rFonts w:ascii="Arial" w:cs="Arial" w:eastAsia="Arial" w:hAnsi="Arial"/>
          <w:color w:val="000000"/>
          <w:sz w:val="22"/>
          <w:szCs w:val="22"/>
        </w:rPr>
        <w:t>Expedited Activation — Catastrophic Attack: 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Style w:val="Heading2"/>
        <w:spacing w:after="80" w:before="200"/>
      </w:pPr>
      <w:r>
        <w:rPr>
          <w:rFonts w:ascii="Arial" w:cs="Arial" w:eastAsia="Arial" w:hAnsi="Arial"/>
          <w:b/>
          <w:bCs/>
          <w:color w:val="4A6FA5"/>
          <w:sz w:val="24"/>
          <w:szCs w:val="24"/>
        </w:rPr>
        <w:t>Section 2.9 — Clemency Limits and Legislative Amnesty</w:t>
      </w:r>
    </w:p>
    <w:p>
      <w:pPr>
        <w:spacing w:after="60" w:before="60"/>
        <w:ind w:left="720" w:hanging="360"/>
      </w:pPr>
      <w:r>
        <w:rPr>
          <w:rFonts w:ascii="Arial" w:cs="Arial" w:eastAsia="Arial" w:hAnsi="Arial"/>
          <w:b/>
          <w:bCs/>
          <w:color w:val="4A6FA5"/>
          <w:sz w:val="22"/>
          <w:szCs w:val="22"/>
        </w:rPr>
        <w:t xml:space="preserve">2.9.a Judicial Review of Grants: </w:t>
      </w:r>
      <w:r>
        <w:rPr>
          <w:rFonts w:ascii="Arial" w:cs="Arial" w:eastAsia="Arial" w:hAnsi="Arial"/>
          <w:color w:val="000000"/>
          <w:sz w:val="22"/>
          <w:szCs w:val="22"/>
        </w:rPr>
        <w:t>Any clemency grant may be challenged before the Supreme Court within 30 days by any person with a concrete injury, on grounds of: violation of the Rule Violation exclusion;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ind w:left="720" w:hanging="360"/>
      </w:pPr>
      <w:r>
        <w:rPr>
          <w:rFonts w:ascii="Arial" w:cs="Arial" w:eastAsia="Arial" w:hAnsi="Arial"/>
          <w:b/>
          <w:bCs/>
          <w:color w:val="4A6FA5"/>
          <w:sz w:val="22"/>
          <w:szCs w:val="22"/>
        </w:rPr>
        <w:t xml:space="preserve">2.9.b Legislative Amnesty: </w:t>
      </w:r>
      <w:r>
        <w:rPr>
          <w:rFonts w:ascii="Arial" w:cs="Arial" w:eastAsia="Arial" w:hAnsi="Arial"/>
          <w:color w:val="000000"/>
          <w:sz w:val="22"/>
          <w:szCs w:val="22"/>
        </w:rPr>
        <w:t>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Rule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ind w:left="720" w:hanging="360"/>
      </w:pPr>
      <w:r>
        <w:rPr>
          <w:rFonts w:ascii="Arial" w:cs="Arial" w:eastAsia="Arial" w:hAnsi="Arial"/>
          <w:b/>
          <w:bCs/>
          <w:color w:val="4A6FA5"/>
          <w:sz w:val="22"/>
          <w:szCs w:val="22"/>
        </w:rPr>
        <w:t xml:space="preserve">2.9.c Self-Clemency Absolute Prohibition: </w:t>
      </w:r>
      <w:r>
        <w:rPr>
          <w:rFonts w:ascii="Arial" w:cs="Arial" w:eastAsia="Arial" w:hAnsi="Arial"/>
          <w:color w:val="000000"/>
          <w:sz w:val="22"/>
          <w:szCs w:val="22"/>
        </w:rPr>
        <w:t>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constitutes a Rule Violation, and may not be ratified by any subsequent official action.</w:t>
      </w:r>
    </w:p>
    <w:p>
      <w:pPr>
        <w:pStyle w:val="Heading2"/>
      </w:pPr>
      <w:r>
        <w:rPr>
          <w:b/>
        </w:rPr>
        <w:t>Section 2.10 — Presidential Removal by the Legislature and Popular Vote</w:t>
      </w:r>
    </w:p>
    <w:p>
      <w:pPr>
        <w:spacing w:after="60" w:before="60"/>
      </w:pPr>
      <w:r>
        <w:t>The President may be removed through two political tracks independent of the §2.7 Rule Violation accountability process.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pPr>
      <w:r>
        <w:rPr>
          <w:b/>
        </w:rPr>
        <w:t xml:space="preserve">2.10.a Path 1 — Legislative Removal: </w:t>
      </w:r>
      <w:r>
        <w:t>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§2.7 Rule Violation track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pPr>
      <w:r>
        <w:rPr>
          <w:b/>
        </w:rPr>
        <w:t xml:space="preserve">2.10.b Path 2 — Senate Referral to Popular Recall: </w:t>
      </w:r>
      <w:r>
        <w:t>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the presidential succession role under §2.6.a from the date the Senate votes to refer until the referendum result is certified. If the referendum fails, the President resumes full authority immediately upon certification.</w:t>
      </w:r>
    </w:p>
    <w:p>
      <w:pPr>
        <w:spacing w:after="60" w:before="60"/>
      </w:pPr>
      <w:r>
        <w:rPr>
          <w:b/>
        </w:rPr>
        <w:t xml:space="preserve">2.10.c One Referral Per Term: </w:t>
      </w:r>
      <w:r>
        <w:t>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III — THE LEGISLATURE</w:t>
      </w:r>
    </w:p>
    <w:p>
      <w:pPr>
        <w:spacing w:after="0" w:before="120"/>
      </w:pPr>
      <w:r>
        <w:t xml:space="preserve"/>
      </w:r>
    </w:p>
    <w:p>
      <w:pPr>
        <w:pStyle w:val="Heading2"/>
        <w:spacing w:after="80" w:before="200"/>
      </w:pPr>
      <w:r>
        <w:rPr>
          <w:rFonts w:ascii="Arial" w:cs="Arial" w:eastAsia="Arial" w:hAnsi="Arial"/>
          <w:b/>
          <w:bCs/>
          <w:color w:val="4A6FA5"/>
          <w:sz w:val="24"/>
          <w:szCs w:val="24"/>
        </w:rPr>
        <w:t>Section 3.1 — The House</w:t>
      </w:r>
    </w:p>
    <w:p>
      <w:pPr>
        <w:spacing w:after="60" w:before="60"/>
        <w:ind w:left="720" w:hanging="360"/>
      </w:pPr>
      <w:r>
        <w:rPr>
          <w:rFonts w:ascii="Arial" w:cs="Arial" w:eastAsia="Arial" w:hAnsi="Arial"/>
          <w:b/>
          <w:bCs/>
          <w:color w:val="4A6FA5"/>
          <w:sz w:val="22"/>
          <w:szCs w:val="22"/>
        </w:rPr>
        <w:t xml:space="preserve">3.1.a House Membership Floor: </w:t>
      </w:r>
      <w:r>
        <w:rPr>
          <w:rFonts w:ascii="Arial" w:cs="Arial" w:eastAsia="Arial" w:hAnsi="Arial"/>
          <w:color w:val="000000"/>
          <w:sz w:val="22"/>
          <w:szCs w:val="22"/>
        </w:rPr>
        <w:t>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ind w:left="720" w:hanging="360"/>
      </w:pPr>
      <w:r>
        <w:rPr>
          <w:rFonts w:ascii="Arial" w:cs="Arial" w:eastAsia="Arial" w:hAnsi="Arial"/>
          <w:b/>
          <w:bCs/>
          <w:color w:val="4A6FA5"/>
          <w:sz w:val="22"/>
          <w:szCs w:val="22"/>
        </w:rPr>
        <w:t xml:space="preserve">3.1.b Census Authority: </w:t>
      </w:r>
      <w:r>
        <w:rPr>
          <w:rFonts w:ascii="Arial" w:cs="Arial" w:eastAsia="Arial" w:hAnsi="Arial"/>
          <w:color w:val="000000"/>
          <w:sz w:val="22"/>
          <w:szCs w:val="22"/>
        </w:rPr>
        <w:t>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ind w:left="720" w:hanging="360"/>
      </w:pPr>
      <w:r>
        <w:rPr>
          <w:rFonts w:ascii="Arial" w:cs="Arial" w:eastAsia="Arial" w:hAnsi="Arial"/>
          <w:b/>
          <w:bCs/>
          <w:color w:val="4A6FA5"/>
          <w:sz w:val="22"/>
          <w:szCs w:val="22"/>
        </w:rPr>
        <w:t xml:space="preserve">3.1.c Single-Subject Rule: </w:t>
      </w:r>
      <w:r>
        <w:rPr>
          <w:rFonts w:ascii="Arial" w:cs="Arial" w:eastAsia="Arial" w:hAnsi="Arial"/>
          <w:color w:val="000000"/>
          <w:sz w:val="22"/>
          <w:szCs w:val="22"/>
        </w:rPr>
        <w:t>Every bill must address a single, clearly defined subject. Unrelated riders or omnibus additions nullify the entire act.</w:t>
      </w:r>
    </w:p>
    <w:p>
      <w:pPr>
        <w:spacing w:after="60" w:before="60"/>
        <w:ind w:left="720" w:hanging="360"/>
      </w:pPr>
      <w:r>
        <w:rPr>
          <w:rFonts w:ascii="Arial" w:cs="Arial" w:eastAsia="Arial" w:hAnsi="Arial"/>
          <w:b/>
          <w:bCs/>
          <w:color w:val="4A6FA5"/>
          <w:sz w:val="22"/>
          <w:szCs w:val="22"/>
        </w:rPr>
        <w:t xml:space="preserve">3.1.d Bill Exposure: </w:t>
      </w:r>
      <w:r>
        <w:rPr>
          <w:rFonts w:ascii="Arial" w:cs="Arial" w:eastAsia="Arial" w:hAnsi="Arial"/>
          <w:color w:val="000000"/>
          <w:sz w:val="22"/>
          <w:szCs w:val="22"/>
        </w:rPr>
        <w:t>The House must publish every bill in full on the National Record System for a minimum period the Legislature defines by statute before a final vote.</w:t>
      </w:r>
    </w:p>
    <w:p>
      <w:pPr>
        <w:spacing w:after="60" w:before="60"/>
        <w:ind w:left="720" w:hanging="360"/>
      </w:pPr>
      <w:r>
        <w:rPr>
          <w:rFonts w:ascii="Arial" w:cs="Arial" w:eastAsia="Arial" w:hAnsi="Arial"/>
          <w:b/>
          <w:bCs/>
          <w:color w:val="4A6FA5"/>
          <w:sz w:val="22"/>
          <w:szCs w:val="22"/>
        </w:rPr>
        <w:t xml:space="preserve">3.1.e Dissolution and Emergency Elections: </w:t>
      </w:r>
      <w:r>
        <w:rPr>
          <w:rFonts w:ascii="Arial" w:cs="Arial" w:eastAsia="Arial" w:hAnsi="Arial"/>
          <w:color w:val="000000"/>
          <w:sz w:val="22"/>
          <w:szCs w:val="22"/>
        </w:rPr>
        <w:t>Failure to seat a PM within the statutory period defined under §2.3.a results in dissolution of the entire House. Members who were present and voting during the statutory selection period are subject to the election bar described in §2.3.a, subject to the good-faith participation exemption of that section. The Senate Speaker calls emergency House elections within 30 days. The new House must be fully seated within 60 days of dissolution. The Post-Dissolution Election Bar (§2.3.d) applies to these elections.</w:t>
      </w:r>
    </w:p>
    <w:p>
      <w:r>
        <w:rPr>
          <w:b/>
        </w:rPr>
        <w:t xml:space="preserve">3.1.f House Term Limits: </w:t>
      </w:r>
      <w:r>
        <w:t xml:space="preserve">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dissolution, and post-dissolution election bar provisions of §2.3 operate independently of this term limit. A member who reaches the 6-term limit and whose cooling-off period coincides with a post-dissolution election bar serves both periods concurrently from the later start date.</w:t>
      </w:r>
    </w:p>
    <w:p>
      <w:pPr>
        <w:spacing w:after="0" w:before="120"/>
      </w:pPr>
      <w:r>
        <w:t xml:space="preserve"/>
      </w:r>
    </w:p>
    <w:p>
      <w:pPr>
        <w:pStyle w:val="Heading2"/>
        <w:spacing w:after="80" w:before="200"/>
      </w:pPr>
      <w:r>
        <w:rPr>
          <w:rFonts w:ascii="Arial" w:cs="Arial" w:eastAsia="Arial" w:hAnsi="Arial"/>
          <w:b/>
          <w:bCs/>
          <w:color w:val="4A6FA5"/>
          <w:sz w:val="24"/>
          <w:szCs w:val="24"/>
        </w:rPr>
        <w:t>Section 3.2 — The Senate</w:t>
      </w:r>
    </w:p>
    <w:p>
      <w:pPr>
        <w:spacing w:after="60" w:before="60"/>
      </w:pPr>
      <w:r>
        <w:rPr>
          <w:rFonts w:ascii="Arial" w:cs="Arial" w:eastAsia="Arial" w:hAnsi="Arial"/>
          <w:color w:val="000000"/>
          <w:sz w:val="22"/>
          <w:szCs w:val="22"/>
        </w:rPr>
        <w:t>The Senate represents the States. Each State sends two Senators elected statewide for staggered 6-year terms. The Speaker of the Senate is the presiding officer and first in the presidential line of succession.</w:t>
      </w:r>
    </w:p>
    <w:p>
      <w:pPr>
        <w:spacing w:after="60" w:before="60"/>
        <w:ind w:left="720" w:hanging="360"/>
      </w:pPr>
      <w:r>
        <w:rPr>
          <w:rFonts w:ascii="Arial" w:cs="Arial" w:eastAsia="Arial" w:hAnsi="Arial"/>
          <w:b/>
          <w:bCs/>
          <w:color w:val="4A6FA5"/>
          <w:sz w:val="22"/>
          <w:szCs w:val="22"/>
        </w:rPr>
        <w:t xml:space="preserve">3.2.a Senator Terms and Limits: </w:t>
      </w:r>
      <w:r>
        <w:rPr>
          <w:rFonts w:ascii="Arial" w:cs="Arial" w:eastAsia="Arial" w:hAnsi="Arial"/>
          <w:color w:val="000000"/>
          <w:sz w:val="22"/>
          <w:szCs w:val="22"/>
        </w:rPr>
        <w:t>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ind w:left="720" w:hanging="360"/>
      </w:pPr>
      <w:r>
        <w:rPr>
          <w:rFonts w:ascii="Arial" w:cs="Arial" w:eastAsia="Arial" w:hAnsi="Arial"/>
          <w:b/>
          <w:bCs/>
          <w:color w:val="4A6FA5"/>
          <w:sz w:val="22"/>
          <w:szCs w:val="22"/>
        </w:rPr>
        <w:t xml:space="preserve">3.2.b Senate Speaker Role Limit: </w:t>
      </w:r>
      <w:r>
        <w:rPr>
          <w:rFonts w:ascii="Arial" w:cs="Arial" w:eastAsia="Arial" w:hAnsi="Arial"/>
          <w:color w:val="000000"/>
          <w:sz w:val="22"/>
          <w:szCs w:val="22"/>
        </w:rPr>
        <w:t>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ind w:left="720" w:hanging="360"/>
      </w:pPr>
      <w:r>
        <w:rPr>
          <w:rFonts w:ascii="Arial" w:cs="Arial" w:eastAsia="Arial" w:hAnsi="Arial"/>
          <w:b/>
          <w:bCs/>
          <w:color w:val="4A6FA5"/>
          <w:sz w:val="22"/>
          <w:szCs w:val="22"/>
        </w:rPr>
        <w:t xml:space="preserve">3.2.c Senate Must Act on Every House Bill: </w:t>
      </w:r>
      <w:r>
        <w:rPr>
          <w:rFonts w:ascii="Arial" w:cs="Arial" w:eastAsia="Arial" w:hAnsi="Arial"/>
          <w:color w:val="000000"/>
          <w:sz w:val="22"/>
          <w:szCs w:val="22"/>
        </w:rPr>
        <w:t>The Senate must take up every House-passed bill within a period the Legislature defines by statute. If the Senate fails to act within this period, the bill is Deemed Approved and automatically passed to the executive review process.</w:t>
      </w:r>
    </w:p>
    <w:p>
      <w:pPr>
        <w:spacing w:after="60" w:before="60"/>
        <w:ind w:left="720" w:hanging="360"/>
      </w:pPr>
      <w:r>
        <w:rPr>
          <w:rFonts w:ascii="Arial" w:cs="Arial" w:eastAsia="Arial" w:hAnsi="Arial"/>
          <w:b/>
          <w:bCs/>
          <w:color w:val="4A6FA5"/>
          <w:sz w:val="22"/>
          <w:szCs w:val="22"/>
        </w:rPr>
        <w:t xml:space="preserve">3.2.d Judicial Confirmation: </w:t>
      </w:r>
      <w:r>
        <w:rPr>
          <w:rFonts w:ascii="Arial" w:cs="Arial" w:eastAsia="Arial" w:hAnsi="Arial"/>
          <w:color w:val="000000"/>
          <w:sz w:val="22"/>
          <w:szCs w:val="22"/>
        </w:rPr>
        <w:t>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ind w:left="720" w:hanging="360"/>
      </w:pPr>
      <w:r>
        <w:rPr>
          <w:rFonts w:ascii="Arial" w:cs="Arial" w:eastAsia="Arial" w:hAnsi="Arial"/>
          <w:b/>
          <w:bCs/>
          <w:color w:val="4A6FA5"/>
          <w:sz w:val="22"/>
          <w:szCs w:val="22"/>
        </w:rPr>
        <w:t xml:space="preserve">3.2.e Treaty Ratification: </w:t>
      </w:r>
      <w:r>
        <w:rPr>
          <w:rFonts w:ascii="Arial" w:cs="Arial" w:eastAsia="Arial" w:hAnsi="Arial"/>
          <w:color w:val="000000"/>
          <w:sz w:val="22"/>
          <w:szCs w:val="22"/>
        </w:rPr>
        <w:t>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r>
        <w:rPr>
          <w:b/>
        </w:rPr>
        <w:t xml:space="preserve">3.2.e.i Treaty Domestic Application: </w:t>
      </w:r>
      <w:r>
        <w:t xml:space="preserve">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r>
        <w:rPr>
          <w:b/>
        </w:rPr>
        <w:t xml:space="preserve">3.2.e.ii Treaty Withdrawal: </w:t>
      </w:r>
      <w:r>
        <w:t xml:space="preserve">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
(a)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
(b)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
(c)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
(d) All withdrawal notices, Senate blocking votes, Senate confirmation votes, and withdrawal completion dates are published to the National Record System and constitute permanent entries in the Republic's constitutional record.</w:t>
      </w:r>
    </w:p>
    <w:p>
      <w:pPr>
        <w:spacing w:after="60" w:before="60"/>
        <w:ind w:left="720" w:hanging="360"/>
      </w:pPr>
      <w:r>
        <w:rPr>
          <w:rFonts w:ascii="Arial" w:cs="Arial" w:eastAsia="Arial" w:hAnsi="Arial"/>
          <w:b/>
          <w:bCs/>
          <w:color w:val="4A6FA5"/>
          <w:sz w:val="22"/>
          <w:szCs w:val="22"/>
        </w:rPr>
        <w:t xml:space="preserve">3.2.f Impeachment Trials: </w:t>
      </w:r>
      <w:r>
        <w:rPr>
          <w:rFonts w:ascii="Arial" w:cs="Arial" w:eastAsia="Arial" w:hAnsi="Arial"/>
          <w:color w:val="000000"/>
          <w:sz w:val="22"/>
          <w:szCs w:val="22"/>
        </w:rPr>
        <w:t>The Senate conducts all impeachment trials. Conviction and removal requires a 2/3 Senate vote.</w:t>
      </w:r>
    </w:p>
    <w:p>
      <w:pPr>
        <w:spacing w:after="60" w:before="60"/>
        <w:ind w:left="720" w:hanging="360"/>
      </w:pPr>
      <w:r>
        <w:rPr>
          <w:rFonts w:ascii="Arial" w:cs="Arial" w:eastAsia="Arial" w:hAnsi="Arial"/>
          <w:b/>
          <w:bCs/>
          <w:color w:val="4A6FA5"/>
          <w:sz w:val="22"/>
          <w:szCs w:val="22"/>
        </w:rPr>
        <w:t xml:space="preserve">3.2.g Survivor Quorum — Catastrophic Casualty Events: </w:t>
      </w:r>
      <w:r>
        <w:rPr>
          <w:rFonts w:ascii="Arial" w:cs="Arial" w:eastAsia="Arial" w:hAnsi="Arial"/>
          <w:color w:val="000000"/>
          <w:sz w:val="22"/>
          <w:szCs w:val="22"/>
        </w:rPr>
        <w:t>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0" w:before="120"/>
      </w:pPr>
      <w:r>
        <w:t xml:space="preserve"/>
      </w:r>
    </w:p>
    <w:p>
      <w:pPr>
        <w:spacing w:after="60" w:before="60"/>
      </w:pPr>
      <w:r>
        <w:rPr>
          <w:b/>
        </w:rPr>
        <w:t xml:space="preserve">3.2.h Senate Speaker Vacancy: </w:t>
      </w:r>
      <w:r>
        <w:t>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Style w:val="Heading2"/>
        <w:spacing w:after="80" w:before="200"/>
      </w:pPr>
      <w:r>
        <w:rPr>
          <w:rFonts w:ascii="Arial" w:cs="Arial" w:eastAsia="Arial" w:hAnsi="Arial"/>
          <w:b/>
          <w:bCs/>
          <w:color w:val="4A6FA5"/>
          <w:sz w:val="24"/>
          <w:szCs w:val="24"/>
        </w:rPr>
        <w:t>Section 3.3 — The Life Cycle of a Law</w:t>
      </w:r>
    </w:p>
    <w:p>
      <w:pPr>
        <w:spacing w:after="60" w:before="60"/>
        <w:ind w:left="720" w:hanging="360"/>
      </w:pPr>
      <w:r>
        <w:rPr>
          <w:rFonts w:ascii="Arial" w:cs="Arial" w:eastAsia="Arial" w:hAnsi="Arial"/>
          <w:b/>
          <w:bCs/>
          <w:color w:val="4A6FA5"/>
          <w:sz w:val="22"/>
          <w:szCs w:val="22"/>
        </w:rPr>
        <w:t xml:space="preserve">3.3.a Legislative Mandate Enforcement: </w:t>
      </w:r>
      <w:r>
        <w:rPr>
          <w:rFonts w:ascii="Arial" w:cs="Arial" w:eastAsia="Arial" w:hAnsi="Arial"/>
          <w:color w:val="000000"/>
          <w:sz w:val="22"/>
          <w:szCs w:val="22"/>
        </w:rPr>
        <w:t>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ind w:left="720" w:hanging="360"/>
      </w:pPr>
      <w:r>
        <w:rPr>
          <w:rFonts w:ascii="Arial" w:cs="Arial" w:eastAsia="Arial" w:hAnsi="Arial"/>
          <w:b/>
          <w:bCs/>
          <w:color w:val="4A6FA5"/>
          <w:sz w:val="22"/>
          <w:szCs w:val="22"/>
        </w:rPr>
        <w:t xml:space="preserve">3.3.b Standard Passage: </w:t>
      </w:r>
      <w:r>
        <w:rPr>
          <w:rFonts w:ascii="Arial" w:cs="Arial" w:eastAsia="Arial" w:hAnsi="Arial"/>
          <w:color w:val="000000"/>
          <w:sz w:val="22"/>
          <w:szCs w:val="22"/>
        </w:rPr>
        <w:t>Bills pass by simple majority in both chambers, subject to the Legislative Review Period (§2.5).</w:t>
      </w:r>
    </w:p>
    <w:p>
      <w:pPr>
        <w:spacing w:after="60" w:before="60"/>
        <w:ind w:left="720" w:hanging="360"/>
      </w:pPr>
      <w:r>
        <w:rPr>
          <w:rFonts w:ascii="Arial" w:cs="Arial" w:eastAsia="Arial" w:hAnsi="Arial"/>
          <w:b/>
          <w:bCs/>
          <w:color w:val="4A6FA5"/>
          <w:sz w:val="22"/>
          <w:szCs w:val="22"/>
        </w:rPr>
        <w:t xml:space="preserve">3.3.c Presidential Veto Override: </w:t>
      </w:r>
      <w:r>
        <w:rPr>
          <w:rFonts w:ascii="Arial" w:cs="Arial" w:eastAsia="Arial" w:hAnsi="Arial"/>
          <w:color w:val="000000"/>
          <w:sz w:val="22"/>
          <w:szCs w:val="22"/>
        </w:rPr>
        <w:t>A Presidential Veto requires a 2/3 vote in both chambers simultaneously to override.</w:t>
      </w:r>
    </w:p>
    <w:p>
      <w:pPr>
        <w:spacing w:after="60" w:before="60"/>
        <w:ind w:left="720" w:hanging="360"/>
      </w:pPr>
      <w:r>
        <w:rPr>
          <w:rFonts w:ascii="Arial" w:cs="Arial" w:eastAsia="Arial" w:hAnsi="Arial"/>
          <w:b/>
          <w:bCs/>
          <w:color w:val="4A6FA5"/>
          <w:sz w:val="22"/>
          <w:szCs w:val="22"/>
        </w:rPr>
        <w:t xml:space="preserve">3.3.d Record System Entry: </w:t>
      </w:r>
      <w:r>
        <w:rPr>
          <w:rFonts w:ascii="Arial" w:cs="Arial" w:eastAsia="Arial" w:hAnsi="Arial"/>
          <w:color w:val="000000"/>
          <w:sz w:val="22"/>
          <w:szCs w:val="22"/>
        </w:rPr>
        <w:t>The presiding officer of each chamber digitally signs each enacted law and records it on the National Record System with a timestamp.</w:t>
      </w:r>
    </w:p>
    <w:p>
      <w:pPr>
        <w:spacing w:after="0" w:before="120"/>
      </w:pPr>
      <w:r>
        <w:t xml:space="preserve"/>
      </w:r>
    </w:p>
    <w:p>
      <w:pPr>
        <w:pStyle w:val="Heading2"/>
        <w:spacing w:after="80" w:before="200"/>
      </w:pPr>
      <w:r>
        <w:rPr>
          <w:rFonts w:ascii="Arial" w:cs="Arial" w:eastAsia="Arial" w:hAnsi="Arial"/>
          <w:b/>
          <w:bCs/>
          <w:color w:val="4A6FA5"/>
          <w:sz w:val="24"/>
          <w:szCs w:val="24"/>
        </w:rPr>
        <w:t>Section 3.4 — Electoral Districts</w:t>
      </w:r>
    </w:p>
    <w:p>
      <w:pPr>
        <w:spacing w:after="60" w:before="60"/>
      </w:pPr>
      <w:r>
        <w:rPr>
          <w:rFonts w:ascii="Arial" w:cs="Arial" w:eastAsia="Arial" w:hAnsi="Arial"/>
          <w:color w:val="000000"/>
          <w:sz w:val="22"/>
          <w:szCs w:val="22"/>
        </w:rPr>
        <w:t>Districts are redrawn on the census cycle the Legislature defines under §3.4.g, concurrent with the Legislative Inspectorate's population census</w:t>
      </w:r>
    </w:p>
    <w:p>
      <w:pPr>
        <w:spacing w:after="60" w:before="60"/>
        <w:ind w:left="720" w:hanging="360"/>
      </w:pPr>
      <w:r>
        <w:rPr>
          <w:rFonts w:ascii="Arial" w:cs="Arial" w:eastAsia="Arial" w:hAnsi="Arial"/>
          <w:b/>
          <w:bCs/>
          <w:color w:val="4A6FA5"/>
          <w:sz w:val="22"/>
          <w:szCs w:val="22"/>
        </w:rPr>
        <w:t xml:space="preserve">3.4.a Criteria Hierarchy: </w:t>
      </w:r>
      <w:r>
        <w:rPr>
          <w:rFonts w:ascii="Arial" w:cs="Arial" w:eastAsia="Arial" w:hAnsi="Arial"/>
          <w:color w:val="000000"/>
          <w:sz w:val="22"/>
          <w:szCs w:val="22"/>
        </w:rPr>
        <w:t>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ind w:left="720" w:hanging="360"/>
      </w:pPr>
      <w:r>
        <w:rPr>
          <w:rFonts w:ascii="Arial" w:cs="Arial" w:eastAsia="Arial" w:hAnsi="Arial"/>
          <w:b/>
          <w:bCs/>
          <w:color w:val="4A6FA5"/>
          <w:sz w:val="22"/>
          <w:szCs w:val="22"/>
        </w:rPr>
        <w:t xml:space="preserve">3.4.b Prohibited Inputs: </w:t>
      </w:r>
      <w:r>
        <w:rPr>
          <w:rFonts w:ascii="Arial" w:cs="Arial" w:eastAsia="Arial" w:hAnsi="Arial"/>
          <w:color w:val="000000"/>
          <w:sz w:val="22"/>
          <w:szCs w:val="22"/>
        </w:rPr>
        <w:t>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may trigger Rule Violation proceedings under §2.7.</w:t>
      </w:r>
    </w:p>
    <w:p>
      <w:pPr>
        <w:spacing w:after="60" w:before="60"/>
        <w:ind w:left="720" w:hanging="360"/>
      </w:pPr>
      <w:r>
        <w:rPr>
          <w:rFonts w:ascii="Arial" w:cs="Arial" w:eastAsia="Arial" w:hAnsi="Arial"/>
          <w:b/>
          <w:bCs/>
          <w:color w:val="4A6FA5"/>
          <w:sz w:val="22"/>
          <w:szCs w:val="22"/>
        </w:rPr>
        <w:t xml:space="preserve">3.4.c Drawing Authority — States: </w:t>
      </w:r>
      <w:r>
        <w:rPr>
          <w:rFonts w:ascii="Arial" w:cs="Arial" w:eastAsia="Arial" w:hAnsi="Arial"/>
          <w:color w:val="000000"/>
          <w:sz w:val="22"/>
          <w:szCs w:val="22"/>
        </w:rPr>
        <w:t>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ind w:left="720" w:hanging="360"/>
      </w:pPr>
      <w:r>
        <w:rPr>
          <w:rFonts w:ascii="Arial" w:cs="Arial" w:eastAsia="Arial" w:hAnsi="Arial"/>
          <w:b/>
          <w:bCs/>
          <w:color w:val="4A6FA5"/>
          <w:sz w:val="22"/>
          <w:szCs w:val="22"/>
        </w:rPr>
        <w:t xml:space="preserve">3.4.d Drawing Authority — Federal Territories: </w:t>
      </w:r>
      <w:r>
        <w:rPr>
          <w:rFonts w:ascii="Arial" w:cs="Arial" w:eastAsia="Arial" w:hAnsi="Arial"/>
          <w:color w:val="000000"/>
          <w:sz w:val="22"/>
          <w:szCs w:val="22"/>
        </w:rPr>
        <w:t>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ind w:left="720" w:hanging="360"/>
      </w:pPr>
      <w:r>
        <w:rPr>
          <w:rFonts w:ascii="Arial" w:cs="Arial" w:eastAsia="Arial" w:hAnsi="Arial"/>
          <w:b/>
          <w:bCs/>
          <w:color w:val="4A6FA5"/>
          <w:sz w:val="22"/>
          <w:szCs w:val="22"/>
        </w:rPr>
        <w:t xml:space="preserve">3.4.e National Compliance Review: </w:t>
      </w:r>
      <w:r>
        <w:rPr>
          <w:rFonts w:ascii="Arial" w:cs="Arial" w:eastAsia="Arial" w:hAnsi="Arial"/>
          <w:color w:val="000000"/>
          <w:sz w:val="22"/>
          <w:szCs w:val="22"/>
        </w:rPr>
        <w:t>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ind w:left="720" w:hanging="360"/>
      </w:pPr>
      <w:r>
        <w:rPr>
          <w:rFonts w:ascii="Arial" w:cs="Arial" w:eastAsia="Arial" w:hAnsi="Arial"/>
          <w:b/>
          <w:bCs/>
          <w:color w:val="4A6FA5"/>
          <w:sz w:val="22"/>
          <w:szCs w:val="22"/>
        </w:rPr>
        <w:t xml:space="preserve">3.4.f Court Adjudication: </w:t>
      </w:r>
      <w:r>
        <w:rPr>
          <w:rFonts w:ascii="Arial" w:cs="Arial" w:eastAsia="Arial" w:hAnsi="Arial"/>
          <w:color w:val="000000"/>
          <w:sz w:val="22"/>
          <w:szCs w:val="22"/>
        </w:rPr>
        <w:t>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ind w:left="720" w:hanging="360"/>
      </w:pPr>
      <w:r>
        <w:rPr>
          <w:rFonts w:ascii="Arial" w:cs="Arial" w:eastAsia="Arial" w:hAnsi="Arial"/>
          <w:b/>
          <w:bCs/>
          <w:color w:val="4A6FA5"/>
          <w:sz w:val="22"/>
          <w:szCs w:val="22"/>
        </w:rPr>
        <w:t xml:space="preserve">3.4.g Continuity: </w:t>
      </w:r>
      <w:r>
        <w:rPr>
          <w:rFonts w:ascii="Arial" w:cs="Arial" w:eastAsia="Arial" w:hAnsi="Arial"/>
          <w:color w:val="000000"/>
          <w:sz w:val="22"/>
          <w:szCs w:val="22"/>
        </w:rPr>
        <w:t>A valid district map remains in effect until the next census cycle. the Legislature defines the census cycle period by statute, not to exceed 10 years.</w:t>
      </w:r>
    </w:p>
    <w:p>
      <w:pPr>
        <w:spacing w:after="0" w:before="120"/>
      </w:pPr>
      <w:r>
        <w:t xml:space="preserve"/>
      </w:r>
    </w:p>
    <w:p>
      <w:pPr>
        <w:pStyle w:val="Heading2"/>
        <w:spacing w:after="80" w:before="200"/>
      </w:pPr>
      <w:r>
        <w:rPr>
          <w:rFonts w:ascii="Arial" w:cs="Arial" w:eastAsia="Arial" w:hAnsi="Arial"/>
          <w:b/>
          <w:bCs/>
          <w:color w:val="4A6FA5"/>
          <w:sz w:val="24"/>
          <w:szCs w:val="24"/>
        </w:rPr>
        <w:t>Section 3.5 — Impeachment Initiation (House-Originated)</w:t>
      </w:r>
    </w:p>
    <w:p>
      <w:pPr>
        <w:spacing w:after="60" w:before="60"/>
      </w:pPr>
      <w:r>
        <w:t>This section governs the political impeachment track — initiated by the House and distinct from the automatic Rule Violation consequences of §2.7. This section applies exclusively to executive and judicial officers of the Republic. Legislative members of the House and Senate are not subject to this section — their removal is governed exclusively by §3.6 as the specific provision for legislative self-governance, and by §2.7.e where a Rule Violation finding applies. This clarification resolves any ambiguity arising from the phrase "elected or appointed federal official" — for purposes of this section, that phrase refers to officers of the executive and judicial branches only.</w:t>
      </w:r>
    </w:p>
    <w:p>
      <w:pPr>
        <w:spacing w:after="60" w:before="60"/>
        <w:ind w:left="720" w:hanging="360"/>
      </w:pPr>
      <w:r>
        <w:rPr>
          <w:rFonts w:ascii="Arial" w:cs="Arial" w:eastAsia="Arial" w:hAnsi="Arial"/>
          <w:b/>
          <w:bCs/>
          <w:color w:val="4A6FA5"/>
          <w:sz w:val="22"/>
          <w:szCs w:val="22"/>
        </w:rPr>
        <w:t xml:space="preserve">3.5.a Impeachment Inquiry: </w:t>
      </w:r>
      <w:r>
        <w:rPr>
          <w:rFonts w:ascii="Arial" w:cs="Arial" w:eastAsia="Arial" w:hAnsi="Arial"/>
          <w:color w:val="000000"/>
          <w:sz w:val="22"/>
          <w:szCs w:val="22"/>
        </w:rPr>
        <w:t>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ind w:left="720" w:hanging="360"/>
      </w:pPr>
      <w:r>
        <w:rPr>
          <w:rFonts w:ascii="Arial" w:cs="Arial" w:eastAsia="Arial" w:hAnsi="Arial"/>
          <w:b/>
          <w:bCs/>
          <w:color w:val="4A6FA5"/>
          <w:sz w:val="22"/>
          <w:szCs w:val="22"/>
        </w:rPr>
        <w:t xml:space="preserve">3.5.b Articles of Impeachment: </w:t>
      </w:r>
      <w:r>
        <w:rPr>
          <w:rFonts w:ascii="Arial" w:cs="Arial" w:eastAsia="Arial" w:hAnsi="Arial"/>
          <w:color w:val="000000"/>
          <w:sz w:val="22"/>
          <w:szCs w:val="22"/>
        </w:rPr>
        <w:t>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under §2.7 following a Supreme Court Rule Violation finding, not upon House passage of Articles alone. Where §2.7 suspension is simultaneously in effect, the §2.7 suspension governs — the official is suspended regardless of the §3.5 track status. The two tracks proceed independently and the more restrictive consequence applies.</w:t>
      </w:r>
    </w:p>
    <w:p>
      <w:pPr>
        <w:spacing w:after="60" w:before="60"/>
        <w:ind w:left="720" w:hanging="360"/>
      </w:pPr>
      <w:r>
        <w:rPr>
          <w:rFonts w:ascii="Arial" w:cs="Arial" w:eastAsia="Arial" w:hAnsi="Arial"/>
          <w:b/>
          <w:bCs/>
          <w:color w:val="4A6FA5"/>
          <w:sz w:val="22"/>
          <w:szCs w:val="22"/>
        </w:rPr>
        <w:t xml:space="preserve">3.5.c Senate Trial: </w:t>
      </w:r>
      <w:r>
        <w:rPr>
          <w:rFonts w:ascii="Arial" w:cs="Arial" w:eastAsia="Arial" w:hAnsi="Arial"/>
          <w:color w:val="000000"/>
          <w:sz w:val="22"/>
          <w:szCs w:val="22"/>
        </w:rPr>
        <w:t>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ind w:left="720" w:hanging="360"/>
      </w:pPr>
      <w:r>
        <w:rPr>
          <w:rFonts w:ascii="Arial" w:cs="Arial" w:eastAsia="Arial" w:hAnsi="Arial"/>
          <w:b/>
          <w:bCs/>
          <w:color w:val="4A6FA5"/>
          <w:sz w:val="22"/>
          <w:szCs w:val="22"/>
        </w:rPr>
        <w:t xml:space="preserve">3.5.d Executive Continuity During Impeachment: </w:t>
      </w:r>
      <w:r>
        <w:rPr>
          <w:rFonts w:ascii="Arial" w:cs="Arial" w:eastAsia="Arial" w:hAnsi="Arial"/>
          <w:color w:val="000000"/>
          <w:sz w:val="22"/>
          <w:szCs w:val="22"/>
        </w:rPr>
        <w:t>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spacing w:after="0" w:before="120"/>
      </w:pPr>
      <w:r>
        <w:t xml:space="preserve"/>
      </w:r>
    </w:p>
    <w:p>
      <w:pPr>
        <w:pStyle w:val="Heading2"/>
        <w:spacing w:after="80" w:before="200"/>
      </w:pPr>
      <w:r>
        <w:rPr>
          <w:rFonts w:ascii="Arial" w:cs="Arial" w:eastAsia="Arial" w:hAnsi="Arial"/>
          <w:b/>
          <w:bCs/>
          <w:color w:val="4A6FA5"/>
          <w:sz w:val="24"/>
          <w:szCs w:val="24"/>
        </w:rPr>
        <w:t>Section 3.6 — Legislative Expulsion by Peers</w:t>
      </w:r>
    </w:p>
    <w:p>
      <w:pPr>
        <w:spacing w:after="60" w:before="60"/>
      </w:pPr>
      <w:r>
        <w:rPr>
          <w:rFonts w:ascii="Arial" w:cs="Arial" w:eastAsia="Arial" w:hAnsi="Arial"/>
          <w:color w:val="000000"/>
          <w:sz w:val="22"/>
          <w:szCs w:val="22"/>
        </w:rPr>
        <w:t>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ind w:left="720" w:hanging="360"/>
      </w:pPr>
      <w:r>
        <w:rPr>
          <w:rFonts w:ascii="Arial" w:cs="Arial" w:eastAsia="Arial" w:hAnsi="Arial"/>
          <w:b/>
          <w:bCs/>
          <w:color w:val="4A6FA5"/>
          <w:sz w:val="22"/>
          <w:szCs w:val="22"/>
        </w:rPr>
        <w:t xml:space="preserve">3.6.a House Expulsion: </w:t>
      </w:r>
      <w:r>
        <w:rPr>
          <w:rFonts w:ascii="Arial" w:cs="Arial" w:eastAsia="Arial" w:hAnsi="Arial"/>
          <w:color w:val="000000"/>
          <w:sz w:val="22"/>
          <w:szCs w:val="22"/>
        </w:rPr>
        <w:t>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ind w:left="720" w:hanging="360"/>
      </w:pPr>
      <w:r>
        <w:rPr>
          <w:rFonts w:ascii="Arial" w:cs="Arial" w:eastAsia="Arial" w:hAnsi="Arial"/>
          <w:b/>
          <w:bCs/>
          <w:color w:val="4A6FA5"/>
          <w:sz w:val="22"/>
          <w:szCs w:val="22"/>
        </w:rPr>
        <w:t xml:space="preserve">3.6.b Senate Expulsion: </w:t>
      </w:r>
      <w:r>
        <w:rPr>
          <w:rFonts w:ascii="Arial" w:cs="Arial" w:eastAsia="Arial" w:hAnsi="Arial"/>
          <w:color w:val="000000"/>
          <w:sz w:val="22"/>
          <w:szCs w:val="22"/>
        </w:rPr>
        <w:t>The Senate may expel any of its members by a 2/3 vote of the full Senate membership, subject to the same published investigation and National Record System publication requirements.</w:t>
      </w:r>
    </w:p>
    <w:p>
      <w:pPr>
        <w:spacing w:after="60" w:before="60"/>
        <w:ind w:left="720" w:hanging="360"/>
      </w:pPr>
      <w:r>
        <w:rPr>
          <w:rFonts w:ascii="Arial" w:cs="Arial" w:eastAsia="Arial" w:hAnsi="Arial"/>
          <w:b/>
          <w:bCs/>
          <w:color w:val="4A6FA5"/>
          <w:sz w:val="22"/>
          <w:szCs w:val="22"/>
        </w:rPr>
        <w:t xml:space="preserve">3.6.c Anti-Weaponization Threshold: </w:t>
      </w:r>
      <w:r>
        <w:rPr>
          <w:rFonts w:ascii="Arial" w:cs="Arial" w:eastAsia="Arial" w:hAnsi="Arial"/>
          <w:color w:val="000000"/>
          <w:sz w:val="22"/>
          <w:szCs w:val="22"/>
        </w:rPr>
        <w:t>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ind w:left="720" w:hanging="360"/>
      </w:pPr>
      <w:r>
        <w:rPr>
          <w:rFonts w:ascii="Arial" w:cs="Arial" w:eastAsia="Arial" w:hAnsi="Arial"/>
          <w:b/>
          <w:bCs/>
          <w:color w:val="4A6FA5"/>
          <w:sz w:val="22"/>
          <w:szCs w:val="22"/>
        </w:rPr>
        <w:t xml:space="preserve">3.6.d Consequences and Restoration: </w:t>
      </w:r>
      <w:r>
        <w:rPr>
          <w:rFonts w:ascii="Arial" w:cs="Arial" w:eastAsia="Arial" w:hAnsi="Arial"/>
          <w:color w:val="000000"/>
          <w:sz w:val="22"/>
          <w:szCs w:val="22"/>
        </w:rPr>
        <w:t>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ind w:left="720" w:hanging="360"/>
      </w:pPr>
      <w:r>
        <w:rPr>
          <w:b/>
        </w:rPr>
        <w:t xml:space="preserve">3.6.e Recall Mechanisms — States and Territories: </w:t>
      </w:r>
      <w:r>
        <w:t>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pPr>
      <w:r>
        <w:rPr>
          <w:b/>
        </w:rPr>
        <w:t xml:space="preserve">3.6.f Vacancy Filling — States and Territories: </w:t>
      </w:r>
      <w:r>
        <w:t>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IV — THE JUDICIAL ARCHITECTURE</w:t>
      </w:r>
    </w:p>
    <w:p>
      <w:pPr>
        <w:spacing w:after="0" w:before="120"/>
      </w:pPr>
      <w:r>
        <w:t xml:space="preserve"/>
      </w:r>
    </w:p>
    <w:p>
      <w:pPr>
        <w:pStyle w:val="Heading2"/>
        <w:spacing w:after="80" w:before="200"/>
      </w:pPr>
      <w:r>
        <w:rPr>
          <w:rFonts w:ascii="Arial" w:cs="Arial" w:eastAsia="Arial" w:hAnsi="Arial"/>
          <w:b/>
          <w:bCs/>
          <w:color w:val="4A6FA5"/>
          <w:sz w:val="24"/>
          <w:szCs w:val="24"/>
        </w:rPr>
        <w:t>Section 4.1 — Court Structure</w:t>
      </w:r>
    </w:p>
    <w:p>
      <w:pPr>
        <w:spacing w:after="60" w:before="60"/>
      </w:pPr>
      <w:r>
        <w:rPr>
          <w:rFonts w:ascii="Arial" w:cs="Arial" w:eastAsia="Arial" w:hAnsi="Arial"/>
          <w:color w:val="000000"/>
          <w:sz w:val="22"/>
          <w:szCs w:val="22"/>
        </w:rPr>
        <w:t>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ind w:left="720" w:hanging="360"/>
      </w:pPr>
      <w:r>
        <w:rPr>
          <w:rFonts w:ascii="Arial" w:cs="Arial" w:eastAsia="Arial" w:hAnsi="Arial"/>
          <w:b/>
          <w:bCs/>
          <w:color w:val="4A6FA5"/>
          <w:sz w:val="22"/>
          <w:szCs w:val="22"/>
        </w:rPr>
        <w:t xml:space="preserve">4.1.a Establishment: </w:t>
      </w:r>
      <w:r>
        <w:rPr>
          <w:rFonts w:ascii="Arial" w:cs="Arial" w:eastAsia="Arial" w:hAnsi="Arial"/>
          <w:color w:val="000000"/>
          <w:sz w:val="22"/>
          <w:szCs w:val="22"/>
        </w:rPr>
        <w:t>Only the House may create or abolish inferior courts by statute.</w:t>
      </w:r>
    </w:p>
    <w:p>
      <w:pPr>
        <w:spacing w:after="60" w:before="60"/>
        <w:ind w:left="720" w:hanging="360"/>
      </w:pPr>
      <w:r>
        <w:rPr>
          <w:b/>
        </w:rPr>
        <w:t xml:space="preserve">4.1.b Appointment of Inferior Court Judges: </w:t>
      </w:r>
      <w:r>
        <w:t>The PM nominates lower court judges within 90 days of any vacancy; the House confirms by a supermajority the Legislature defines by statute within a Legislature-defined period; the Supreme Court commissions all confirmed judges. If the House fails to vote on any nomination within the Legislature-defined confirmation period, the nominee is Deemed Confirmed and the Supreme Court commissions them immediately. If the PM fails to nominate within 90 days of a vacancy, the Supreme Court nominates directly from the Qualified Jurist Registry; that nomination proceeds to House confirmation on the same supermajority standard and Deemed Confirmed timeline.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 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ind w:left="720" w:hanging="360"/>
      </w:pPr>
      <w:r>
        <w:rPr>
          <w:b/>
        </w:rPr>
        <w:t xml:space="preserve">4.1.c Removal of Inferior Court Judges — Three Tracks: </w:t>
      </w:r>
      <w:r>
        <w:t>Inferior court judges may be removed through three independent tracks. Track 1 — Rule Violation (§2.7): A Supreme Court finding of a constitutional violation triggers automatic suspension, access revocation, and Senate trial on the standard §2.7 track. Track 2 — Judicial Initiation: Requires a 2/3 petition from the Supreme Court, followed by a supermajority conviction vote in the Legislature that the Legislature defines by statute. The Supreme Court petition is a constitutional prerequisite — the Legislature may not proceed to the conviction vote without it, and neither executive may initiate removal without the Supreme Court's formal petition. Track 3 — Political Removal: Mirrors the presidential and Supreme Court political removal architecture: 2/3 of the full House membership to initiate, plus 2/3 of the full Senate membership to convict and remove; OR a simple majority of the full Senate membership to refer the question to a national recall referendum, with removal requiring a majority of eligible voters and one referral permitted per judicial term. This section is the exclusive removal mechanism for inferior court judges. The general impeachment track of §3.5 does not apply to inferior court judges. All removal proceedings and their outcomes are published to the National Record System.</w:t>
      </w:r>
    </w:p>
    <w:p>
      <w:r>
        <w:rPr>
          <w:b/>
        </w:rPr>
        <w:t xml:space="preserve">4.1.d Judicial Tenure Protection: </w:t>
      </w:r>
      <w: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three-track removal system of §4.1.c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spacing w:after="0" w:before="120"/>
      </w:pPr>
      <w:r>
        <w:t xml:space="preserve"/>
      </w:r>
    </w:p>
    <w:p>
      <w:pPr>
        <w:pStyle w:val="Heading2"/>
        <w:spacing w:after="80" w:before="200"/>
      </w:pPr>
      <w:r>
        <w:rPr>
          <w:rFonts w:ascii="Arial" w:cs="Arial" w:eastAsia="Arial" w:hAnsi="Arial"/>
          <w:b/>
          <w:bCs/>
          <w:color w:val="4A6FA5"/>
          <w:sz w:val="24"/>
          <w:szCs w:val="24"/>
        </w:rPr>
        <w:t>Section 4.2 — The Supreme Court</w:t>
      </w:r>
    </w:p>
    <w:p>
      <w:pPr>
        <w:spacing w:after="80" w:before="200"/>
      </w:pPr>
      <w:r>
        <w:t>The Triad: Each open Supreme Court seat is filled through a three-party nomination process. The three Triad nominators are the Senate, the Prime Minister, and the President, each submitting one candidate per vacancy from the Qualified Jurist Registry maintained by the Judicial Inspectorate. All three nominations must be submitted before the citizen election proceeds. This three-party structure — Senate, PM, and President — is referred to as the Triad throughout this Constitution. The Senate replaces the House as a Triad nominator because the Senate's closer institutional relationship with the President — through treaty ratification, judicial confirmations, and Rule Violation trials — produces genuinely distinct institutional perspective from both the PM and the President, while the House's nomination would effectively double the PM's voice given the PM's confidence relationship with the House.</w:t>
      </w:r>
    </w:p>
    <w:p>
      <w:pPr>
        <w:spacing w:after="60" w:before="60"/>
      </w:pPr>
      <w:r>
        <w:rPr>
          <w:rFonts w:ascii="Arial" w:cs="Arial" w:eastAsia="Arial" w:hAnsi="Arial"/>
          <w:color w:val="000000"/>
          <w:sz w:val="22"/>
          <w:szCs w:val="22"/>
        </w:rPr>
        <w:t>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ind w:left="720" w:hanging="360"/>
      </w:pPr>
      <w:r>
        <w:rPr>
          <w:b/>
        </w:rPr>
        <w:t xml:space="preserve">4.2.a Triad Nomination: </w:t>
      </w:r>
      <w:r>
        <w:t>The Senate, the PM, and the President each nominate one candidate per open seat from the Qualified Jurist Registry. The Judicial Inspectorate maintains the Registry and certifies that each nominee meets the eligibility criteria of §8.4.a before the public election proceeds. All three nominations must be submitted and certified before any public election is scheduled. A Triad nominator who fails to submit a nomination within the Legislature-defined statutory period commits a constitutional dereliction, published to the National Record System; the remaining two nominees proceed to the public election without the missing nomination. No separate Senate eligibility confirmation vote is required — the Judicial Inspectorate's Registry certification is the sole eligibility filter. The Electoral Commission administers all elections including those for Supreme Court seats and may not exclude any Triad-nominated and Registry-certified candidate from the ballot.</w:t>
      </w:r>
    </w:p>
    <w:p>
      <w:pPr>
        <w:spacing w:after="60" w:before="60"/>
        <w:ind w:left="720" w:hanging="360"/>
      </w:pPr>
      <w:r>
        <w:rPr>
          <w:b/>
        </w:rPr>
        <w:t xml:space="preserve">4.2.b Mid-Term Vacancy Process: </w:t>
      </w:r>
      <w:r>
        <w:t>Where a Supreme Court seat becomes vacant mid-term through death, resignation, removal, or expulsion, a special election is held within 90 days. The President and PM each nominate one candidate from the Qualified Jurist Registry within a Legislature-defined period. The Senate has 90 days from the date of vacancy to nominate a third candidate from the Registry. If the Senate nominates within 90 days, all three candidates proceed to the public special election. If the Senate fails to nominate within 90 days, the President's and PM's two nominees proceed to a head-to-head public special election without a Senate nominee — the Senate's failure to nominate is published to the National Record System and is the Senate's constitutional consequence. The replacement justice serves only the remainder of the original term, not a new 12-year term. All other Triad nomination and Registry certification requirements of §4.2.a apply to mid-term vacancies.</w:t>
      </w:r>
    </w:p>
    <w:p>
      <w:pPr>
        <w:spacing w:after="60" w:before="60"/>
        <w:ind w:left="720" w:hanging="360"/>
      </w:pPr>
      <w:r>
        <w:rPr>
          <w:b/>
        </w:rPr>
        <w:t xml:space="preserve">4.2.c Judicial Inspectorate Vetting: </w:t>
      </w:r>
      <w:r>
        <w:t>Before any Triad nomination may proceed to the public election, the Judicial Inspectorate vets each nominee against the Qualified Jurist Registry criteria. The nominee's Registry registration record — submitted at the time of Registry admission — serves as the disclosure record for vetting purposes. The JI does not generate a new independent assessment; it confirms that the nominee remains in the Registry, that no disqualifying change in circumstances has occurred since Registry admission, and that the specific eligibility criteria continue to be met. A nominee who fails vetting may not proceed to the public election. The nominating Triad member whose nominee fails vetting must submit a replacement nominee within a Legislature-defined statutory period. Any nominee may petition the Supreme Court within 14 days of a vetting determination to challenge it on technical grounds; the nominee continues to be listed as pending during the review period. All vetting determinations are published to the National Record System.</w:t>
      </w:r>
    </w:p>
    <w:p>
      <w:pPr>
        <w:spacing w:after="60" w:before="60"/>
        <w:ind w:left="720" w:hanging="360"/>
      </w:pPr>
      <w:r>
        <w:rPr>
          <w:b/>
        </w:rPr>
        <w:t xml:space="preserve">4.2.d Public Election: </w:t>
      </w:r>
      <w:r>
        <w:t>Following Judicial Inspectorate vetting, all certified nominees are placed on the ballot for a national direct election by Ranked Choice Voting on the next National Election Day, or by special election within 90 days for mid-term vacancies under §4.2.b. The winner is the nominee who achieves a national RCV majority. The Electoral Commission administers the election and certifies the result to the National Record System. No institution may remove a certified nominee from the ballot after JI vetting is complete. The elected justice takes office upon taking the Official Oath, which is recorded on the National Record System within 24 hours of administration.</w:t>
      </w:r>
    </w:p>
    <w:p>
      <w:pPr>
        <w:spacing w:after="60" w:before="60"/>
        <w:ind w:left="720" w:hanging="360"/>
      </w:pPr>
      <w:r>
        <w:rPr>
          <w:rFonts w:ascii="Arial" w:cs="Arial" w:eastAsia="Arial" w:hAnsi="Arial"/>
          <w:b/>
          <w:bCs/>
          <w:color w:val="4A6FA5"/>
          <w:sz w:val="22"/>
          <w:szCs w:val="22"/>
        </w:rPr>
        <w:t xml:space="preserve">4.2.e Emergency Panel for Tier 1 Scope Challenges: </w:t>
      </w:r>
      <w:r>
        <w:rPr>
          <w:rFonts w:ascii="Arial" w:cs="Arial" w:eastAsia="Arial" w:hAnsi="Arial"/>
          <w:color w:val="000000"/>
          <w:sz w:val="22"/>
          <w:szCs w:val="22"/>
        </w:rPr>
        <w:t>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ind w:left="720" w:hanging="360"/>
      </w:pPr>
      <w:r>
        <w:rPr>
          <w:rFonts w:ascii="Arial" w:cs="Arial" w:eastAsia="Arial" w:hAnsi="Arial"/>
          <w:b/>
          <w:bCs/>
          <w:color w:val="4A6FA5"/>
          <w:sz w:val="22"/>
          <w:szCs w:val="22"/>
        </w:rPr>
        <w:t xml:space="preserve">4.2.f Vacancy Operating Rules: </w:t>
      </w:r>
      <w:r>
        <w:rPr>
          <w:rFonts w:ascii="Arial" w:cs="Arial" w:eastAsia="Arial" w:hAnsi="Arial"/>
          <w:color w:val="000000"/>
          <w:sz w:val="22"/>
          <w:szCs w:val="22"/>
        </w:rPr>
        <w:t>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the Legislature may not alter this rule in any way that restricts the Court's ability to issue binding rulings on constitutional questions during extended vacancies.</w:t>
      </w:r>
    </w:p>
    <w:p>
      <w:pPr>
        <w:spacing w:after="60" w:before="60"/>
        <w:ind w:left="720" w:hanging="360"/>
      </w:pPr>
      <w:r>
        <w:rPr>
          <w:rFonts w:ascii="Arial" w:cs="Arial" w:eastAsia="Arial" w:hAnsi="Arial"/>
          <w:b/>
          <w:bCs/>
          <w:color w:val="4A6FA5"/>
          <w:sz w:val="22"/>
          <w:szCs w:val="22"/>
        </w:rPr>
        <w:t xml:space="preserve">4.2.g Judicial Recusal: </w:t>
      </w:r>
      <w:r>
        <w:rPr>
          <w:rFonts w:ascii="Arial" w:cs="Arial" w:eastAsia="Arial" w:hAnsi="Arial"/>
          <w:color w:val="000000"/>
          <w:sz w:val="22"/>
          <w:szCs w:val="22"/>
        </w:rPr>
        <w:t>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w:t>
      </w:r>
    </w:p>
    <w:p>
      <w:pPr>
        <w:spacing w:after="0" w:before="120"/>
      </w:pPr>
      <w:r>
        <w:t xml:space="preserve"/>
      </w:r>
    </w:p>
    <w:p>
      <w:pPr>
        <w:pStyle w:val="Heading2"/>
        <w:spacing w:after="80" w:before="200"/>
      </w:pPr>
      <w:r>
        <w:rPr>
          <w:rFonts w:ascii="Arial" w:cs="Arial" w:eastAsia="Arial" w:hAnsi="Arial"/>
          <w:b/>
          <w:bCs/>
          <w:color w:val="4A6FA5"/>
          <w:sz w:val="24"/>
          <w:szCs w:val="24"/>
        </w:rPr>
        <w:t>Section 4.3 — Judicial Independence and Scope of Authority</w:t>
      </w:r>
    </w:p>
    <w:p>
      <w:pPr>
        <w:spacing w:after="60" w:before="60"/>
      </w:pPr>
      <w:r>
        <w:rPr>
          <w:rFonts w:ascii="Arial" w:cs="Arial" w:eastAsia="Arial" w:hAnsi="Arial"/>
          <w:color w:val="000000"/>
          <w:sz w:val="22"/>
          <w:szCs w:val="22"/>
        </w:rPr>
        <w:t>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ind w:left="720" w:hanging="360"/>
      </w:pPr>
      <w:r>
        <w:rPr>
          <w:rFonts w:ascii="Arial" w:cs="Arial" w:eastAsia="Arial" w:hAnsi="Arial"/>
          <w:b/>
          <w:bCs/>
          <w:color w:val="4A6FA5"/>
          <w:sz w:val="22"/>
          <w:szCs w:val="22"/>
        </w:rPr>
        <w:t xml:space="preserve">4.3.a Declaration of Unconstitutionality: </w:t>
      </w:r>
      <w:r>
        <w:rPr>
          <w:rFonts w:ascii="Arial" w:cs="Arial" w:eastAsia="Arial" w:hAnsi="Arial"/>
          <w:color w:val="000000"/>
          <w:sz w:val="22"/>
          <w:szCs w:val="22"/>
        </w:rPr>
        <w:t>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r>
        <w:rPr>
          <w:b/>
        </w:rPr>
        <w:t xml:space="preserve">4.3.b Organizational Standing: </w:t>
      </w:r>
      <w: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r>
        <w:rPr>
          <w:b/>
        </w:rPr>
        <w:t xml:space="preserve">4.3.c Ripeness and Mootness: </w:t>
      </w:r>
      <w: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Style w:val="Heading2"/>
        <w:spacing w:after="80" w:before="200"/>
      </w:pPr>
      <w:r>
        <w:rPr>
          <w:rFonts w:ascii="Arial" w:cs="Arial" w:eastAsia="Arial" w:hAnsi="Arial"/>
          <w:b/>
          <w:bCs/>
          <w:color w:val="4A6FA5"/>
          <w:sz w:val="24"/>
          <w:szCs w:val="24"/>
        </w:rPr>
        <w:t>Section 4.4 — Interstate Recognition of Judgments and Public Acts</w:t>
      </w:r>
    </w:p>
    <w:p>
      <w:pPr>
        <w:spacing w:after="60" w:before="60"/>
      </w:pPr>
      <w:r>
        <w:rPr>
          <w:rFonts w:ascii="Arial" w:cs="Arial" w:eastAsia="Arial" w:hAnsi="Arial"/>
          <w:color w:val="000000"/>
          <w:sz w:val="22"/>
          <w:szCs w:val="22"/>
        </w:rPr>
        <w:t>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ind w:left="720" w:hanging="360"/>
      </w:pPr>
      <w:r>
        <w:rPr>
          <w:rFonts w:ascii="Arial" w:cs="Arial" w:eastAsia="Arial" w:hAnsi="Arial"/>
          <w:b/>
          <w:bCs/>
          <w:color w:val="4A6FA5"/>
          <w:sz w:val="22"/>
          <w:szCs w:val="22"/>
        </w:rPr>
        <w:t xml:space="preserve">4.4.a Judicial Judgments: </w:t>
      </w:r>
      <w:r>
        <w:rPr>
          <w:rFonts w:ascii="Arial" w:cs="Arial" w:eastAsia="Arial" w:hAnsi="Arial"/>
          <w:color w:val="000000"/>
          <w:sz w:val="22"/>
          <w:szCs w:val="22"/>
        </w:rPr>
        <w:t>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ind w:left="720" w:hanging="360"/>
      </w:pPr>
      <w:r>
        <w:rPr>
          <w:rFonts w:ascii="Arial" w:cs="Arial" w:eastAsia="Arial" w:hAnsi="Arial"/>
          <w:b/>
          <w:bCs/>
          <w:color w:val="4A6FA5"/>
          <w:sz w:val="22"/>
          <w:szCs w:val="22"/>
        </w:rPr>
        <w:t xml:space="preserve">4.4.b NRS Authentication: </w:t>
      </w:r>
      <w:r>
        <w:rPr>
          <w:rFonts w:ascii="Arial" w:cs="Arial" w:eastAsia="Arial" w:hAnsi="Arial"/>
          <w:color w:val="000000"/>
          <w:sz w:val="22"/>
          <w:szCs w:val="22"/>
        </w:rPr>
        <w:t>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ind w:left="720" w:hanging="360"/>
      </w:pPr>
      <w:r>
        <w:rPr>
          <w:rFonts w:ascii="Arial" w:cs="Arial" w:eastAsia="Arial" w:hAnsi="Arial"/>
          <w:b/>
          <w:bCs/>
          <w:color w:val="4A6FA5"/>
          <w:sz w:val="22"/>
          <w:szCs w:val="22"/>
        </w:rPr>
        <w:t xml:space="preserve">4.4.c Public Acts and Official Records: </w:t>
      </w:r>
      <w:r>
        <w:rPr>
          <w:rFonts w:ascii="Arial" w:cs="Arial" w:eastAsia="Arial" w:hAnsi="Arial"/>
          <w:color w:val="000000"/>
          <w:sz w:val="22"/>
          <w:szCs w:val="22"/>
        </w:rPr>
        <w:t>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ind w:left="720" w:hanging="360"/>
      </w:pPr>
      <w:r>
        <w:rPr>
          <w:rFonts w:ascii="Arial" w:cs="Arial" w:eastAsia="Arial" w:hAnsi="Arial"/>
          <w:b/>
          <w:bCs/>
          <w:color w:val="4A6FA5"/>
          <w:sz w:val="22"/>
          <w:szCs w:val="22"/>
        </w:rPr>
        <w:t xml:space="preserve">4.4.d Status Orders — Special Protections: </w:t>
      </w:r>
      <w:r>
        <w:rPr>
          <w:rFonts w:ascii="Arial" w:cs="Arial" w:eastAsia="Arial" w:hAnsi="Arial"/>
          <w:color w:val="000000"/>
          <w:sz w:val="22"/>
          <w:szCs w:val="22"/>
        </w:rPr>
        <w:t>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ind w:left="720" w:hanging="360"/>
      </w:pPr>
      <w:r>
        <w:rPr>
          <w:rFonts w:ascii="Arial" w:cs="Arial" w:eastAsia="Arial" w:hAnsi="Arial"/>
          <w:b/>
          <w:bCs/>
          <w:color w:val="4A6FA5"/>
          <w:sz w:val="22"/>
          <w:szCs w:val="22"/>
        </w:rPr>
        <w:t xml:space="preserve">4.4.f Limits — No Obligation Beyond Republic Borders: </w:t>
      </w:r>
      <w:r>
        <w:rPr>
          <w:rFonts w:ascii="Arial" w:cs="Arial" w:eastAsia="Arial" w:hAnsi="Arial"/>
          <w:color w:val="000000"/>
          <w:sz w:val="22"/>
          <w:szCs w:val="22"/>
        </w:rPr>
        <w:t>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ind w:left="720" w:hanging="360"/>
      </w:pPr>
      <w:r>
        <w:rPr>
          <w:rFonts w:ascii="Arial" w:cs="Arial" w:eastAsia="Arial" w:hAnsi="Arial"/>
          <w:b/>
          <w:bCs/>
          <w:color w:val="4A6FA5"/>
          <w:sz w:val="22"/>
          <w:szCs w:val="22"/>
        </w:rPr>
        <w:t xml:space="preserve">4.4.g Legislative Implementation Mandates: </w:t>
      </w:r>
      <w:r>
        <w:rPr>
          <w:rFonts w:ascii="Arial" w:cs="Arial" w:eastAsia="Arial" w:hAnsi="Arial"/>
          <w:color w:val="000000"/>
          <w:sz w:val="22"/>
          <w:szCs w:val="22"/>
        </w:rPr>
        <w:t>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 — CITIZENSHIP, RESIDENCY, AND NATIONAL IDENTITY</w:t>
      </w:r>
    </w:p>
    <w:p>
      <w:pPr>
        <w:spacing w:after="60" w:before="60"/>
      </w:pPr>
      <w:r>
        <w:rPr>
          <w:rFonts w:ascii="Arial" w:cs="Arial" w:eastAsia="Arial" w:hAnsi="Arial"/>
          <w:color w:val="000000"/>
          <w:sz w:val="22"/>
          <w:szCs w:val="22"/>
        </w:rPr>
        <w:t>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spacing w:after="0" w:before="120"/>
      </w:pPr>
      <w:r>
        <w:t xml:space="preserve"/>
      </w:r>
    </w:p>
    <w:p>
      <w:pPr>
        <w:pStyle w:val="Heading2"/>
        <w:spacing w:after="80" w:before="200"/>
      </w:pPr>
      <w:r>
        <w:rPr>
          <w:rFonts w:ascii="Arial" w:cs="Arial" w:eastAsia="Arial" w:hAnsi="Arial"/>
          <w:b/>
          <w:bCs/>
          <w:color w:val="4A6FA5"/>
          <w:sz w:val="24"/>
          <w:szCs w:val="24"/>
        </w:rPr>
        <w:t>Section 5.1 — Citizens</w:t>
      </w:r>
    </w:p>
    <w:p>
      <w:pPr>
        <w:spacing w:after="60" w:before="60"/>
      </w:pPr>
      <w:r>
        <w:rPr>
          <w:rFonts w:ascii="Arial" w:cs="Arial" w:eastAsia="Arial" w:hAnsi="Arial"/>
          <w:color w:val="000000"/>
          <w:sz w:val="22"/>
          <w:szCs w:val="22"/>
        </w:rPr>
        <w:t>Citizenship grants the right to vote, hold elected office, and serve in roles requiring national defense clearance.</w:t>
      </w:r>
    </w:p>
    <w:p>
      <w:pPr>
        <w:spacing w:after="60" w:before="60"/>
        <w:ind w:left="720" w:hanging="360"/>
      </w:pPr>
      <w:r>
        <w:rPr>
          <w:rFonts w:ascii="Arial" w:cs="Arial" w:eastAsia="Arial" w:hAnsi="Arial"/>
          <w:b/>
          <w:bCs/>
          <w:color w:val="4A6FA5"/>
          <w:sz w:val="22"/>
          <w:szCs w:val="22"/>
        </w:rPr>
        <w:t xml:space="preserve">5.1.a Inherent Citizenship: </w:t>
      </w:r>
      <w:r>
        <w:rPr>
          <w:rFonts w:ascii="Arial" w:cs="Arial" w:eastAsia="Arial" w:hAnsi="Arial"/>
          <w:color w:val="000000"/>
          <w:sz w:val="22"/>
          <w:szCs w:val="22"/>
        </w:rPr>
        <w:t>A child is automatically a citizen if at least one parent is a Citizen or Legal Resident at birth. This status is permanent and irrevocable.</w:t>
      </w:r>
    </w:p>
    <w:p>
      <w:pPr>
        <w:spacing w:after="60" w:before="60"/>
        <w:ind w:left="720" w:hanging="360"/>
      </w:pPr>
      <w:r>
        <w:t>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ind w:left="720" w:hanging="360"/>
      </w:pPr>
      <w:r>
        <w:rPr>
          <w:rFonts w:ascii="Arial" w:cs="Arial" w:eastAsia="Arial" w:hAnsi="Arial"/>
          <w:b/>
          <w:bCs/>
          <w:color w:val="4A6FA5"/>
          <w:sz w:val="22"/>
          <w:szCs w:val="22"/>
        </w:rPr>
        <w:t xml:space="preserve">5.1.b Coming of Age: </w:t>
      </w:r>
      <w:r>
        <w:rPr>
          <w:rFonts w:ascii="Arial" w:cs="Arial" w:eastAsia="Arial" w:hAnsi="Arial"/>
          <w:color w:val="000000"/>
          <w:sz w:val="22"/>
          <w:szCs w:val="22"/>
        </w:rPr>
        <w:t>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ind w:left="720" w:hanging="360"/>
      </w:pPr>
      <w:r>
        <w:rPr>
          <w:rFonts w:ascii="Arial" w:cs="Arial" w:eastAsia="Arial" w:hAnsi="Arial"/>
          <w:b/>
          <w:bCs/>
          <w:color w:val="4A6FA5"/>
          <w:sz w:val="22"/>
          <w:szCs w:val="22"/>
        </w:rPr>
        <w:t xml:space="preserve">5.1.c Naturalization: </w:t>
      </w:r>
      <w:r>
        <w:rPr>
          <w:rFonts w:ascii="Arial" w:cs="Arial" w:eastAsia="Arial" w:hAnsi="Arial"/>
          <w:color w:val="000000"/>
          <w:sz w:val="22"/>
          <w:szCs w:val="22"/>
        </w:rPr>
        <w:t>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ind w:left="720" w:hanging="360"/>
      </w:pPr>
      <w:r>
        <w:rPr>
          <w:rFonts w:ascii="Arial" w:cs="Arial" w:eastAsia="Arial" w:hAnsi="Arial"/>
          <w:b/>
          <w:bCs/>
          <w:color w:val="4A6FA5"/>
          <w:sz w:val="22"/>
          <w:szCs w:val="22"/>
        </w:rPr>
        <w:t xml:space="preserve">5.1.d National Service Path: </w:t>
      </w:r>
      <w:r>
        <w:rPr>
          <w:rFonts w:ascii="Arial" w:cs="Arial" w:eastAsia="Arial" w:hAnsi="Arial"/>
          <w:color w:val="000000"/>
          <w:sz w:val="22"/>
          <w:szCs w:val="22"/>
        </w:rPr>
        <w:t>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ind w:left="720" w:hanging="360"/>
      </w:pPr>
      <w:r>
        <w:rPr>
          <w:rFonts w:ascii="Arial" w:cs="Arial" w:eastAsia="Arial" w:hAnsi="Arial"/>
          <w:b/>
          <w:bCs/>
          <w:color w:val="4A6FA5"/>
          <w:sz w:val="22"/>
          <w:szCs w:val="22"/>
        </w:rPr>
        <w:t xml:space="preserve">5.1.e Citizenship Irrevocability: </w:t>
      </w:r>
      <w:r>
        <w:rPr>
          <w:rFonts w:ascii="Arial" w:cs="Arial" w:eastAsia="Arial" w:hAnsi="Arial"/>
          <w:color w:val="000000"/>
          <w:sz w:val="22"/>
          <w:szCs w:val="22"/>
        </w:rPr>
        <w:t>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ind w:left="720" w:hanging="360"/>
      </w:pPr>
      <w:r>
        <w:rPr>
          <w:rFonts w:ascii="Arial" w:cs="Arial" w:eastAsia="Arial" w:hAnsi="Arial"/>
          <w:b/>
          <w:bCs/>
          <w:color w:val="4A6FA5"/>
          <w:sz w:val="22"/>
          <w:szCs w:val="22"/>
        </w:rPr>
        <w:t xml:space="preserve">5.1.f Derivative Status: </w:t>
      </w:r>
      <w:r>
        <w:rPr>
          <w:rFonts w:ascii="Arial" w:cs="Arial" w:eastAsia="Arial" w:hAnsi="Arial"/>
          <w:color w:val="000000"/>
          <w:sz w:val="22"/>
          <w:szCs w:val="22"/>
        </w:rPr>
        <w:t>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0" w:before="120"/>
      </w:pPr>
      <w:r>
        <w:t xml:space="preserve"/>
      </w:r>
    </w:p>
    <w:p>
      <w:pPr>
        <w:pStyle w:val="Heading2"/>
        <w:spacing w:after="80" w:before="200"/>
      </w:pPr>
      <w:r>
        <w:rPr>
          <w:rFonts w:ascii="Arial" w:cs="Arial" w:eastAsia="Arial" w:hAnsi="Arial"/>
          <w:b/>
          <w:bCs/>
          <w:color w:val="4A6FA5"/>
          <w:sz w:val="24"/>
          <w:szCs w:val="24"/>
        </w:rPr>
        <w:t>Section 5.2 — Legal Residents</w:t>
      </w:r>
    </w:p>
    <w:p>
      <w:pPr>
        <w:spacing w:after="60" w:before="60"/>
        <w:ind w:left="720" w:hanging="360"/>
      </w:pPr>
      <w:r>
        <w:rPr>
          <w:rFonts w:ascii="Arial" w:cs="Arial" w:eastAsia="Arial" w:hAnsi="Arial"/>
          <w:b/>
          <w:bCs/>
          <w:color w:val="4A6FA5"/>
          <w:sz w:val="22"/>
          <w:szCs w:val="22"/>
        </w:rPr>
        <w:t xml:space="preserve">5.2 Legal Resident Rights: </w:t>
      </w:r>
      <w:r>
        <w:rPr>
          <w:rFonts w:ascii="Arial" w:cs="Arial" w:eastAsia="Arial" w:hAnsi="Arial"/>
          <w:color w:val="000000"/>
          <w:sz w:val="22"/>
          <w:szCs w:val="22"/>
        </w:rPr>
        <w:t>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Style w:val="Heading2"/>
        <w:spacing w:after="80" w:before="200"/>
      </w:pPr>
      <w:r>
        <w:rPr>
          <w:rFonts w:ascii="Arial" w:cs="Arial" w:eastAsia="Arial" w:hAnsi="Arial"/>
          <w:b/>
          <w:bCs/>
          <w:color w:val="4A6FA5"/>
          <w:sz w:val="24"/>
          <w:szCs w:val="24"/>
        </w:rPr>
        <w:t>Section 5.3 — Custodial Care of Citizen Children</w:t>
      </w:r>
    </w:p>
    <w:p>
      <w:pPr>
        <w:spacing w:after="60" w:before="60"/>
        <w:ind w:left="720" w:hanging="360"/>
      </w:pPr>
      <w:r>
        <w:rPr>
          <w:rFonts w:ascii="Arial" w:cs="Arial" w:eastAsia="Arial" w:hAnsi="Arial"/>
          <w:b/>
          <w:bCs/>
          <w:color w:val="4A6FA5"/>
          <w:sz w:val="22"/>
          <w:szCs w:val="22"/>
        </w:rPr>
        <w:t xml:space="preserve">5.3 Custodial Care of Citizen Children: </w:t>
      </w:r>
      <w:r>
        <w:rPr>
          <w:rFonts w:ascii="Arial" w:cs="Arial" w:eastAsia="Arial" w:hAnsi="Arial"/>
          <w:color w:val="000000"/>
          <w:sz w:val="22"/>
          <w:szCs w:val="22"/>
        </w:rPr>
        <w:t>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spacing w:after="0" w:before="120"/>
      </w:pPr>
      <w:r>
        <w:t xml:space="preserve"/>
      </w:r>
    </w:p>
    <w:p>
      <w:pPr>
        <w:pStyle w:val="Heading2"/>
        <w:spacing w:after="80" w:before="200"/>
      </w:pPr>
      <w:r>
        <w:rPr>
          <w:rFonts w:ascii="Arial" w:cs="Arial" w:eastAsia="Arial" w:hAnsi="Arial"/>
          <w:b/>
          <w:bCs/>
          <w:color w:val="4A6FA5"/>
          <w:sz w:val="24"/>
          <w:szCs w:val="24"/>
        </w:rPr>
        <w:t>Section 5.4 — The Constitutional Logic Test</w:t>
      </w:r>
    </w:p>
    <w:p>
      <w:pPr>
        <w:spacing w:after="60" w:before="60"/>
      </w:pPr>
      <w:r>
        <w:rPr>
          <w:rFonts w:ascii="Arial" w:cs="Arial" w:eastAsia="Arial" w:hAnsi="Arial"/>
          <w:color w:val="000000"/>
          <w:sz w:val="22"/>
          <w:szCs w:val="22"/>
        </w:rPr>
        <w:t>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ind w:left="720" w:hanging="360"/>
      </w:pPr>
      <w:r>
        <w:rPr>
          <w:rFonts w:ascii="Arial" w:cs="Arial" w:eastAsia="Arial" w:hAnsi="Arial"/>
          <w:b/>
          <w:bCs/>
          <w:color w:val="4A6FA5"/>
          <w:sz w:val="22"/>
          <w:szCs w:val="22"/>
        </w:rPr>
        <w:t xml:space="preserve">5.4.a Senate Authority over the CLT Standard: </w:t>
      </w:r>
      <w:r>
        <w:rPr>
          <w:rFonts w:ascii="Arial" w:cs="Arial" w:eastAsia="Arial" w:hAnsi="Arial"/>
          <w:color w:val="000000"/>
          <w:sz w:val="22"/>
          <w:szCs w:val="22"/>
        </w:rPr>
        <w:t>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ind w:left="720" w:hanging="360"/>
      </w:pPr>
      <w:r>
        <w:rPr>
          <w:rFonts w:ascii="Arial" w:cs="Arial" w:eastAsia="Arial" w:hAnsi="Arial"/>
          <w:b/>
          <w:bCs/>
          <w:color w:val="4A6FA5"/>
          <w:sz w:val="22"/>
          <w:szCs w:val="22"/>
        </w:rPr>
        <w:t xml:space="preserve">5.4.b CLT Administrator: </w:t>
      </w:r>
      <w:r>
        <w:rPr>
          <w:rFonts w:ascii="Arial" w:cs="Arial" w:eastAsia="Arial" w:hAnsi="Arial"/>
          <w:color w:val="000000"/>
          <w:sz w:val="22"/>
          <w:szCs w:val="22"/>
        </w:rPr>
        <w:t>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CLT Administrator eligibility criteria — candidates must meet all three requirements: (1) no elected or appointed government position in the prior 5 years; (2) no current financial interest in any entity administering educational testing, citizenship assessment, or civic credentialing services; (3) demonstrated expertise in at least one of: psychometrics and assessment design, constitutional law, educational policy, or civic literacy research. These criteria are the constitutional eligibility floor; the Legislature may by statute establish additional qualification requirements consistent with this floor. The Executive Inspectorate reviews the submitted record for factual accuracy, applies these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Removal of a permanently confirmed CLT Administrator requires a 2/3 vote of both chambers simultaneously and a documented finding of dereliction by the Executive Inspectorate published to the National Record System before the legislative vote may proceed. 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ind w:left="720" w:hanging="360"/>
      </w:pPr>
      <w:r>
        <w:rPr>
          <w:rFonts w:ascii="Arial" w:cs="Arial" w:eastAsia="Arial" w:hAnsi="Arial"/>
          <w:b/>
          <w:bCs/>
          <w:color w:val="4A6FA5"/>
          <w:sz w:val="22"/>
          <w:szCs w:val="22"/>
        </w:rPr>
        <w:t xml:space="preserve">5.4.c Status Quo Maintenance: </w:t>
      </w:r>
      <w:r>
        <w:rPr>
          <w:rFonts w:ascii="Arial" w:cs="Arial" w:eastAsia="Arial" w:hAnsi="Arial"/>
          <w:color w:val="000000"/>
          <w:sz w:val="22"/>
          <w:szCs w:val="22"/>
        </w:rPr>
        <w:t>If the Senate deadlocks on any proposed change to the CLT standard, the existing version of the test and passing threshold remains in force. Deadlock cannot be used to force a change by inaction.</w:t>
      </w:r>
    </w:p>
    <w:p>
      <w:pPr>
        <w:spacing w:after="0" w:before="120"/>
      </w:pPr>
      <w:r>
        <w:t xml:space="preserve"/>
      </w:r>
    </w:p>
    <w:p>
      <w:pPr>
        <w:pStyle w:val="Heading2"/>
        <w:spacing w:after="80" w:before="200"/>
      </w:pPr>
      <w:r>
        <w:rPr>
          <w:rFonts w:ascii="Arial" w:cs="Arial" w:eastAsia="Arial" w:hAnsi="Arial"/>
          <w:b/>
          <w:bCs/>
          <w:color w:val="4A6FA5"/>
          <w:sz w:val="24"/>
          <w:szCs w:val="24"/>
        </w:rPr>
        <w:t>Section 5.5 — Day Zero Grandfather Clause</w:t>
      </w:r>
    </w:p>
    <w:p>
      <w:pPr>
        <w:spacing w:after="60" w:before="60"/>
        <w:ind w:left="720" w:hanging="360"/>
      </w:pPr>
      <w:r>
        <w:rPr>
          <w:rFonts w:ascii="Arial" w:cs="Arial" w:eastAsia="Arial" w:hAnsi="Arial"/>
          <w:b/>
          <w:bCs/>
          <w:color w:val="4A6FA5"/>
          <w:sz w:val="22"/>
          <w:szCs w:val="22"/>
        </w:rPr>
        <w:t xml:space="preserve">5.5.a Automatic Citizenship Grant: </w:t>
      </w:r>
      <w:r>
        <w:rPr>
          <w:rFonts w:ascii="Arial" w:cs="Arial" w:eastAsia="Arial" w:hAnsi="Arial"/>
          <w:color w:val="000000"/>
          <w:sz w:val="22"/>
          <w:szCs w:val="22"/>
        </w:rPr>
        <w:t>All individuals holding voting rights on Day Zero of ratification are automatically granted active Citizen Voting Credentials and recognized as full citizens without further testing.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VI — IMMIGRATION AND RESIDENCY</w:t>
      </w:r>
    </w:p>
    <w:p>
      <w:pPr>
        <w:spacing w:after="60" w:before="60"/>
      </w:pPr>
      <w:r>
        <w:rPr>
          <w:rFonts w:ascii="Arial" w:cs="Arial" w:eastAsia="Arial" w:hAnsi="Arial"/>
          <w:color w:val="000000"/>
          <w:sz w:val="22"/>
          <w:szCs w:val="22"/>
        </w:rPr>
        <w:t>The Republic's immigration framework rests on Legislative Supremacy and Ministerial Execution. Power over the demographic future belongs to the House and the People — no executive may manipulate citizenship or residency for political gain.</w:t>
      </w:r>
    </w:p>
    <w:p>
      <w:pPr>
        <w:spacing w:after="0" w:before="120"/>
      </w:pPr>
      <w:r>
        <w:t xml:space="preserve"/>
      </w:r>
    </w:p>
    <w:p>
      <w:pPr>
        <w:pStyle w:val="Heading2"/>
        <w:spacing w:after="80" w:before="200"/>
      </w:pPr>
      <w:r>
        <w:rPr>
          <w:rFonts w:ascii="Arial" w:cs="Arial" w:eastAsia="Arial" w:hAnsi="Arial"/>
          <w:b/>
          <w:bCs/>
          <w:color w:val="4A6FA5"/>
          <w:sz w:val="24"/>
          <w:szCs w:val="24"/>
        </w:rPr>
        <w:t>Section 6.1 — The Dual-Gate System</w:t>
      </w:r>
    </w:p>
    <w:p>
      <w:pPr>
        <w:spacing w:after="60" w:before="60"/>
      </w:pPr>
      <w:r>
        <w:rPr>
          <w:rFonts w:ascii="Arial" w:cs="Arial" w:eastAsia="Arial" w:hAnsi="Arial"/>
          <w:color w:val="000000"/>
          <w:sz w:val="22"/>
          <w:szCs w:val="22"/>
        </w:rPr>
        <w:t>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ind w:left="720" w:hanging="360"/>
      </w:pPr>
      <w:r>
        <w:rPr>
          <w:rFonts w:ascii="Arial" w:cs="Arial" w:eastAsia="Arial" w:hAnsi="Arial"/>
          <w:b/>
          <w:bCs/>
          <w:color w:val="4A6FA5"/>
          <w:sz w:val="22"/>
          <w:szCs w:val="22"/>
        </w:rPr>
        <w:t xml:space="preserve">6.1.a Gate 1 — State Sponsorship: </w:t>
      </w:r>
      <w:r>
        <w:rPr>
          <w:rFonts w:ascii="Arial" w:cs="Arial" w:eastAsia="Arial" w:hAnsi="Arial"/>
          <w:color w:val="000000"/>
          <w:sz w:val="22"/>
          <w:szCs w:val="22"/>
        </w:rPr>
        <w:t>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ind w:left="720" w:hanging="360"/>
      </w:pPr>
      <w:r>
        <w:rPr>
          <w:rFonts w:ascii="Arial" w:cs="Arial" w:eastAsia="Arial" w:hAnsi="Arial"/>
          <w:b/>
          <w:bCs/>
          <w:color w:val="4A6FA5"/>
          <w:sz w:val="22"/>
          <w:szCs w:val="22"/>
        </w:rPr>
        <w:t xml:space="preserve">6.1.b Gate 2 — Federal Certification: </w:t>
      </w:r>
      <w:r>
        <w:rPr>
          <w:rFonts w:ascii="Arial" w:cs="Arial" w:eastAsia="Arial" w:hAnsi="Arial"/>
          <w:color w:val="000000"/>
          <w:sz w:val="22"/>
          <w:szCs w:val="22"/>
        </w:rPr>
        <w:t>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ind w:left="720" w:hanging="360"/>
      </w:pPr>
      <w:r>
        <w:rPr>
          <w:rFonts w:ascii="Arial" w:cs="Arial" w:eastAsia="Arial" w:hAnsi="Arial"/>
          <w:b/>
          <w:bCs/>
          <w:color w:val="4A6FA5"/>
          <w:sz w:val="22"/>
          <w:szCs w:val="22"/>
        </w:rPr>
        <w:t xml:space="preserve">6.1.c Presidential Role: </w:t>
      </w:r>
      <w:r>
        <w:rPr>
          <w:rFonts w:ascii="Arial" w:cs="Arial" w:eastAsia="Arial" w:hAnsi="Arial"/>
          <w:color w:val="000000"/>
          <w:sz w:val="22"/>
          <w:szCs w:val="22"/>
        </w:rPr>
        <w:t>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Rule Violation and are subject to proceedings under §2.7.</w:t>
      </w:r>
    </w:p>
    <w:p>
      <w:pPr>
        <w:spacing w:after="60" w:before="60"/>
        <w:ind w:left="720" w:hanging="360"/>
      </w:pPr>
      <w:r>
        <w:rPr>
          <w:rFonts w:ascii="Arial" w:cs="Arial" w:eastAsia="Arial" w:hAnsi="Arial"/>
          <w:b/>
          <w:bCs/>
          <w:color w:val="4A6FA5"/>
          <w:sz w:val="22"/>
          <w:szCs w:val="22"/>
        </w:rPr>
        <w:t xml:space="preserve">6.1.d Federal Sponsorship Category: </w:t>
      </w:r>
      <w:r>
        <w:rPr>
          <w:rFonts w:ascii="Arial" w:cs="Arial" w:eastAsia="Arial" w:hAnsi="Arial"/>
          <w:color w:val="000000"/>
          <w:sz w:val="22"/>
          <w:szCs w:val="22"/>
        </w:rPr>
        <w:t>the Legislature may by statute establish a Federal Sponsorship Category for applicants whose skills, experience, or work directly serves a defined federal interest — including federal research programs, national infrastructure, national security-adjacent technical roles, and other categories specified by House statute. In the Federal Sponsorship Category, a designated federal agency may serve as the Gate 1 sponsor in place of a State, with the agency's certification treated as equivalent to State sponsorship for all purposes under §6.1.a. The sponsoring agency assumes all responsibilities that §6.1.a assigns to a sponsoring State, including notification obligations and economic guarantee. The Federal Sponsorship Category does not allow the President to circumvent Gate 2 federal certification requirements — all four §6.1.b categories still apply. A federal agency sponsor may not designate applicants on the basis of any characteristic protected by §1.8. The existence of a Federal Sponsorship Category does not reduce State sponsorship authority — States retain full Gate 1 discretion independently of any federal category.</w:t>
      </w:r>
    </w:p>
    <w:p>
      <w:pPr>
        <w:spacing w:after="0" w:before="120"/>
      </w:pPr>
      <w:r>
        <w:t xml:space="preserve"/>
      </w:r>
    </w:p>
    <w:p>
      <w:pPr>
        <w:pStyle w:val="Heading2"/>
        <w:spacing w:after="80" w:before="200"/>
      </w:pPr>
      <w:r>
        <w:rPr>
          <w:rFonts w:ascii="Arial" w:cs="Arial" w:eastAsia="Arial" w:hAnsi="Arial"/>
          <w:b/>
          <w:bCs/>
          <w:color w:val="4A6FA5"/>
          <w:sz w:val="24"/>
          <w:szCs w:val="24"/>
        </w:rPr>
        <w:t>Section 6.2 — Enforcement and Removal</w:t>
      </w:r>
    </w:p>
    <w:p>
      <w:pPr>
        <w:spacing w:after="60" w:before="60"/>
        <w:ind w:left="720" w:hanging="360"/>
      </w:pPr>
      <w:r>
        <w:rPr>
          <w:rFonts w:ascii="Arial" w:cs="Arial" w:eastAsia="Arial" w:hAnsi="Arial"/>
          <w:b/>
          <w:bCs/>
          <w:color w:val="4A6FA5"/>
          <w:sz w:val="22"/>
          <w:szCs w:val="22"/>
        </w:rPr>
        <w:t xml:space="preserve">6.2 Removal Authority: </w:t>
      </w:r>
      <w:r>
        <w:rPr>
          <w:rFonts w:ascii="Arial" w:cs="Arial" w:eastAsia="Arial" w:hAnsi="Arial"/>
          <w:color w:val="000000"/>
          <w:sz w:val="22"/>
          <w:szCs w:val="22"/>
        </w:rPr>
        <w:t>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spacing w:after="0" w:before="120"/>
      </w:pPr>
      <w:r>
        <w:t xml:space="preserve"/>
      </w:r>
    </w:p>
    <w:p>
      <w:pPr>
        <w:pStyle w:val="Heading2"/>
        <w:spacing w:after="80" w:before="200"/>
      </w:pPr>
      <w:r>
        <w:rPr>
          <w:rFonts w:ascii="Arial" w:cs="Arial" w:eastAsia="Arial" w:hAnsi="Arial"/>
          <w:b/>
          <w:bCs/>
          <w:color w:val="4A6FA5"/>
          <w:sz w:val="24"/>
          <w:szCs w:val="24"/>
        </w:rPr>
        <w:t>Section 6.3 — Application Appeals</w:t>
      </w:r>
    </w:p>
    <w:p>
      <w:pPr>
        <w:spacing w:after="60" w:before="60"/>
      </w:pPr>
      <w:r>
        <w:rPr>
          <w:rFonts w:ascii="Arial" w:cs="Arial" w:eastAsia="Arial" w:hAnsi="Arial"/>
          <w:color w:val="000000"/>
          <w:sz w:val="22"/>
          <w:szCs w:val="22"/>
        </w:rPr>
        <w:t>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ind w:left="720" w:hanging="360"/>
      </w:pPr>
      <w:r>
        <w:rPr>
          <w:rFonts w:ascii="Arial" w:cs="Arial" w:eastAsia="Arial" w:hAnsi="Arial"/>
          <w:b/>
          <w:bCs/>
          <w:color w:val="4A6FA5"/>
          <w:sz w:val="22"/>
          <w:szCs w:val="22"/>
        </w:rPr>
        <w:t xml:space="preserve">6.3.a Judicial Challenge: </w:t>
      </w:r>
      <w:r>
        <w:rPr>
          <w:rFonts w:ascii="Arial" w:cs="Arial" w:eastAsia="Arial" w:hAnsi="Arial"/>
          <w:color w:val="000000"/>
          <w:sz w:val="22"/>
          <w:szCs w:val="22"/>
        </w:rPr>
        <w:t>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ind w:left="720" w:hanging="360"/>
      </w:pPr>
      <w:r>
        <w:rPr>
          <w:rFonts w:ascii="Arial" w:cs="Arial" w:eastAsia="Arial" w:hAnsi="Arial"/>
          <w:b/>
          <w:bCs/>
          <w:color w:val="4A6FA5"/>
          <w:sz w:val="22"/>
          <w:szCs w:val="22"/>
        </w:rPr>
        <w:t xml:space="preserve">6.3.b National Security Denials: </w:t>
      </w:r>
      <w:r>
        <w:rPr>
          <w:rFonts w:ascii="Arial" w:cs="Arial" w:eastAsia="Arial" w:hAnsi="Arial"/>
          <w:color w:val="000000"/>
          <w:sz w:val="22"/>
          <w:szCs w:val="22"/>
        </w:rPr>
        <w:t>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1B2A4A" w:sz="6" w:space="1"/>
        </w:pBdr>
        <w:spacing w:after="120" w:before="120"/>
      </w:pPr>
    </w:p>
    <w:p>
      <w:r>
        <w:rPr>
          <w:rFonts w:ascii="Arial" w:hAnsi="Arial"/>
          <w:b/>
          <w:sz w:val="22"/>
        </w:rPr>
        <w:t>Section 6.4 — Asylum and Protection</w:t>
      </w:r>
    </w:p>
    <w:p/>
    <w:p>
      <w:r>
        <w:rPr>
          <w:rFonts w:ascii="Arial" w:hAnsi="Arial"/>
          <w:b/>
          <w:sz w:val="22"/>
        </w:rPr>
        <w:t xml:space="preserve">6.4.a Asylum Seekers as Inhabitants: </w:t>
      </w:r>
      <w:r>
        <w:rPr>
          <w:rFonts w:ascii="Arial" w:hAnsi="Arial"/>
          <w:sz w:val="22"/>
        </w:rPr>
        <w:t>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r>
        <w:rPr>
          <w:rFonts w:ascii="Arial" w:hAnsi="Arial"/>
          <w:b/>
          <w:sz w:val="22"/>
        </w:rPr>
        <w:t xml:space="preserve">6.4.b Right to Determination and Protection During Proceedings: </w:t>
      </w:r>
      <w:r>
        <w:rPr>
          <w:rFonts w:ascii="Arial" w:hAnsi="Arial"/>
          <w:sz w:val="22"/>
        </w:rPr>
        <w:t>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r>
        <w:rPr>
          <w:rFonts w:ascii="Arial" w:hAnsi="Arial"/>
          <w:b/>
          <w:sz w:val="22"/>
        </w:rPr>
        <w:t xml:space="preserve">6.4.c Asylum Court: </w:t>
      </w:r>
      <w:r>
        <w:rPr>
          <w:rFonts w:ascii="Arial" w:hAnsi="Arial"/>
          <w:sz w:val="22"/>
        </w:rPr>
        <w:t>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Rule Violation for the presiding officers of both chambers; federal courts have direct jurisdiction over asylum claims until the Legislature acts.</w:t>
      </w:r>
    </w:p>
    <w:p>
      <w:r>
        <w:rPr>
          <w:rFonts w:ascii="Arial" w:hAnsi="Arial"/>
          <w:b/>
          <w:sz w:val="22"/>
        </w:rPr>
        <w:t xml:space="preserve">6.4.d Non-Penalization for Irregular Entry: </w:t>
      </w:r>
      <w:r>
        <w:rPr>
          <w:rFonts w:ascii="Arial" w:hAnsi="Arial"/>
          <w:sz w:val="22"/>
        </w:rPr>
        <w:t>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r>
        <w:rPr>
          <w:rFonts w:ascii="Arial" w:hAnsi="Arial"/>
          <w:b/>
          <w:sz w:val="22"/>
        </w:rPr>
        <w:t xml:space="preserve">6.4.e Unexecutable Removal Orders: </w:t>
      </w:r>
      <w:r>
        <w:rPr>
          <w:rFonts w:ascii="Arial" w:hAnsi="Arial"/>
          <w:sz w:val="22"/>
        </w:rPr>
        <w:t>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Rule Violation for the presiding officers of both chambers.</w:t>
      </w:r>
    </w:p>
    <w:p>
      <w:r>
        <w:rPr>
          <w:rFonts w:ascii="Arial" w:hAnsi="Arial"/>
          <w:b/>
          <w:sz w:val="22"/>
        </w:rPr>
        <w:t xml:space="preserve">6.4.f Security and Criminal Protection Cases: </w:t>
      </w:r>
      <w:r>
        <w:rPr>
          <w:rFonts w:ascii="Arial" w:hAnsi="Arial"/>
          <w:sz w:val="22"/>
        </w:rPr>
        <w:t>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r>
        <w:rPr>
          <w:rFonts w:ascii="Arial" w:hAnsi="Arial"/>
          <w:b/>
          <w:sz w:val="22"/>
        </w:rPr>
        <w:t xml:space="preserve">6.4.g Territory Accessibility: </w:t>
      </w:r>
      <w:r>
        <w:rPr>
          <w:rFonts w:ascii="Arial" w:hAnsi="Arial"/>
          <w:sz w:val="22"/>
        </w:rPr>
        <w:t>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r>
        <w:t>6.4.h Unaccompanied Minors: 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Style w:val="Heading1"/>
        <w:spacing w:after="120" w:before="360"/>
      </w:pPr>
      <w:r>
        <w:rPr>
          <w:rFonts w:ascii="Arial" w:cs="Arial" w:eastAsia="Arial" w:hAnsi="Arial"/>
          <w:b/>
          <w:bCs/>
          <w:color w:val="1B2A4A"/>
          <w:sz w:val="32"/>
          <w:szCs w:val="32"/>
        </w:rPr>
        <w:t>ARTICLE VII — ELECTIONS AND THE NATIONAL VOTE</w:t>
      </w:r>
    </w:p>
    <w:p>
      <w:pPr>
        <w:spacing w:after="0" w:before="120"/>
      </w:pPr>
      <w:r>
        <w:t xml:space="preserve"/>
      </w:r>
    </w:p>
    <w:p>
      <w:pPr>
        <w:pStyle w:val="Heading2"/>
        <w:spacing w:after="80" w:before="200"/>
      </w:pPr>
      <w:r>
        <w:rPr>
          <w:rFonts w:ascii="Arial" w:cs="Arial" w:eastAsia="Arial" w:hAnsi="Arial"/>
          <w:b/>
          <w:bCs/>
          <w:color w:val="4A6FA5"/>
          <w:sz w:val="24"/>
          <w:szCs w:val="24"/>
        </w:rPr>
        <w:t>Section 7.1 — Standard Elections (Ranked Choice)</w:t>
      </w:r>
    </w:p>
    <w:p>
      <w:pPr>
        <w:spacing w:after="60" w:before="60"/>
      </w:pPr>
      <w:r>
        <w:rPr>
          <w:rFonts w:ascii="Arial" w:cs="Arial" w:eastAsia="Arial" w:hAnsi="Arial"/>
          <w:color w:val="000000"/>
          <w:sz w:val="22"/>
          <w:szCs w:val="22"/>
        </w:rPr>
        <w:t>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spacing w:after="0" w:before="120"/>
      </w:pPr>
      <w:r>
        <w:t xml:space="preserve"/>
      </w:r>
    </w:p>
    <w:p>
      <w:pPr>
        <w:pStyle w:val="Heading2"/>
        <w:spacing w:after="80" w:before="200"/>
      </w:pPr>
      <w:r>
        <w:rPr>
          <w:rFonts w:ascii="Arial" w:cs="Arial" w:eastAsia="Arial" w:hAnsi="Arial"/>
          <w:b/>
          <w:bCs/>
          <w:color w:val="4A6FA5"/>
          <w:sz w:val="24"/>
          <w:szCs w:val="24"/>
        </w:rPr>
        <w:t>Section 7.2 — Presidential Election: National Vote and Regional Diversity</w:t>
      </w:r>
    </w:p>
    <w:p>
      <w:pPr>
        <w:spacing w:after="60" w:before="60"/>
      </w:pPr>
      <w:r>
        <w:rPr>
          <w:rFonts w:ascii="Arial" w:cs="Arial" w:eastAsia="Arial" w:hAnsi="Arial"/>
          <w:color w:val="000000"/>
          <w:sz w:val="22"/>
          <w:szCs w:val="22"/>
        </w:rPr>
        <w:t>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ind w:left="720" w:hanging="360"/>
      </w:pPr>
      <w:r>
        <w:rPr>
          <w:rFonts w:ascii="Arial" w:cs="Arial" w:eastAsia="Arial" w:hAnsi="Arial"/>
          <w:b/>
          <w:bCs/>
          <w:color w:val="4A6FA5"/>
          <w:sz w:val="22"/>
          <w:szCs w:val="22"/>
        </w:rPr>
        <w:t xml:space="preserve">7.2.a National Ranked Choice Vote: </w:t>
      </w:r>
      <w:r>
        <w:rPr>
          <w:rFonts w:ascii="Arial" w:cs="Arial" w:eastAsia="Arial" w:hAnsi="Arial"/>
          <w:color w:val="000000"/>
          <w:sz w:val="22"/>
          <w:szCs w:val="22"/>
        </w:rPr>
        <w:t>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ind w:left="720" w:hanging="360"/>
      </w:pPr>
      <w:r>
        <w:rPr>
          <w:rFonts w:ascii="Arial" w:cs="Arial" w:eastAsia="Arial" w:hAnsi="Arial"/>
          <w:b/>
          <w:bCs/>
          <w:color w:val="4A6FA5"/>
          <w:sz w:val="22"/>
          <w:szCs w:val="22"/>
        </w:rPr>
        <w:t xml:space="preserve">7.2.b The Combined Score: </w:t>
      </w:r>
      <w:r>
        <w:rPr>
          <w:rFonts w:ascii="Arial" w:cs="Arial" w:eastAsia="Arial" w:hAnsi="Arial"/>
          <w:color w:val="000000"/>
          <w:sz w:val="22"/>
          <w:szCs w:val="22"/>
        </w:rPr>
        <w:t>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 As an example using five regions: a candidate who receives 60% of national first-preference votes and wins 3 of 5 regions would score (0.65 × 0.60) + (0.35 × 3/5) = 0.39 + 0.21 = 0.60, comfortably winning.</w:t>
      </w:r>
    </w:p>
    <w:p>
      <w:pPr>
        <w:spacing w:after="60" w:before="60"/>
        <w:ind w:left="720" w:hanging="360"/>
      </w:pPr>
      <w:r>
        <w:rPr>
          <w:rFonts w:ascii="Arial" w:cs="Arial" w:eastAsia="Arial" w:hAnsi="Arial"/>
          <w:b/>
          <w:bCs/>
          <w:color w:val="4A6FA5"/>
          <w:sz w:val="22"/>
          <w:szCs w:val="22"/>
        </w:rPr>
        <w:t xml:space="preserve">7.2.c Presidential Election Regions: </w:t>
      </w:r>
      <w:r>
        <w:rPr>
          <w:rFonts w:ascii="Arial" w:cs="Arial" w:eastAsia="Arial" w:hAnsi="Arial"/>
          <w:color w:val="000000"/>
          <w:sz w:val="22"/>
          <w:szCs w:val="22"/>
        </w:rPr>
        <w:t>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ind w:left="720" w:hanging="360"/>
      </w:pPr>
      <w:r>
        <w:rPr>
          <w:rFonts w:ascii="Arial" w:cs="Arial" w:eastAsia="Arial" w:hAnsi="Arial"/>
          <w:b/>
          <w:bCs/>
          <w:color w:val="4A6FA5"/>
          <w:sz w:val="22"/>
          <w:szCs w:val="22"/>
        </w:rPr>
        <w:t xml:space="preserve">7.2.d New and Devolved States: </w:t>
      </w:r>
      <w:r>
        <w:rPr>
          <w:rFonts w:ascii="Arial" w:cs="Arial" w:eastAsia="Arial" w:hAnsi="Arial"/>
          <w:color w:val="000000"/>
          <w:sz w:val="22"/>
          <w:szCs w:val="22"/>
        </w:rPr>
        <w:t>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ind w:left="720" w:hanging="360"/>
      </w:pPr>
      <w:r>
        <w:t>7.2.e Election Certification: 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ind w:left="720" w:hanging="360"/>
      </w:pPr>
      <w:r>
        <w:t>7.2.f Run-off: 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spacing w:after="0" w:before="120"/>
      </w:pPr>
      <w:r>
        <w:t xml:space="preserve"/>
      </w:r>
    </w:p>
    <w:p>
      <w:pPr>
        <w:pStyle w:val="Heading2"/>
        <w:spacing w:after="80" w:before="200"/>
      </w:pPr>
      <w:r>
        <w:rPr>
          <w:rFonts w:ascii="Arial" w:cs="Arial" w:eastAsia="Arial" w:hAnsi="Arial"/>
          <w:b/>
          <w:bCs/>
          <w:color w:val="4A6FA5"/>
          <w:sz w:val="24"/>
          <w:szCs w:val="24"/>
        </w:rPr>
        <w:t>Section 7.3 — Election Integrity</w:t>
      </w:r>
    </w:p>
    <w:p>
      <w:pPr>
        <w:spacing w:after="60" w:before="60"/>
        <w:ind w:left="720" w:hanging="360"/>
      </w:pPr>
      <w:r>
        <w:rPr>
          <w:rFonts w:ascii="Arial" w:cs="Arial" w:eastAsia="Arial" w:hAnsi="Arial"/>
          <w:b/>
          <w:bCs/>
          <w:color w:val="4A6FA5"/>
          <w:sz w:val="22"/>
          <w:szCs w:val="22"/>
        </w:rPr>
        <w:t xml:space="preserve">7.3.a No Executive Interference: </w:t>
      </w:r>
      <w:r>
        <w:rPr>
          <w:rFonts w:ascii="Arial" w:cs="Arial" w:eastAsia="Arial" w:hAnsi="Arial"/>
          <w:color w:val="000000"/>
          <w:sz w:val="22"/>
          <w:szCs w:val="22"/>
        </w:rPr>
        <w:t>The President may not declare, postpone, or influence the scheduling of elections. The House sets the election calendar by standing statute, alterable only by a 2/3 supermajority of both chambers.</w:t>
      </w:r>
    </w:p>
    <w:p>
      <w:pPr>
        <w:spacing w:after="60" w:before="60"/>
        <w:ind w:left="720" w:hanging="360"/>
      </w:pPr>
      <w:r>
        <w:rPr>
          <w:rFonts w:ascii="Arial" w:cs="Arial" w:eastAsia="Arial" w:hAnsi="Arial"/>
          <w:b/>
          <w:bCs/>
          <w:color w:val="4A6FA5"/>
          <w:sz w:val="22"/>
          <w:szCs w:val="22"/>
        </w:rPr>
        <w:t xml:space="preserve">7.3.b National Voting System: </w:t>
      </w:r>
      <w:r>
        <w:rPr>
          <w:rFonts w:ascii="Arial" w:cs="Arial" w:eastAsia="Arial" w:hAnsi="Arial"/>
          <w:color w:val="000000"/>
          <w:sz w:val="22"/>
          <w:szCs w:val="22"/>
        </w:rPr>
        <w:t>The Electoral Commission administers the National Voting System, through which all elections and referenda are conducted (Article XVI). No election result is valid unless conducted through it.</w:t>
      </w:r>
    </w:p>
    <w:p>
      <w:pPr>
        <w:spacing w:after="60" w:before="60"/>
        <w:ind w:left="720" w:hanging="360"/>
      </w:pPr>
      <w:r>
        <w:rPr>
          <w:rFonts w:ascii="Arial" w:cs="Arial" w:eastAsia="Arial" w:hAnsi="Arial"/>
          <w:b/>
          <w:bCs/>
          <w:color w:val="4A6FA5"/>
          <w:sz w:val="22"/>
          <w:szCs w:val="22"/>
        </w:rPr>
        <w:t xml:space="preserve">7.3.c Participation Protection: </w:t>
      </w:r>
      <w:r>
        <w:rPr>
          <w:rFonts w:ascii="Arial" w:cs="Arial" w:eastAsia="Arial" w:hAnsi="Arial"/>
          <w:color w:val="000000"/>
          <w:sz w:val="22"/>
          <w:szCs w:val="22"/>
        </w:rPr>
        <w:t>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may trigger Rule Violation proceedings under §2.7 for the relevant State officials.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VIII — THE INSPECTORATES</w:t>
      </w:r>
    </w:p>
    <w:p>
      <w:pPr>
        <w:spacing w:after="60" w:before="60"/>
      </w:pPr>
      <w:r>
        <w:rPr>
          <w:rFonts w:ascii="Arial" w:cs="Arial" w:eastAsia="Arial" w:hAnsi="Arial"/>
          <w:color w:val="000000"/>
          <w:sz w:val="22"/>
          <w:szCs w:val="22"/>
        </w:rPr>
        <w:t>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spacing w:after="0" w:before="120"/>
      </w:pPr>
      <w:r>
        <w:t xml:space="preserve"/>
      </w:r>
    </w:p>
    <w:p>
      <w:pPr>
        <w:pStyle w:val="Heading2"/>
        <w:spacing w:after="80" w:before="200"/>
      </w:pPr>
      <w:r>
        <w:rPr>
          <w:rFonts w:ascii="Arial" w:cs="Arial" w:eastAsia="Arial" w:hAnsi="Arial"/>
          <w:b/>
          <w:bCs/>
          <w:color w:val="4A6FA5"/>
          <w:sz w:val="24"/>
          <w:szCs w:val="24"/>
        </w:rPr>
        <w:t>Section 8.1 — The Three Inspectorates</w:t>
      </w:r>
    </w:p>
    <w:p>
      <w:pPr>
        <w:spacing w:after="60" w:before="60"/>
        <w:ind w:left="720" w:hanging="360"/>
      </w:pPr>
      <w:r>
        <w:rPr>
          <w:rFonts w:ascii="Arial" w:cs="Arial" w:eastAsia="Arial" w:hAnsi="Arial"/>
          <w:b/>
          <w:bCs/>
          <w:color w:val="4A6FA5"/>
          <w:sz w:val="22"/>
          <w:szCs w:val="22"/>
        </w:rPr>
        <w:t xml:space="preserve">8.1.a The Legislative Inspectorate (LI): </w:t>
      </w:r>
      <w:r>
        <w:rPr>
          <w:rFonts w:ascii="Arial" w:cs="Arial" w:eastAsia="Arial" w:hAnsi="Arial"/>
          <w:color w:val="000000"/>
          <w:sz w:val="22"/>
          <w:szCs w:val="22"/>
        </w:rPr>
        <w:t>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ind w:left="720" w:hanging="360"/>
      </w:pPr>
      <w:r>
        <w:rPr>
          <w:rFonts w:ascii="Arial" w:cs="Arial" w:eastAsia="Arial" w:hAnsi="Arial"/>
          <w:b/>
          <w:bCs/>
          <w:color w:val="4A6FA5"/>
          <w:sz w:val="22"/>
          <w:szCs w:val="22"/>
        </w:rPr>
        <w:t xml:space="preserve">8.1.b The Executive Inspectorate (EI): </w:t>
      </w:r>
      <w:r>
        <w:rPr>
          <w:rFonts w:ascii="Arial" w:cs="Arial" w:eastAsia="Arial" w:hAnsi="Arial"/>
          <w:color w:val="000000"/>
          <w:sz w:val="22"/>
          <w:szCs w:val="22"/>
        </w:rPr>
        <w:t>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w:t>
      </w:r>
    </w:p>
    <w:p>
      <w:pPr>
        <w:spacing w:after="60" w:before="60"/>
        <w:ind w:left="720" w:hanging="360"/>
      </w:pPr>
      <w:r>
        <w:rPr>
          <w:rFonts w:ascii="Arial" w:cs="Arial" w:eastAsia="Arial" w:hAnsi="Arial"/>
          <w:b/>
          <w:bCs/>
          <w:color w:val="4A6FA5"/>
          <w:sz w:val="22"/>
          <w:szCs w:val="22"/>
        </w:rPr>
        <w:t xml:space="preserve">8.1.c The Judicial Inspectorate (JI): </w:t>
      </w:r>
      <w:r>
        <w:rPr>
          <w:rFonts w:ascii="Arial" w:cs="Arial" w:eastAsia="Arial" w:hAnsi="Arial"/>
          <w:color w:val="000000"/>
          <w:sz w:val="22"/>
          <w:szCs w:val="22"/>
        </w:rPr>
        <w:t>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spacing w:after="0" w:before="120"/>
      </w:pPr>
      <w:r>
        <w:t xml:space="preserve"/>
      </w:r>
    </w:p>
    <w:p>
      <w:pPr>
        <w:pStyle w:val="Heading2"/>
        <w:spacing w:after="80" w:before="200"/>
      </w:pPr>
      <w:r>
        <w:rPr>
          <w:rFonts w:ascii="Arial" w:cs="Arial" w:eastAsia="Arial" w:hAnsi="Arial"/>
          <w:b/>
          <w:bCs/>
          <w:color w:val="4A6FA5"/>
          <w:sz w:val="24"/>
          <w:szCs w:val="24"/>
        </w:rPr>
        <w:t>Section 8.2 — Selection and Independence</w:t>
      </w:r>
    </w:p>
    <w:p>
      <w:pPr>
        <w:spacing w:after="60" w:before="60"/>
      </w:pPr>
      <w:r>
        <w:rPr>
          <w:rFonts w:ascii="Arial" w:cs="Arial" w:eastAsia="Arial" w:hAnsi="Arial"/>
          <w:color w:val="000000"/>
          <w:sz w:val="22"/>
          <w:szCs w:val="22"/>
        </w:rPr>
        <w:t>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Inspectorate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Watches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Nominated By</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Confirmed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Inspectorate (LI)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&amp; Senate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Supreme Court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 2/3 supermajority. House excluded.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Executive Inspectorate (EI)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&amp; Prime Minister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House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 simple majority.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Inspectorate (JI)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Courts, Registry, Referenda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Lottery from Qualified Jurist Pool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confirmation — lottery is the appointment.</w:t>
            </w:r>
          </w:p>
        </w:tc>
      </w:tr>
    </w:tbl>
    <w:p>
      <w:pPr>
        <w:spacing w:after="0" w:before="120"/>
      </w:pPr>
      <w:r>
        <w:t xml:space="preserve"/>
      </w:r>
    </w:p>
    <w:p>
      <w:pPr>
        <w:spacing w:after="60" w:before="60"/>
      </w:pPr>
      <w:r>
        <w:rPr>
          <w:rFonts w:ascii="Arial" w:cs="Arial" w:eastAsia="Arial" w:hAnsi="Arial"/>
          <w:color w:val="000000"/>
          <w:sz w:val="22"/>
          <w:szCs w:val="22"/>
        </w:rPr>
        <w:t>No person may serve as Inspector General who has held any elected or appointed government position within the 10 years before appointment, or who holds any financial interest in any entity regulated by the Republic.</w:t>
      </w:r>
    </w:p>
    <w:p>
      <w:pPr>
        <w:spacing w:after="0" w:before="120"/>
      </w:pPr>
      <w:r>
        <w:t xml:space="preserve"/>
      </w:r>
    </w:p>
    <w:p>
      <w:pPr>
        <w:pStyle w:val="Heading2"/>
        <w:spacing w:after="80" w:before="200"/>
      </w:pPr>
      <w:r>
        <w:rPr>
          <w:rFonts w:ascii="Arial" w:cs="Arial" w:eastAsia="Arial" w:hAnsi="Arial"/>
          <w:b/>
          <w:bCs/>
          <w:color w:val="4A6FA5"/>
          <w:sz w:val="24"/>
          <w:szCs w:val="24"/>
        </w:rPr>
        <w:t>Section 8.3 — The Legislative and Executive IG: Appointment</w:t>
      </w:r>
    </w:p>
    <w:p>
      <w:pPr>
        <w:spacing w:after="60" w:before="60"/>
        <w:ind w:left="720" w:hanging="360"/>
      </w:pPr>
      <w:r>
        <w:rPr>
          <w:rFonts w:ascii="Arial" w:cs="Arial" w:eastAsia="Arial" w:hAnsi="Arial"/>
          <w:b/>
          <w:bCs/>
          <w:color w:val="4A6FA5"/>
          <w:sz w:val="22"/>
          <w:szCs w:val="22"/>
        </w:rPr>
        <w:t xml:space="preserve">8.3.a Legislative IG: </w:t>
      </w:r>
      <w:r>
        <w:rPr>
          <w:rFonts w:ascii="Arial" w:cs="Arial" w:eastAsia="Arial" w:hAnsi="Arial"/>
          <w:color w:val="000000"/>
          <w:sz w:val="22"/>
          <w:szCs w:val="22"/>
        </w:rPr>
        <w:t>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ind w:left="720" w:hanging="360"/>
      </w:pPr>
      <w:r>
        <w:rPr>
          <w:rFonts w:ascii="Arial" w:cs="Arial" w:eastAsia="Arial" w:hAnsi="Arial"/>
          <w:b/>
          <w:bCs/>
          <w:color w:val="4A6FA5"/>
          <w:sz w:val="22"/>
          <w:szCs w:val="22"/>
        </w:rPr>
        <w:t xml:space="preserve">8.3.b Executive IG: </w:t>
      </w:r>
      <w:r>
        <w:rPr>
          <w:rFonts w:ascii="Arial" w:cs="Arial" w:eastAsia="Arial" w:hAnsi="Arial"/>
          <w:color w:val="000000"/>
          <w:sz w:val="22"/>
          <w:szCs w:val="22"/>
        </w:rPr>
        <w:t>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ind w:left="720" w:hanging="360"/>
      </w:pPr>
      <w:r>
        <w:rPr>
          <w:rFonts w:ascii="Arial" w:cs="Arial" w:eastAsia="Arial" w:hAnsi="Arial"/>
          <w:b/>
          <w:bCs/>
          <w:color w:val="4A6FA5"/>
          <w:sz w:val="22"/>
          <w:szCs w:val="22"/>
        </w:rPr>
        <w:t xml:space="preserve">8.3.c Term and Staggering: </w:t>
      </w:r>
      <w:r>
        <w:rPr>
          <w:rFonts w:ascii="Arial" w:cs="Arial" w:eastAsia="Arial" w:hAnsi="Arial"/>
          <w:color w:val="000000"/>
          <w:sz w:val="22"/>
          <w:szCs w:val="22"/>
        </w:rPr>
        <w:t>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spacing w:after="0" w:before="120"/>
      </w:pPr>
      <w:r>
        <w:t xml:space="preserve"/>
      </w:r>
    </w:p>
    <w:p>
      <w:pPr>
        <w:pStyle w:val="Heading2"/>
        <w:spacing w:after="80" w:before="200"/>
      </w:pPr>
      <w:r>
        <w:rPr>
          <w:rFonts w:ascii="Arial" w:cs="Arial" w:eastAsia="Arial" w:hAnsi="Arial"/>
          <w:b/>
          <w:bCs/>
          <w:color w:val="4A6FA5"/>
          <w:sz w:val="24"/>
          <w:szCs w:val="24"/>
        </w:rPr>
        <w:t>Section 8.4 — The Judicial IG: Lottery Selection</w:t>
      </w:r>
    </w:p>
    <w:p>
      <w:pPr>
        <w:spacing w:after="60" w:before="60"/>
      </w:pPr>
      <w:r>
        <w:rPr>
          <w:rFonts w:ascii="Arial" w:cs="Arial" w:eastAsia="Arial" w:hAnsi="Arial"/>
          <w:color w:val="000000"/>
          <w:sz w:val="22"/>
          <w:szCs w:val="22"/>
        </w:rPr>
        <w:t>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ind w:left="720" w:hanging="360"/>
      </w:pPr>
      <w:r>
        <w:rPr>
          <w:rFonts w:ascii="Arial" w:cs="Arial" w:eastAsia="Arial" w:hAnsi="Arial"/>
          <w:b/>
          <w:bCs/>
          <w:color w:val="4A6FA5"/>
          <w:sz w:val="22"/>
          <w:szCs w:val="22"/>
        </w:rPr>
        <w:t xml:space="preserve">8.4.a The Qualified Jurist Pool: </w:t>
      </w:r>
      <w:r>
        <w:rPr>
          <w:rFonts w:ascii="Arial" w:cs="Arial" w:eastAsia="Arial" w:hAnsi="Arial"/>
          <w:color w:val="000000"/>
          <w:sz w:val="22"/>
          <w:szCs w:val="22"/>
        </w:rPr>
        <w:t>Maintained by the outgoing Judicial IG. A candidate seeking Registry inclusion must submit a registration record to the Judicial Inspectorate. The record must include professional background, credentials in constitutional law, financial disclosures, and the candidate's complete prior government position history. The JI reviews the submitted record for factual accuracy, applies the Registry criteria — knowledge of constitutional law, no government position in the prior 10 years, no financial conflicts of interest, no prior disqualifying conduct — and publishes the record together with its recommendation to the National Record System. These criteria are fixed and may only be altered by constitutional amendment. The existing appeals process under §8.9.d applies to any Registry exclusion determination. Any citizen who identifies a discrepancy in a published registration record may petition their elected representative.</w:t>
      </w:r>
    </w:p>
    <w:p>
      <w:pPr>
        <w:spacing w:after="60" w:before="60"/>
        <w:ind w:left="720" w:hanging="360"/>
      </w:pPr>
      <w:r>
        <w:rPr>
          <w:rFonts w:ascii="Arial" w:cs="Arial" w:eastAsia="Arial" w:hAnsi="Arial"/>
          <w:b/>
          <w:bCs/>
          <w:color w:val="4A6FA5"/>
          <w:sz w:val="22"/>
          <w:szCs w:val="22"/>
        </w:rPr>
        <w:t xml:space="preserve">8.4.b The Draw: </w:t>
      </w:r>
      <w:r>
        <w:rPr>
          <w:rFonts w:ascii="Arial" w:cs="Arial" w:eastAsia="Arial" w:hAnsi="Arial"/>
          <w:color w:val="000000"/>
          <w:sz w:val="22"/>
          <w:szCs w:val="22"/>
        </w:rPr>
        <w:t>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ind w:left="720" w:hanging="360"/>
      </w:pPr>
      <w:r>
        <w:rPr>
          <w:rFonts w:ascii="Arial" w:cs="Arial" w:eastAsia="Arial" w:hAnsi="Arial"/>
          <w:b/>
          <w:bCs/>
          <w:color w:val="4A6FA5"/>
          <w:sz w:val="22"/>
          <w:szCs w:val="22"/>
        </w:rPr>
        <w:t xml:space="preserve">8.4.c Term and Pool Depletion: </w:t>
      </w:r>
      <w:r>
        <w:rPr>
          <w:rFonts w:ascii="Arial" w:cs="Arial" w:eastAsia="Arial" w:hAnsi="Arial"/>
          <w:color w:val="000000"/>
          <w:sz w:val="22"/>
          <w:szCs w:val="22"/>
        </w:rPr>
        <w:t>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ind w:left="720" w:hanging="360"/>
      </w:pPr>
      <w:r>
        <w:rPr>
          <w:rFonts w:ascii="Arial" w:cs="Arial" w:eastAsia="Arial" w:hAnsi="Arial"/>
          <w:b/>
          <w:bCs/>
          <w:color w:val="4A6FA5"/>
          <w:sz w:val="22"/>
          <w:szCs w:val="22"/>
        </w:rPr>
        <w:t xml:space="preserve">8.4.d Inspectorate Staff Continuity and Simultaneous Vacancy: </w:t>
      </w:r>
      <w:r>
        <w:rPr>
          <w:rFonts w:ascii="Arial" w:cs="Arial" w:eastAsia="Arial" w:hAnsi="Arial"/>
          <w:color w:val="000000"/>
          <w:sz w:val="22"/>
          <w:szCs w:val="22"/>
        </w:rPr>
        <w:t>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p>
    <w:p>
      <w:pPr>
        <w:spacing w:after="0" w:before="120"/>
      </w:pPr>
      <w:r>
        <w:t xml:space="preserve"/>
      </w:r>
    </w:p>
    <w:p>
      <w:pPr>
        <w:pStyle w:val="Heading2"/>
        <w:spacing w:after="80" w:before="200"/>
      </w:pPr>
      <w:r>
        <w:rPr>
          <w:rFonts w:ascii="Arial" w:cs="Arial" w:eastAsia="Arial" w:hAnsi="Arial"/>
          <w:b/>
          <w:bCs/>
          <w:color w:val="4A6FA5"/>
          <w:sz w:val="24"/>
          <w:szCs w:val="24"/>
        </w:rPr>
        <w:t>Section 8.5 — IG Removal: Two-Track System</w:t>
      </w:r>
    </w:p>
    <w:p>
      <w:pPr>
        <w:spacing w:after="60" w:before="60"/>
      </w:pPr>
      <w:r>
        <w:rPr>
          <w:rFonts w:ascii="Arial" w:cs="Arial" w:eastAsia="Arial" w:hAnsi="Arial"/>
          <w:color w:val="000000"/>
          <w:sz w:val="22"/>
          <w:szCs w:val="22"/>
        </w:rPr>
        <w:t>An Inspector General may be removed only through one of two tracks. Neither may be used to suppress a Report or retaliate for lawful investigative activity.</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8.5.a For-Cause Removal: </w:t>
      </w:r>
      <w:r>
        <w:rPr>
          <w:rFonts w:ascii="Arial" w:cs="Arial" w:eastAsia="Arial" w:hAnsi="Arial"/>
          <w:color w:val="000000"/>
          <w:sz w:val="22"/>
          <w:szCs w:val="22"/>
        </w:rPr>
        <w:t>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Rule Violation under §2.7 for those members. Motive is not justiciable where the constitutional process is complete. This protection does not extend to false statements in the stated grounds, fabrication of evidence presented to the Panel, or coercion of other members' votes.</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8.5.b No-Cause Removal: </w:t>
      </w:r>
      <w:r>
        <w:rPr>
          <w:rFonts w:ascii="Arial" w:cs="Arial" w:eastAsia="Arial" w:hAnsi="Arial"/>
          <w:color w:val="000000"/>
          <w:sz w:val="22"/>
          <w:szCs w:val="22"/>
        </w:rPr>
        <w:t>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8.5.c Judicial IG — For-Cause Only: </w:t>
      </w:r>
      <w:r>
        <w:rPr>
          <w:rFonts w:ascii="Arial" w:cs="Arial" w:eastAsia="Arial" w:hAnsi="Arial"/>
          <w:color w:val="000000"/>
          <w:sz w:val="22"/>
          <w:szCs w:val="22"/>
        </w:rPr>
        <w:t>The Judicial Inspector General may only be removed via Track 1. No-Cause removal is not available for the Judicial IG.</w:t>
      </w:r>
    </w:p>
    <w:p>
      <w:pPr>
        <w:spacing w:after="0" w:before="120"/>
      </w:pPr>
      <w:r>
        <w:t xml:space="preserve"/>
      </w:r>
    </w:p>
    <w:p>
      <w:pPr>
        <w:pStyle w:val="Heading2"/>
        <w:spacing w:after="80" w:before="200"/>
      </w:pPr>
      <w:r>
        <w:rPr>
          <w:rFonts w:ascii="Arial" w:cs="Arial" w:eastAsia="Arial" w:hAnsi="Arial"/>
          <w:b/>
          <w:bCs/>
          <w:color w:val="4A6FA5"/>
          <w:sz w:val="24"/>
          <w:szCs w:val="24"/>
        </w:rPr>
        <w:t>Section 8.6 — The Information-Only Mandate</w:t>
      </w:r>
    </w:p>
    <w:p>
      <w:pPr>
        <w:spacing w:after="60" w:before="60"/>
      </w:pPr>
      <w:r>
        <w:rPr>
          <w:rFonts w:ascii="Arial" w:cs="Arial" w:eastAsia="Arial" w:hAnsi="Arial"/>
          <w:color w:val="000000"/>
          <w:sz w:val="22"/>
          <w:szCs w:val="22"/>
        </w:rPr>
        <w:t>An Inspectorate finding is not a legal determination of any kind. Inspectorate Reports state observed facts. They do not conclude that any conduct 'is a Rule Violation'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ind w:left="720" w:hanging="360"/>
      </w:pPr>
      <w:r>
        <w:rPr>
          <w:rFonts w:ascii="Arial" w:cs="Arial" w:eastAsia="Arial" w:hAnsi="Arial"/>
          <w:b/>
          <w:bCs/>
          <w:color w:val="4A6FA5"/>
          <w:sz w:val="22"/>
          <w:szCs w:val="22"/>
        </w:rPr>
        <w:t xml:space="preserve">8.6.a Reports: </w:t>
      </w:r>
      <w:r>
        <w:rPr>
          <w:rFonts w:ascii="Arial" w:cs="Arial" w:eastAsia="Arial" w:hAnsi="Arial"/>
          <w:color w:val="000000"/>
          <w:sz w:val="22"/>
          <w:szCs w:val="22"/>
        </w:rPr>
        <w:t>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ind w:left="720" w:hanging="360"/>
      </w:pPr>
      <w:r>
        <w:rPr>
          <w:rFonts w:ascii="Arial" w:cs="Arial" w:eastAsia="Arial" w:hAnsi="Arial"/>
          <w:b/>
          <w:bCs/>
          <w:color w:val="4A6FA5"/>
          <w:sz w:val="22"/>
          <w:szCs w:val="22"/>
        </w:rPr>
        <w:t xml:space="preserve">8.6.b No Classification: </w:t>
      </w:r>
      <w:r>
        <w:rPr>
          <w:rFonts w:ascii="Arial" w:cs="Arial" w:eastAsia="Arial" w:hAnsi="Arial"/>
          <w:color w:val="000000"/>
          <w:sz w:val="22"/>
          <w:szCs w:val="22"/>
        </w:rPr>
        <w:t>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ind w:left="720" w:hanging="360"/>
      </w:pPr>
      <w:r>
        <w:rPr>
          <w:rFonts w:ascii="Arial" w:cs="Arial" w:eastAsia="Arial" w:hAnsi="Arial"/>
          <w:b/>
          <w:bCs/>
          <w:color w:val="4A6FA5"/>
          <w:sz w:val="22"/>
          <w:szCs w:val="22"/>
        </w:rPr>
        <w:t xml:space="preserve">8.6.c No Binding Force: </w:t>
      </w:r>
      <w:r>
        <w:rPr>
          <w:rFonts w:ascii="Arial" w:cs="Arial" w:eastAsia="Arial" w:hAnsi="Arial"/>
          <w:color w:val="000000"/>
          <w:sz w:val="22"/>
          <w:szCs w:val="22"/>
        </w:rPr>
        <w:t>An Inspectorate Report is a documented statement of observed fact. What the Legislature, the courts, or the People do with that information is their constitutional prerogative. Where a Report's findings may be relevant to potential Rule Violation proceedings, the Report states that the Legislature or the relevant injured party may initiate such proceedings.</w:t>
      </w:r>
    </w:p>
    <w:p>
      <w:pPr>
        <w:spacing w:after="60" w:before="60"/>
        <w:ind w:left="720" w:hanging="360"/>
      </w:pPr>
      <w:r>
        <w:rPr>
          <w:rFonts w:ascii="Arial" w:cs="Arial" w:eastAsia="Arial" w:hAnsi="Arial"/>
          <w:b/>
          <w:bCs/>
          <w:color w:val="4A6FA5"/>
          <w:sz w:val="22"/>
          <w:szCs w:val="22"/>
        </w:rPr>
        <w:t xml:space="preserve">8.6.d Non-Pursuit Disclosure: </w:t>
      </w:r>
      <w:r>
        <w:rPr>
          <w:rFonts w:ascii="Arial" w:cs="Arial" w:eastAsia="Arial" w:hAnsi="Arial"/>
          <w:color w:val="000000"/>
          <w:sz w:val="22"/>
          <w:szCs w:val="22"/>
        </w:rPr>
        <w:t>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ind w:left="720" w:hanging="360"/>
      </w:pPr>
      <w:r>
        <w:rPr>
          <w:rFonts w:ascii="Arial" w:cs="Arial" w:eastAsia="Arial" w:hAnsi="Arial"/>
          <w:b/>
          <w:bCs/>
          <w:color w:val="4A6FA5"/>
          <w:sz w:val="22"/>
          <w:szCs w:val="22"/>
        </w:rPr>
        <w:t xml:space="preserve">8.6.e Minority Reports: </w:t>
      </w:r>
      <w:r>
        <w:rPr>
          <w:rFonts w:ascii="Arial" w:cs="Arial" w:eastAsia="Arial" w:hAnsi="Arial"/>
          <w:color w:val="000000"/>
          <w:sz w:val="22"/>
          <w:szCs w:val="22"/>
        </w:rPr>
        <w:t>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ind w:left="720" w:hanging="360"/>
      </w:pPr>
      <w:r>
        <w:rPr>
          <w:rFonts w:ascii="Arial" w:cs="Arial" w:eastAsia="Arial" w:hAnsi="Arial"/>
          <w:b/>
          <w:bCs/>
          <w:color w:val="4A6FA5"/>
          <w:sz w:val="22"/>
          <w:szCs w:val="22"/>
        </w:rPr>
        <w:t xml:space="preserve">8.6.f Coordinated Work Stoppage Prohibition: </w:t>
      </w:r>
      <w:r>
        <w:rPr>
          <w:rFonts w:ascii="Arial" w:cs="Arial" w:eastAsia="Arial" w:hAnsi="Arial"/>
          <w:color w:val="000000"/>
          <w:sz w:val="22"/>
          <w:szCs w:val="22"/>
        </w:rPr>
        <w:t>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ind w:left="720" w:hanging="360"/>
      </w:pPr>
      <w:r>
        <w:rPr>
          <w:b/>
        </w:rPr>
        <w:t xml:space="preserve">8.6.g Citizen Discrepancy Petition: </w:t>
      </w:r>
      <w:r>
        <w:t>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spacing w:after="0" w:before="120"/>
      </w:pPr>
      <w:r>
        <w:t xml:space="preserve"/>
      </w:r>
    </w:p>
    <w:p>
      <w:pPr>
        <w:pStyle w:val="Heading2"/>
        <w:spacing w:after="80" w:before="200"/>
      </w:pPr>
      <w:r>
        <w:rPr>
          <w:rFonts w:ascii="Arial" w:cs="Arial" w:eastAsia="Arial" w:hAnsi="Arial"/>
          <w:b/>
          <w:bCs/>
          <w:color w:val="4A6FA5"/>
          <w:sz w:val="24"/>
          <w:szCs w:val="24"/>
        </w:rPr>
        <w:t>Section 8.7 — Triggered Investigations</w:t>
      </w:r>
    </w:p>
    <w:p>
      <w:pPr>
        <w:spacing w:after="60" w:before="60"/>
        <w:ind w:left="720" w:hanging="360"/>
      </w:pPr>
      <w:r>
        <w:rPr>
          <w:rFonts w:ascii="Arial" w:cs="Arial" w:eastAsia="Arial" w:hAnsi="Arial"/>
          <w:b/>
          <w:bCs/>
          <w:color w:val="4A6FA5"/>
          <w:sz w:val="22"/>
          <w:szCs w:val="22"/>
        </w:rPr>
        <w:t xml:space="preserve">8.7.a Official Trigger: </w:t>
      </w:r>
      <w:r>
        <w:rPr>
          <w:rFonts w:ascii="Arial" w:cs="Arial" w:eastAsia="Arial" w:hAnsi="Arial"/>
          <w:color w:val="000000"/>
          <w:sz w:val="22"/>
          <w:szCs w:val="22"/>
        </w:rPr>
        <w:t>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spacing w:after="0" w:before="120"/>
      </w:pPr>
      <w:r>
        <w:t xml:space="preserve"/>
      </w:r>
    </w:p>
    <w:p>
      <w:pPr>
        <w:pStyle w:val="Heading2"/>
        <w:spacing w:after="80" w:before="200"/>
      </w:pPr>
      <w:r>
        <w:rPr>
          <w:rFonts w:ascii="Arial" w:cs="Arial" w:eastAsia="Arial" w:hAnsi="Arial"/>
          <w:b/>
          <w:bCs/>
          <w:color w:val="4A6FA5"/>
          <w:sz w:val="24"/>
          <w:szCs w:val="24"/>
        </w:rPr>
        <w:t>Section 8.8 — The Annual State of the Republic Report</w:t>
      </w:r>
    </w:p>
    <w:p>
      <w:pPr>
        <w:spacing w:after="60" w:before="60"/>
      </w:pPr>
      <w:r>
        <w:rPr>
          <w:rFonts w:ascii="Arial" w:cs="Arial" w:eastAsia="Arial" w:hAnsi="Arial"/>
          <w:color w:val="000000"/>
          <w:sz w:val="22"/>
          <w:szCs w:val="22"/>
        </w:rPr>
        <w:t>Each Inspectorate publishes one Annual State of the Republic Report covering its domain — automatically, every year, on a constitutionally fixed date, regardless of whether any official has requested it.</w:t>
      </w:r>
    </w:p>
    <w:p>
      <w:pPr>
        <w:spacing w:after="60" w:before="60"/>
        <w:ind w:left="720" w:hanging="360"/>
      </w:pPr>
      <w:r>
        <w:rPr>
          <w:rFonts w:ascii="Arial" w:cs="Arial" w:eastAsia="Arial" w:hAnsi="Arial"/>
          <w:b/>
          <w:bCs/>
          <w:color w:val="4A6FA5"/>
          <w:sz w:val="22"/>
          <w:szCs w:val="22"/>
        </w:rPr>
        <w:t xml:space="preserve">8.8.a Content: </w:t>
      </w:r>
      <w:r>
        <w:rPr>
          <w:rFonts w:ascii="Arial" w:cs="Arial" w:eastAsia="Arial" w:hAnsi="Arial"/>
          <w:color w:val="000000"/>
          <w:sz w:val="22"/>
          <w:szCs w:val="22"/>
        </w:rPr>
        <w:t>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ind w:left="720" w:hanging="360"/>
      </w:pPr>
      <w:r>
        <w:rPr>
          <w:rFonts w:ascii="Arial" w:cs="Arial" w:eastAsia="Arial" w:hAnsi="Arial"/>
          <w:b/>
          <w:bCs/>
          <w:color w:val="4A6FA5"/>
          <w:sz w:val="22"/>
          <w:szCs w:val="22"/>
        </w:rPr>
        <w:t xml:space="preserve">8.8.b Publication: </w:t>
      </w:r>
      <w:r>
        <w:rPr>
          <w:rFonts w:ascii="Arial" w:cs="Arial" w:eastAsia="Arial" w:hAnsi="Arial"/>
          <w:color w:val="000000"/>
          <w:sz w:val="22"/>
          <w:szCs w:val="22"/>
        </w:rPr>
        <w:t>Published simultaneously to the National Record System and freely accessible to all Inhabitants. No official may alter the publication date or content.</w:t>
      </w:r>
    </w:p>
    <w:p>
      <w:pPr>
        <w:spacing w:after="0" w:before="120"/>
      </w:pPr>
      <w:r>
        <w:t xml:space="preserve"/>
      </w:r>
    </w:p>
    <w:p>
      <w:pPr>
        <w:pStyle w:val="Heading2"/>
        <w:spacing w:after="80" w:before="200"/>
      </w:pPr>
      <w:r>
        <w:rPr>
          <w:rFonts w:ascii="Arial" w:cs="Arial" w:eastAsia="Arial" w:hAnsi="Arial"/>
          <w:b/>
          <w:bCs/>
          <w:color w:val="4A6FA5"/>
          <w:sz w:val="24"/>
          <w:szCs w:val="24"/>
        </w:rPr>
        <w:t>Section 8.9 — The State Designee Panel</w:t>
      </w:r>
    </w:p>
    <w:p>
      <w:pPr>
        <w:spacing w:after="60" w:before="60"/>
      </w:pPr>
      <w:r>
        <w:rPr>
          <w:rFonts w:ascii="Arial" w:cs="Arial" w:eastAsia="Arial" w:hAnsi="Arial"/>
          <w:color w:val="000000"/>
          <w:sz w:val="22"/>
          <w:szCs w:val="22"/>
        </w:rPr>
        <w:t>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ind w:left="720" w:hanging="360"/>
      </w:pPr>
      <w:r>
        <w:rPr>
          <w:rFonts w:ascii="Arial" w:cs="Arial" w:eastAsia="Arial" w:hAnsi="Arial"/>
          <w:b/>
          <w:bCs/>
          <w:color w:val="4A6FA5"/>
          <w:sz w:val="22"/>
          <w:szCs w:val="22"/>
        </w:rPr>
        <w:t xml:space="preserve">8.9.a Single Mandate: </w:t>
      </w:r>
      <w:r>
        <w:rPr>
          <w:rFonts w:ascii="Arial" w:cs="Arial" w:eastAsia="Arial" w:hAnsi="Arial"/>
          <w:color w:val="000000"/>
          <w:sz w:val="22"/>
          <w:szCs w:val="22"/>
        </w:rPr>
        <w:t>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other IOC functions — pattern findings, mandatory IG response requirements, and annual oversight reporting — are absorbed by Legislature standing committees and existing IG annual reports.</w:t>
      </w:r>
    </w:p>
    <w:p>
      <w:pPr>
        <w:spacing w:after="60" w:before="60"/>
        <w:ind w:left="720" w:hanging="360"/>
      </w:pPr>
      <w:r>
        <w:rPr>
          <w:rFonts w:ascii="Arial" w:cs="Arial" w:eastAsia="Arial" w:hAnsi="Arial"/>
          <w:b/>
          <w:bCs/>
          <w:color w:val="4A6FA5"/>
          <w:sz w:val="22"/>
          <w:szCs w:val="22"/>
        </w:rPr>
        <w:t xml:space="preserve">8.9.b Appeals: </w:t>
      </w:r>
      <w:r>
        <w:rPr>
          <w:rFonts w:ascii="Arial" w:cs="Arial" w:eastAsia="Arial" w:hAnsi="Arial"/>
          <w:color w:val="000000"/>
          <w:sz w:val="22"/>
          <w:szCs w:val="22"/>
        </w:rPr>
        <w:t>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ind w:left="720" w:hanging="360"/>
      </w:pPr>
      <w:r>
        <w:rPr>
          <w:rFonts w:ascii="Arial" w:cs="Arial" w:eastAsia="Arial" w:hAnsi="Arial"/>
          <w:b/>
          <w:bCs/>
          <w:color w:val="4A6FA5"/>
          <w:sz w:val="22"/>
          <w:szCs w:val="22"/>
        </w:rPr>
        <w:t xml:space="preserve">8.9.d Gatekeeping Appeal: </w:t>
      </w:r>
      <w:r>
        <w:rPr>
          <w:rFonts w:ascii="Arial" w:cs="Arial" w:eastAsia="Arial" w:hAnsi="Arial"/>
          <w:color w:val="000000"/>
          <w:sz w:val="22"/>
          <w:szCs w:val="22"/>
        </w:rPr>
        <w:t>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spacing w:after="0" w:before="120"/>
      </w:pPr>
      <w:r>
        <w:t xml:space="preserve"/>
      </w:r>
    </w:p>
    <w:p>
      <w:pPr>
        <w:pStyle w:val="Heading2"/>
        <w:spacing w:after="80" w:before="200"/>
      </w:pPr>
      <w:r>
        <w:rPr>
          <w:rFonts w:ascii="Arial" w:cs="Arial" w:eastAsia="Arial" w:hAnsi="Arial"/>
          <w:b/>
          <w:bCs/>
          <w:color w:val="4A6FA5"/>
          <w:sz w:val="24"/>
          <w:szCs w:val="24"/>
        </w:rPr>
        <w:t>Section 8.10 — Inspectorate Minimum Funding Guarantee</w:t>
      </w:r>
    </w:p>
    <w:p>
      <w:pPr>
        <w:spacing w:after="60" w:before="60"/>
      </w:pPr>
      <w:r>
        <w:rPr>
          <w:rFonts w:ascii="Arial" w:cs="Arial" w:eastAsia="Arial" w:hAnsi="Arial"/>
          <w:color w:val="000000"/>
          <w:sz w:val="22"/>
          <w:szCs w:val="22"/>
        </w:rPr>
        <w:t>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Rule Violation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commits a Rule Violation of the same kind as a confirmed Director, subject to the same constitutional accountability framework.</w:t>
      </w:r>
    </w:p>
    <w:p>
      <w:pPr>
        <w:spacing w:after="0" w:before="120"/>
      </w:pPr>
      <w:r>
        <w:t xml:space="preserve"/>
      </w:r>
    </w:p>
    <w:p>
      <w:pPr>
        <w:pStyle w:val="Heading2"/>
        <w:spacing w:after="80" w:before="200"/>
      </w:pPr>
      <w:r>
        <w:rPr>
          <w:rFonts w:ascii="Arial" w:cs="Arial" w:eastAsia="Arial" w:hAnsi="Arial"/>
          <w:b/>
          <w:bCs/>
          <w:color w:val="4A6FA5"/>
          <w:sz w:val="24"/>
          <w:szCs w:val="24"/>
        </w:rPr>
        <w:t>Section 8.11 — Constitutional Performance Assessment</w:t>
      </w:r>
    </w:p>
    <w:p>
      <w:pPr>
        <w:spacing w:after="60" w:before="60"/>
        <w:ind w:left="720" w:hanging="360"/>
      </w:pPr>
      <w:r>
        <w:rPr>
          <w:rFonts w:ascii="Arial" w:cs="Arial" w:eastAsia="Arial" w:hAnsi="Arial"/>
          <w:b/>
          <w:bCs/>
          <w:color w:val="4A6FA5"/>
          <w:sz w:val="22"/>
          <w:szCs w:val="22"/>
        </w:rPr>
        <w:t xml:space="preserve">8.11 Eighth-Year Assessment: </w:t>
      </w:r>
      <w:r>
        <w:rPr>
          <w:rFonts w:ascii="Arial" w:cs="Arial" w:eastAsia="Arial" w:hAnsi="Arial"/>
          <w:color w:val="000000"/>
          <w:sz w:val="22"/>
          <w:szCs w:val="22"/>
        </w:rPr>
        <w:t>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Rule Violation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IX — THE NATIONAL RECORD SYSTEM</w:t>
      </w:r>
    </w:p>
    <w:p>
      <w:pPr>
        <w:spacing w:after="60" w:before="60"/>
      </w:pPr>
      <w:r>
        <w:rPr>
          <w:rFonts w:ascii="Arial" w:cs="Arial" w:eastAsia="Arial" w:hAnsi="Arial"/>
          <w:color w:val="000000"/>
          <w:sz w:val="22"/>
          <w:szCs w:val="22"/>
        </w:rPr>
        <w:t>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spacing w:after="0" w:before="120"/>
      </w:pPr>
      <w:r>
        <w:t xml:space="preserve"/>
      </w:r>
    </w:p>
    <w:p>
      <w:pPr>
        <w:pStyle w:val="Heading2"/>
        <w:spacing w:after="80" w:before="200"/>
      </w:pPr>
      <w:r>
        <w:rPr>
          <w:rFonts w:ascii="Arial" w:cs="Arial" w:eastAsia="Arial" w:hAnsi="Arial"/>
          <w:b/>
          <w:bCs/>
          <w:color w:val="4A6FA5"/>
          <w:sz w:val="24"/>
          <w:szCs w:val="24"/>
        </w:rPr>
        <w:t>Section 9.1 — Core Properties</w:t>
      </w:r>
    </w:p>
    <w:p>
      <w:pPr>
        <w:spacing w:after="60" w:before="60"/>
        <w:ind w:left="720" w:hanging="360"/>
      </w:pPr>
      <w:r>
        <w:rPr>
          <w:rFonts w:ascii="Arial" w:cs="Arial" w:eastAsia="Arial" w:hAnsi="Arial"/>
          <w:b/>
          <w:bCs/>
          <w:color w:val="4A6FA5"/>
          <w:sz w:val="22"/>
          <w:szCs w:val="22"/>
        </w:rPr>
        <w:t xml:space="preserve">9.1.a Immutability: </w:t>
      </w:r>
      <w:r>
        <w:rPr>
          <w:rFonts w:ascii="Arial" w:cs="Arial" w:eastAsia="Arial" w:hAnsi="Arial"/>
          <w:color w:val="000000"/>
          <w:sz w:val="22"/>
          <w:szCs w:val="22"/>
        </w:rPr>
        <w:t>All entries are permanent. No entry may be deleted or altered after confirmation. Corrections are made by new entries that reference and supersede prior entries, with both permanently visible.</w:t>
      </w:r>
    </w:p>
    <w:p>
      <w:pPr>
        <w:spacing w:after="60" w:before="60"/>
        <w:ind w:left="720" w:hanging="360"/>
      </w:pPr>
      <w:r>
        <w:rPr>
          <w:rFonts w:ascii="Arial" w:cs="Arial" w:eastAsia="Arial" w:hAnsi="Arial"/>
          <w:b/>
          <w:bCs/>
          <w:color w:val="4A6FA5"/>
          <w:sz w:val="22"/>
          <w:szCs w:val="22"/>
        </w:rPr>
        <w:t xml:space="preserve">9.1.b Distributed Custody: </w:t>
      </w:r>
      <w:r>
        <w:rPr>
          <w:rFonts w:ascii="Arial" w:cs="Arial" w:eastAsia="Arial" w:hAnsi="Arial"/>
          <w:color w:val="000000"/>
          <w:sz w:val="22"/>
          <w:szCs w:val="22"/>
        </w:rPr>
        <w:t>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ind w:left="720" w:hanging="360"/>
      </w:pPr>
      <w:r>
        <w:rPr>
          <w:rFonts w:ascii="Arial" w:cs="Arial" w:eastAsia="Arial" w:hAnsi="Arial"/>
          <w:b/>
          <w:bCs/>
          <w:color w:val="4A6FA5"/>
          <w:sz w:val="22"/>
          <w:szCs w:val="22"/>
        </w:rPr>
        <w:t xml:space="preserve">9.1.c Public Accessibility: </w:t>
      </w:r>
      <w:r>
        <w:rPr>
          <w:rFonts w:ascii="Arial" w:cs="Arial" w:eastAsia="Arial" w:hAnsi="Arial"/>
          <w:color w:val="000000"/>
          <w:sz w:val="22"/>
          <w:szCs w:val="22"/>
        </w:rPr>
        <w:t>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ind w:left="720" w:hanging="360"/>
      </w:pPr>
      <w:r>
        <w:rPr>
          <w:rFonts w:ascii="Arial" w:cs="Arial" w:eastAsia="Arial" w:hAnsi="Arial"/>
          <w:b/>
          <w:bCs/>
          <w:color w:val="4A6FA5"/>
          <w:sz w:val="22"/>
          <w:szCs w:val="22"/>
        </w:rPr>
        <w:t xml:space="preserve">9.1.d Cryptographic Signing: </w:t>
      </w:r>
      <w:r>
        <w:rPr>
          <w:rFonts w:ascii="Arial" w:cs="Arial" w:eastAsia="Arial" w:hAnsi="Arial"/>
          <w:color w:val="000000"/>
          <w:sz w:val="22"/>
          <w:szCs w:val="22"/>
        </w:rPr>
        <w:t>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ind w:left="720" w:hanging="360"/>
      </w:pPr>
      <w:r>
        <w:rPr>
          <w:rFonts w:ascii="Arial" w:cs="Arial" w:eastAsia="Arial" w:hAnsi="Arial"/>
          <w:b/>
          <w:bCs/>
          <w:color w:val="4A6FA5"/>
          <w:sz w:val="22"/>
          <w:szCs w:val="22"/>
        </w:rPr>
        <w:t xml:space="preserve">9.1.e Technology Neutrality: </w:t>
      </w:r>
      <w:r>
        <w:rPr>
          <w:rFonts w:ascii="Arial" w:cs="Arial" w:eastAsia="Arial" w:hAnsi="Arial"/>
          <w:color w:val="000000"/>
          <w:sz w:val="22"/>
          <w:szCs w:val="22"/>
        </w:rPr>
        <w:t>No specific technology, protocol, or cryptographic standard is named in this Constitution. The House defines technical standards by statute, which may be updated provided the properties in this Article are maintained at all times.</w:t>
      </w:r>
    </w:p>
    <w:p>
      <w:pPr>
        <w:spacing w:after="60" w:before="60"/>
        <w:ind w:left="720" w:hanging="360"/>
      </w:pPr>
      <w:r>
        <w:rPr>
          <w:rFonts w:ascii="Arial" w:cs="Arial" w:eastAsia="Arial" w:hAnsi="Arial"/>
          <w:b/>
          <w:bCs/>
          <w:color w:val="4A6FA5"/>
          <w:sz w:val="22"/>
          <w:szCs w:val="22"/>
        </w:rPr>
        <w:t xml:space="preserve">9.1.f Migration Overlap Protocol: </w:t>
      </w:r>
      <w:r>
        <w:rPr>
          <w:rFonts w:ascii="Arial" w:cs="Arial" w:eastAsia="Arial" w:hAnsi="Arial"/>
          <w:color w:val="000000"/>
          <w:sz w:val="22"/>
          <w:szCs w:val="22"/>
        </w:rPr>
        <w:t>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ind w:left="720" w:hanging="360"/>
      </w:pPr>
      <w:r>
        <w:rPr>
          <w:rFonts w:ascii="Arial" w:cs="Arial" w:eastAsia="Arial" w:hAnsi="Arial"/>
          <w:b/>
          <w:bCs/>
          <w:color w:val="4A6FA5"/>
          <w:sz w:val="22"/>
          <w:szCs w:val="22"/>
        </w:rPr>
        <w:t xml:space="preserve">9.1.g NRS Self-Authentication: </w:t>
      </w:r>
      <w:r>
        <w:rPr>
          <w:rFonts w:ascii="Arial" w:cs="Arial" w:eastAsia="Arial" w:hAnsi="Arial"/>
          <w:color w:val="000000"/>
          <w:sz w:val="22"/>
          <w:szCs w:val="22"/>
        </w:rPr>
        <w:t>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spacing w:after="0" w:before="120"/>
      </w:pPr>
      <w:r>
        <w:t xml:space="preserve"/>
      </w:r>
    </w:p>
    <w:p>
      <w:pPr>
        <w:pStyle w:val="Heading2"/>
        <w:spacing w:after="80" w:before="200"/>
      </w:pPr>
      <w:r>
        <w:rPr>
          <w:rFonts w:ascii="Arial" w:cs="Arial" w:eastAsia="Arial" w:hAnsi="Arial"/>
          <w:b/>
          <w:bCs/>
          <w:color w:val="4A6FA5"/>
          <w:sz w:val="24"/>
          <w:szCs w:val="24"/>
        </w:rPr>
        <w:t>Section 9.2 — Node Operators</w:t>
      </w:r>
    </w:p>
    <w:p>
      <w:pPr>
        <w:spacing w:after="60" w:before="60"/>
        <w:ind w:left="720" w:hanging="360"/>
      </w:pPr>
      <w:r>
        <w:rPr>
          <w:rFonts w:ascii="Arial" w:cs="Arial" w:eastAsia="Arial" w:hAnsi="Arial"/>
          <w:b/>
          <w:bCs/>
          <w:color w:val="4A6FA5"/>
          <w:sz w:val="22"/>
          <w:szCs w:val="22"/>
        </w:rPr>
        <w:t xml:space="preserve">9.2 Node Operators: </w:t>
      </w:r>
      <w:r>
        <w:rPr>
          <w:rFonts w:ascii="Arial" w:cs="Arial" w:eastAsia="Arial" w:hAnsi="Arial"/>
          <w:color w:val="000000"/>
          <w:sz w:val="22"/>
          <w:szCs w:val="22"/>
        </w:rPr>
        <w:t>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Style w:val="Heading2"/>
      </w:pPr>
      <w:r>
        <w:t>Section 9.3 — RSA Director</w:t>
      </w:r>
    </w:p>
    <w:p>
      <w:pPr>
        <w:spacing w:after="60" w:before="60"/>
        <w:ind w:left="720" w:hanging="360"/>
      </w:pPr>
      <w:r>
        <w:rPr>
          <w:rFonts w:ascii="Arial" w:cs="Arial" w:eastAsia="Arial" w:hAnsi="Arial"/>
          <w:b/>
          <w:bCs/>
          <w:color w:val="4A6FA5"/>
          <w:sz w:val="22"/>
          <w:szCs w:val="22"/>
        </w:rPr>
        <w:t xml:space="preserve">9.3 RSA Director: </w:t>
      </w:r>
      <w:r>
        <w:rPr>
          <w:rFonts w:ascii="Arial" w:cs="Arial" w:eastAsia="Arial" w:hAnsi="Arial"/>
          <w:color w:val="000000"/>
          <w:sz w:val="22"/>
          <w:szCs w:val="22"/>
        </w:rPr>
        <w:t>The RSA Director is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spacing w:after="0" w:before="120"/>
      </w:pPr>
      <w:r>
        <w:t xml:space="preserve"/>
      </w:r>
    </w:p>
    <w:p>
      <w:pPr>
        <w:pStyle w:val="Heading2"/>
        <w:spacing w:after="80" w:before="200"/>
      </w:pPr>
      <w:r>
        <w:rPr>
          <w:rFonts w:ascii="Arial" w:cs="Arial" w:eastAsia="Arial" w:hAnsi="Arial"/>
          <w:b/>
          <w:bCs/>
          <w:color w:val="4A6FA5"/>
          <w:sz w:val="24"/>
          <w:szCs w:val="24"/>
        </w:rPr>
        <w:t>Section 9.4 — Emergency Mode</w:t>
      </w:r>
    </w:p>
    <w:p>
      <w:pPr>
        <w:spacing w:after="60" w:before="60"/>
      </w:pPr>
      <w:r>
        <w:rPr>
          <w:rFonts w:ascii="Arial" w:cs="Arial" w:eastAsia="Arial" w:hAnsi="Arial"/>
          <w:color w:val="000000"/>
          <w:sz w:val="22"/>
          <w:szCs w:val="22"/>
        </w:rPr>
        <w:t>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spacing w:after="0" w:before="120"/>
      </w:pPr>
      <w:r>
        <w:t xml:space="preserve"/>
      </w:r>
    </w:p>
    <w:p>
      <w:pPr>
        <w:pStyle w:val="Heading2"/>
        <w:spacing w:after="80" w:before="200"/>
      </w:pPr>
      <w:r>
        <w:rPr>
          <w:rFonts w:ascii="Arial" w:cs="Arial" w:eastAsia="Arial" w:hAnsi="Arial"/>
          <w:b/>
          <w:bCs/>
          <w:color w:val="4A6FA5"/>
          <w:sz w:val="24"/>
          <w:szCs w:val="24"/>
        </w:rPr>
        <w:t>Section 9.5 — Classification Framework</w:t>
      </w:r>
    </w:p>
    <w:p>
      <w:pPr>
        <w:spacing w:after="60" w:before="60"/>
      </w:pPr>
      <w:r>
        <w:rPr>
          <w:rFonts w:ascii="Arial" w:cs="Arial" w:eastAsia="Arial" w:hAnsi="Arial"/>
          <w:color w:val="000000"/>
          <w:sz w:val="22"/>
          <w:szCs w:val="22"/>
        </w:rPr>
        <w:t>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ind w:left="720" w:hanging="360"/>
      </w:pPr>
      <w:r>
        <w:rPr>
          <w:rFonts w:ascii="Arial" w:cs="Arial" w:eastAsia="Arial" w:hAnsi="Arial"/>
          <w:b/>
          <w:bCs/>
          <w:color w:val="4A6FA5"/>
          <w:sz w:val="22"/>
          <w:szCs w:val="22"/>
        </w:rPr>
        <w:t xml:space="preserve">9.5.a Classification Authority: </w:t>
      </w:r>
      <w:r>
        <w:rPr>
          <w:rFonts w:ascii="Arial" w:cs="Arial" w:eastAsia="Arial" w:hAnsi="Arial"/>
          <w:color w:val="000000"/>
          <w:sz w:val="22"/>
          <w:szCs w:val="22"/>
        </w:rPr>
        <w:t>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commits a Rule Violation regardless of whether the underlying classification is otherwise valid.</w:t>
      </w:r>
    </w:p>
    <w:p>
      <w:pPr>
        <w:spacing w:after="60" w:before="60"/>
        <w:ind w:left="720" w:hanging="360"/>
      </w:pPr>
      <w:r>
        <w:rPr>
          <w:rFonts w:ascii="Arial" w:cs="Arial" w:eastAsia="Arial" w:hAnsi="Arial"/>
          <w:b/>
          <w:bCs/>
          <w:color w:val="4A6FA5"/>
          <w:sz w:val="22"/>
          <w:szCs w:val="22"/>
        </w:rPr>
        <w:t xml:space="preserve">9.5.b Classification Duration: </w:t>
      </w:r>
      <w:r>
        <w:rPr>
          <w:rFonts w:ascii="Arial" w:cs="Arial" w:eastAsia="Arial" w:hAnsi="Arial"/>
          <w:color w:val="000000"/>
          <w:sz w:val="22"/>
          <w:szCs w:val="22"/>
        </w:rPr>
        <w:t>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ind w:left="720" w:hanging="360"/>
      </w:pPr>
      <w:r>
        <w:rPr>
          <w:rFonts w:ascii="Arial" w:cs="Arial" w:eastAsia="Arial" w:hAnsi="Arial"/>
          <w:b/>
          <w:bCs/>
          <w:color w:val="4A6FA5"/>
          <w:sz w:val="22"/>
          <w:szCs w:val="22"/>
        </w:rPr>
        <w:t xml:space="preserve">9.5.c Classification Registry: </w:t>
      </w:r>
      <w:r>
        <w:rPr>
          <w:rFonts w:ascii="Arial" w:cs="Arial" w:eastAsia="Arial" w:hAnsi="Arial"/>
          <w:color w:val="000000"/>
          <w:sz w:val="22"/>
          <w:szCs w:val="22"/>
        </w:rPr>
        <w:t>The existence of every classified document must be registered on the National Record System promptly upon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a Rule Violation. the Legislature defines registration timelines and format by statute.</w:t>
      </w:r>
    </w:p>
    <w:p>
      <w:pPr>
        <w:spacing w:after="60" w:before="60"/>
        <w:ind w:left="720" w:hanging="360"/>
      </w:pPr>
      <w:r>
        <w:rPr>
          <w:rFonts w:ascii="Arial" w:cs="Arial" w:eastAsia="Arial" w:hAnsi="Arial"/>
          <w:b/>
          <w:bCs/>
          <w:color w:val="4A6FA5"/>
          <w:sz w:val="22"/>
          <w:szCs w:val="22"/>
        </w:rPr>
        <w:t xml:space="preserve">9.5.d Automatic Declassification: </w:t>
      </w:r>
      <w:r>
        <w:rPr>
          <w:rFonts w:ascii="Arial" w:cs="Arial" w:eastAsia="Arial" w:hAnsi="Arial"/>
          <w:color w:val="000000"/>
          <w:sz w:val="22"/>
          <w:szCs w:val="22"/>
        </w:rPr>
        <w:t>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ind w:left="720" w:hanging="360"/>
      </w:pPr>
      <w:r>
        <w:rPr>
          <w:rFonts w:ascii="Arial" w:cs="Arial" w:eastAsia="Arial" w:hAnsi="Arial"/>
          <w:b/>
          <w:bCs/>
          <w:color w:val="4A6FA5"/>
          <w:sz w:val="22"/>
          <w:szCs w:val="22"/>
        </w:rPr>
        <w:t xml:space="preserve">9.5.e Improper Classification: </w:t>
      </w:r>
      <w:r>
        <w:rPr>
          <w:rFonts w:ascii="Arial" w:cs="Arial" w:eastAsia="Arial" w:hAnsi="Arial"/>
          <w:color w:val="000000"/>
          <w:sz w:val="22"/>
          <w:szCs w:val="22"/>
        </w:rPr>
        <w:t>Classification used to conceal a Rule Violation, illegal order, or policy decision — rather than genuinely sensitive operational material — is improper classification and itself a Rule Violation.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 — PUBLIC FINANCE &amp; ETHICS</w:t>
      </w:r>
    </w:p>
    <w:p>
      <w:pPr>
        <w:spacing w:after="0" w:before="120"/>
      </w:pPr>
      <w:r>
        <w:t xml:space="preserve"/>
      </w:r>
    </w:p>
    <w:p>
      <w:pPr>
        <w:pStyle w:val="Heading2"/>
        <w:spacing w:after="80" w:before="200"/>
      </w:pPr>
      <w:r>
        <w:rPr>
          <w:rFonts w:ascii="Arial" w:cs="Arial" w:eastAsia="Arial" w:hAnsi="Arial"/>
          <w:b/>
          <w:bCs/>
          <w:color w:val="4A6FA5"/>
          <w:sz w:val="24"/>
          <w:szCs w:val="24"/>
        </w:rPr>
        <w:t>Section 10.1 — Basic Needs Support (The Basic Needs Floor)</w:t>
      </w:r>
    </w:p>
    <w:p>
      <w:pPr>
        <w:spacing w:after="60" w:before="60"/>
      </w:pPr>
      <w:r>
        <w:rPr>
          <w:rFonts w:ascii="Arial" w:cs="Arial" w:eastAsia="Arial" w:hAnsi="Arial"/>
          <w:color w:val="000000"/>
          <w:sz w:val="22"/>
          <w:szCs w:val="22"/>
        </w:rPr>
        <w:t>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ind w:left="720" w:hanging="360"/>
      </w:pPr>
      <w:r>
        <w:rPr>
          <w:rFonts w:ascii="Arial" w:cs="Arial" w:eastAsia="Arial" w:hAnsi="Arial"/>
          <w:b/>
          <w:bCs/>
          <w:color w:val="4A6FA5"/>
          <w:sz w:val="22"/>
          <w:szCs w:val="22"/>
        </w:rPr>
        <w:t xml:space="preserve">10.1.a Anti-Evasion Principle: </w:t>
      </w:r>
      <w:r>
        <w:rPr>
          <w:rFonts w:ascii="Arial" w:cs="Arial" w:eastAsia="Arial" w:hAnsi="Arial"/>
          <w:color w:val="000000"/>
          <w:sz w:val="22"/>
          <w:szCs w:val="22"/>
        </w:rPr>
        <w:t>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pPr>
      <w:r>
        <w:rPr>
          <w:rFonts w:ascii="Arial" w:cs="Arial" w:eastAsia="Arial" w:hAnsi="Arial"/>
          <w:color w:val="000000"/>
          <w:sz w:val="22"/>
          <w:szCs w:val="22"/>
        </w:rPr>
        <w:t>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dissolution or emergency, with a maximum toll of 90 days. If the Legislature fails to act within 45 days (or the tolled period), the relevant statute automatically becomes eligible for referendum under Article XI without requiring a citizen petition.</w:t>
      </w:r>
    </w:p>
    <w:p>
      <w:pPr>
        <w:spacing w:after="60" w:before="60"/>
      </w:pPr>
      <w:r>
        <w:rPr>
          <w:rFonts w:ascii="Arial" w:cs="Arial" w:eastAsia="Arial" w:hAnsi="Arial"/>
          <w:color w:val="000000"/>
          <w:sz w:val="22"/>
          <w:szCs w:val="22"/>
        </w:rPr>
        <w:t>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0" w:before="80"/>
      </w:pPr>
      <w:r>
        <w:t xml:space="preserve"/>
      </w:r>
    </w:p>
    <w:p>
      <w:pPr>
        <w:spacing w:after="60" w:before="60"/>
        <w:ind w:left="720" w:hanging="360"/>
      </w:pPr>
      <w:r>
        <w:rPr>
          <w:rFonts w:ascii="Arial" w:cs="Arial" w:eastAsia="Arial" w:hAnsi="Arial"/>
          <w:b/>
          <w:bCs/>
          <w:color w:val="4A6FA5"/>
          <w:sz w:val="22"/>
          <w:szCs w:val="22"/>
        </w:rPr>
        <w:t xml:space="preserve">10.1.d Severe Contraction Protocol — Activation: </w:t>
      </w:r>
      <w:r>
        <w:rPr>
          <w:rFonts w:ascii="Arial" w:cs="Arial" w:eastAsia="Arial" w:hAnsi="Arial"/>
          <w:color w:val="000000"/>
          <w:sz w:val="22"/>
          <w:szCs w:val="22"/>
        </w:rPr>
        <w:t>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ind w:left="720" w:hanging="360"/>
      </w:pPr>
      <w:r>
        <w:rPr>
          <w:rFonts w:ascii="Arial" w:cs="Arial" w:eastAsia="Arial" w:hAnsi="Arial"/>
          <w:b/>
          <w:bCs/>
          <w:color w:val="4A6FA5"/>
          <w:sz w:val="22"/>
          <w:szCs w:val="22"/>
        </w:rPr>
        <w:t xml:space="preserve">10.1.e Severe Contraction Protocol — Effects: </w:t>
      </w:r>
      <w:r>
        <w:rPr>
          <w:rFonts w:ascii="Arial" w:cs="Arial" w:eastAsia="Arial" w:hAnsi="Arial"/>
          <w:color w:val="000000"/>
          <w:sz w:val="22"/>
          <w:szCs w:val="22"/>
        </w:rPr>
        <w:t>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ind w:left="720" w:hanging="360"/>
      </w:pPr>
      <w:r>
        <w:rPr>
          <w:rFonts w:ascii="Arial" w:cs="Arial" w:eastAsia="Arial" w:hAnsi="Arial"/>
          <w:b/>
          <w:bCs/>
          <w:color w:val="4A6FA5"/>
          <w:sz w:val="22"/>
          <w:szCs w:val="22"/>
        </w:rPr>
        <w:t xml:space="preserve">10.1.f Severe Contraction Protocol — Legislative Review: </w:t>
      </w:r>
      <w:r>
        <w:rPr>
          <w:rFonts w:ascii="Arial" w:cs="Arial" w:eastAsia="Arial" w:hAnsi="Arial"/>
          <w:color w:val="000000"/>
          <w:sz w:val="22"/>
          <w:szCs w:val="22"/>
        </w:rPr>
        <w:t>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ind w:left="720" w:hanging="360"/>
      </w:pPr>
      <w:r>
        <w:rPr>
          <w:rFonts w:ascii="Arial" w:cs="Arial" w:eastAsia="Arial" w:hAnsi="Arial"/>
          <w:b/>
          <w:bCs/>
          <w:color w:val="4A6FA5"/>
          <w:sz w:val="22"/>
          <w:szCs w:val="22"/>
        </w:rPr>
        <w:t xml:space="preserve">10.1.g Federal Supplementation Obligation: </w:t>
      </w:r>
      <w:r>
        <w:rPr>
          <w:rFonts w:ascii="Arial" w:cs="Arial" w:eastAsia="Arial" w:hAnsi="Arial"/>
          <w:color w:val="000000"/>
          <w:sz w:val="22"/>
          <w:szCs w:val="22"/>
        </w:rPr>
        <w:t>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spacing w:after="0" w:before="120"/>
      </w:pPr>
      <w:r>
        <w:t xml:space="preserve"/>
      </w:r>
    </w:p>
    <w:p>
      <w:pPr>
        <w:pStyle w:val="Heading2"/>
        <w:spacing w:after="80" w:before="200"/>
      </w:pPr>
      <w:r>
        <w:rPr>
          <w:rFonts w:ascii="Arial" w:cs="Arial" w:eastAsia="Arial" w:hAnsi="Arial"/>
          <w:b/>
          <w:bCs/>
          <w:color w:val="4A6FA5"/>
          <w:sz w:val="24"/>
          <w:szCs w:val="24"/>
        </w:rPr>
        <w:t>Section 10.2 — Taxation Authority</w:t>
      </w:r>
    </w:p>
    <w:p>
      <w:pPr>
        <w:spacing w:after="60" w:before="60"/>
      </w:pPr>
      <w:r>
        <w:rPr>
          <w:rFonts w:ascii="Arial" w:cs="Arial" w:eastAsia="Arial" w:hAnsi="Arial"/>
          <w:color w:val="000000"/>
          <w:sz w:val="22"/>
          <w:szCs w:val="22"/>
        </w:rPr>
        <w:t>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pPr>
      <w:r>
        <w:rPr>
          <w:rFonts w:ascii="Arial" w:cs="Arial" w:eastAsia="Arial" w:hAnsi="Arial"/>
          <w:color w:val="000000"/>
          <w:sz w:val="22"/>
          <w:szCs w:val="22"/>
        </w:rPr>
        <w:t>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0" w:before="120"/>
      </w:pPr>
      <w:r>
        <w:t xml:space="preserve"/>
      </w:r>
    </w:p>
    <w:p>
      <w:pPr>
        <w:pStyle w:val="Heading2"/>
        <w:spacing w:after="80" w:before="200"/>
      </w:pPr>
      <w:r>
        <w:rPr>
          <w:rFonts w:ascii="Arial" w:cs="Arial" w:eastAsia="Arial" w:hAnsi="Arial"/>
          <w:b/>
          <w:bCs/>
          <w:color w:val="4A6FA5"/>
          <w:sz w:val="24"/>
          <w:szCs w:val="24"/>
        </w:rPr>
        <w:t>Section 10.3 — Deficit Controls</w:t>
      </w:r>
    </w:p>
    <w:p>
      <w:pPr>
        <w:spacing w:after="60" w:before="60"/>
        <w:ind w:left="720" w:hanging="360"/>
      </w:pPr>
      <w:r>
        <w:rPr>
          <w:rFonts w:ascii="Arial" w:cs="Arial" w:eastAsia="Arial" w:hAnsi="Arial"/>
          <w:b/>
          <w:bCs/>
          <w:color w:val="4A6FA5"/>
          <w:sz w:val="22"/>
          <w:szCs w:val="22"/>
        </w:rPr>
        <w:t xml:space="preserve">10.3.a Inherited Deficit Transition Threshold: </w:t>
      </w:r>
      <w:r>
        <w:rPr>
          <w:rFonts w:ascii="Arial" w:cs="Arial" w:eastAsia="Arial" w:hAnsi="Arial"/>
          <w:color w:val="000000"/>
          <w:sz w:val="22"/>
          <w:szCs w:val="22"/>
        </w:rPr>
        <w:t>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pPr>
      <w:r>
        <w:rPr>
          <w:rFonts w:ascii="Arial" w:cs="Arial" w:eastAsia="Arial" w:hAnsi="Arial"/>
          <w:color w:val="000000"/>
          <w:sz w:val="22"/>
          <w:szCs w:val="22"/>
        </w:rPr>
        <w:t>The Republic may not spend beyond projected revenue in any fiscal year without a 3/4 vote of both chambers.</w:t>
      </w:r>
    </w:p>
    <w:p>
      <w:pPr>
        <w:spacing w:after="60" w:before="60"/>
        <w:ind w:left="720" w:hanging="360"/>
      </w:pPr>
      <w:r>
        <w:rPr>
          <w:rFonts w:ascii="Arial" w:cs="Arial" w:eastAsia="Arial" w:hAnsi="Arial"/>
          <w:b/>
          <w:bCs/>
          <w:color w:val="4A6FA5"/>
          <w:sz w:val="22"/>
          <w:szCs w:val="22"/>
        </w:rPr>
        <w:t xml:space="preserve">10.3.b BNF and Contraction Exemptions: </w:t>
      </w:r>
      <w:r>
        <w:rPr>
          <w:rFonts w:ascii="Arial" w:cs="Arial" w:eastAsia="Arial" w:hAnsi="Arial"/>
          <w:color w:val="000000"/>
          <w:sz w:val="22"/>
          <w:szCs w:val="22"/>
        </w:rPr>
        <w:t>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spacing w:after="0" w:before="120"/>
      </w:pPr>
      <w:r>
        <w:t xml:space="preserve"/>
      </w:r>
    </w:p>
    <w:p>
      <w:pPr>
        <w:pStyle w:val="Heading2"/>
        <w:spacing w:after="80" w:before="200"/>
      </w:pPr>
      <w:r>
        <w:rPr>
          <w:rFonts w:ascii="Arial" w:cs="Arial" w:eastAsia="Arial" w:hAnsi="Arial"/>
          <w:b/>
          <w:bCs/>
          <w:color w:val="4A6FA5"/>
          <w:sz w:val="24"/>
          <w:szCs w:val="24"/>
        </w:rPr>
        <w:t>Section 10.4 — The Monetary Authority</w:t>
      </w:r>
    </w:p>
    <w:p>
      <w:pPr>
        <w:spacing w:after="60" w:before="60"/>
        <w:ind w:left="720" w:hanging="360"/>
      </w:pPr>
      <w:r>
        <w:rPr>
          <w:b/>
        </w:rPr>
        <w:t xml:space="preserve">10.4.a Director Election and Board Composition: </w:t>
      </w:r>
      <w:r>
        <w:t>The Monetary Authority is governed by a Director and a board of five members. The Director is elected by national Ranked Choice Voting on National Election Day to a single non-renewable 7-year term, staggered from the board member appointment cycle. 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PM may remove an acting board member within 90 days of assumption; after 90 days removal requires a simple Senate majority; after 180 days removal requires the full 2/3 both chambers plus EI dereliction finding standard. Confirmation by the Senate at any time converts acting status to permanent appointment and the full term begins from the date of confirmation. Removal of a confirmed board member requires a 2/3 vote of both chambers simultaneously and a documented finding of dereliction by the Executive Inspectorate. 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 Upon any mid-term vacancy in a board member role, the PM nominates a replacement within 60 days and the acting officer escalation framework applies.</w:t>
      </w:r>
    </w:p>
    <w:p>
      <w:pPr>
        <w:spacing w:after="60" w:before="60"/>
        <w:ind w:left="720" w:hanging="360"/>
      </w:pPr>
      <w:r>
        <w:rPr>
          <w:b/>
        </w:rPr>
        <w:t xml:space="preserve">10.4.b Independence: </w:t>
      </w:r>
      <w:r>
        <w:t>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commits a Rule Violation.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ind w:left="720" w:hanging="360"/>
      </w:pPr>
      <w:r>
        <w:rPr>
          <w:rFonts w:ascii="Arial" w:cs="Arial" w:eastAsia="Arial" w:hAnsi="Arial"/>
          <w:b/>
          <w:bCs/>
          <w:color w:val="4A6FA5"/>
          <w:sz w:val="22"/>
          <w:szCs w:val="22"/>
        </w:rPr>
        <w:t xml:space="preserve">10.4.c Transparency: </w:t>
      </w:r>
      <w:r>
        <w:rPr>
          <w:rFonts w:ascii="Arial" w:cs="Arial" w:eastAsia="Arial" w:hAnsi="Arial"/>
          <w:color w:val="000000"/>
          <w:sz w:val="22"/>
          <w:szCs w:val="22"/>
        </w:rPr>
        <w:t>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ind w:left="720" w:hanging="360"/>
      </w:pPr>
      <w:r>
        <w:rPr>
          <w:rFonts w:ascii="Arial" w:cs="Arial" w:eastAsia="Arial" w:hAnsi="Arial"/>
          <w:b/>
          <w:bCs/>
          <w:color w:val="4A6FA5"/>
          <w:sz w:val="22"/>
          <w:szCs w:val="22"/>
        </w:rPr>
        <w:t xml:space="preserve">10.4.d Methodology Integrity: </w:t>
      </w:r>
      <w:r>
        <w:rPr>
          <w:rFonts w:ascii="Arial" w:cs="Arial" w:eastAsia="Arial" w:hAnsi="Arial"/>
          <w:color w:val="000000"/>
          <w:sz w:val="22"/>
          <w:szCs w:val="22"/>
        </w:rPr>
        <w:t>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ind w:left="720" w:hanging="360"/>
      </w:pPr>
      <w:r>
        <w:rPr>
          <w:rFonts w:ascii="Arial" w:cs="Arial" w:eastAsia="Arial" w:hAnsi="Arial"/>
          <w:b/>
          <w:bCs/>
          <w:color w:val="4A6FA5"/>
          <w:sz w:val="22"/>
          <w:szCs w:val="22"/>
        </w:rPr>
        <w:t xml:space="preserve">10.4.e Uncertifiable Inherited Fiscal Position: </w:t>
      </w:r>
      <w:r>
        <w:rPr>
          <w:rFonts w:ascii="Arial" w:cs="Arial" w:eastAsia="Arial" w:hAnsi="Arial"/>
          <w:color w:val="000000"/>
          <w:sz w:val="22"/>
          <w:szCs w:val="22"/>
        </w:rPr>
        <w:t>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10.5 — Official Ethics Provisions</w:t>
      </w:r>
    </w:p>
    <w:p>
      <w:pPr>
        <w:spacing w:after="60" w:before="60"/>
        <w:ind w:left="720" w:hanging="360"/>
      </w:pPr>
      <w:r>
        <w:rPr>
          <w:rFonts w:ascii="Arial" w:cs="Arial" w:eastAsia="Arial" w:hAnsi="Arial"/>
          <w:b/>
          <w:bCs/>
          <w:color w:val="4A6FA5"/>
          <w:sz w:val="22"/>
          <w:szCs w:val="22"/>
        </w:rPr>
        <w:t xml:space="preserve">10.5.a Official Benefits: </w:t>
      </w:r>
      <w:r>
        <w:rPr>
          <w:rFonts w:ascii="Arial" w:cs="Arial" w:eastAsia="Arial" w:hAnsi="Arial"/>
          <w:color w:val="000000"/>
          <w:sz w:val="22"/>
          <w:szCs w:val="22"/>
        </w:rPr>
        <w:t>The Republic provides standardized housing for officials in session — no luxury stipends. All officials use the same healthcare, retirement, and public infrastructure as the citizens they serve. Compensation is defined by House statute under §10.6.</w:t>
      </w:r>
    </w:p>
    <w:p>
      <w:pPr>
        <w:spacing w:after="60" w:before="60"/>
        <w:ind w:left="720" w:hanging="360"/>
      </w:pPr>
      <w:r>
        <w:t>10.5.b Financial Disclosure: 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a Rule Violation. the Legislature defines by statute the specific content requirements, the de minimis thresholds, and the verification process, consistent with this section.</w:t>
      </w:r>
    </w:p>
    <w:p>
      <w:pPr>
        <w:spacing w:after="60" w:before="60"/>
        <w:ind w:left="720" w:hanging="360"/>
      </w:pPr>
      <w:r>
        <w:rPr>
          <w:rFonts w:ascii="Arial" w:cs="Arial" w:eastAsia="Arial" w:hAnsi="Arial"/>
          <w:b/>
          <w:bCs/>
          <w:color w:val="4A6FA5"/>
          <w:sz w:val="22"/>
          <w:szCs w:val="22"/>
        </w:rPr>
        <w:t xml:space="preserve">10.5.c Integrity Bans: </w:t>
      </w:r>
      <w:r>
        <w:rPr>
          <w:rFonts w:ascii="Arial" w:cs="Arial" w:eastAsia="Arial" w:hAnsi="Arial"/>
          <w:color w:val="000000"/>
          <w:sz w:val="22"/>
          <w:szCs w:val="22"/>
        </w:rPr>
        <w:t>Officials are subject to a post-service lobbying ban of not less than five years, as the Legislature may extend by statute. Violation triggers permanent forfeiture of all public pensions and benefits.</w:t>
      </w:r>
    </w:p>
    <w:p>
      <w:pPr>
        <w:spacing w:after="60" w:before="60"/>
        <w:ind w:left="720" w:hanging="360"/>
      </w:pPr>
      <w:r>
        <w:rPr>
          <w:rFonts w:ascii="Arial" w:cs="Arial" w:eastAsia="Arial" w:hAnsi="Arial"/>
          <w:b/>
          <w:bCs/>
          <w:color w:val="4A6FA5"/>
          <w:sz w:val="22"/>
          <w:szCs w:val="22"/>
        </w:rPr>
        <w:t xml:space="preserve">10.5.d Anti-Ego Provision: </w:t>
      </w:r>
      <w:r>
        <w:rPr>
          <w:rFonts w:ascii="Arial" w:cs="Arial" w:eastAsia="Arial" w:hAnsi="Arial"/>
          <w:color w:val="000000"/>
          <w:sz w:val="22"/>
          <w:szCs w:val="22"/>
        </w:rPr>
        <w:t>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ind w:left="720" w:hanging="360"/>
      </w:pPr>
      <w:r>
        <w:rPr>
          <w:rFonts w:ascii="Arial" w:cs="Arial" w:eastAsia="Arial" w:hAnsi="Arial"/>
          <w:b/>
          <w:bCs/>
          <w:color w:val="4A6FA5"/>
          <w:sz w:val="22"/>
          <w:szCs w:val="22"/>
        </w:rPr>
        <w:t xml:space="preserve">10.5.e Official Records Belong to the Republic: </w:t>
      </w:r>
      <w:r>
        <w:rPr>
          <w:rFonts w:ascii="Arial" w:cs="Arial" w:eastAsia="Arial" w:hAnsi="Arial"/>
          <w:color w:val="000000"/>
          <w:sz w:val="22"/>
          <w:szCs w:val="22"/>
        </w:rPr>
        <w:t>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commits a Rule Violation; recoverable records are subject to forfeiture to the Republic regardless of where they are found.</w:t>
      </w:r>
    </w:p>
    <w:p>
      <w:pPr>
        <w:spacing w:after="60" w:before="60"/>
        <w:ind w:left="720" w:hanging="360"/>
      </w:pPr>
      <w:r>
        <w:rPr>
          <w:rFonts w:ascii="Arial" w:cs="Arial" w:eastAsia="Arial" w:hAnsi="Arial"/>
          <w:b/>
          <w:bCs/>
          <w:color w:val="4A6FA5"/>
          <w:sz w:val="22"/>
          <w:szCs w:val="22"/>
        </w:rPr>
        <w:t xml:space="preserve">10.5.f Official Gifts: </w:t>
      </w:r>
      <w:r>
        <w:rPr>
          <w:rFonts w:ascii="Arial" w:cs="Arial" w:eastAsia="Arial" w:hAnsi="Arial"/>
          <w:color w:val="000000"/>
          <w:sz w:val="22"/>
          <w:szCs w:val="22"/>
        </w:rPr>
        <w:t>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a Rule Violation.</w:t>
      </w:r>
    </w:p>
    <w:p>
      <w:pPr>
        <w:spacing w:after="60" w:before="60"/>
        <w:ind w:left="720" w:hanging="360"/>
      </w:pPr>
      <w:r>
        <w:rPr>
          <w:rFonts w:ascii="Arial" w:cs="Arial" w:eastAsia="Arial" w:hAnsi="Arial"/>
          <w:b/>
          <w:bCs/>
          <w:color w:val="4A6FA5"/>
          <w:sz w:val="22"/>
          <w:szCs w:val="22"/>
        </w:rPr>
        <w:t xml:space="preserve">10.5.g Official Intellectual Property: </w:t>
      </w:r>
      <w:r>
        <w:rPr>
          <w:rFonts w:ascii="Arial" w:cs="Arial" w:eastAsia="Arial" w:hAnsi="Arial"/>
          <w:color w:val="000000"/>
          <w:sz w:val="22"/>
          <w:szCs w:val="22"/>
        </w:rPr>
        <w:t>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commits a Rule Violation.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10.5.h Oath of Office Requirement: </w:t>
      </w:r>
      <w:r>
        <w:rPr>
          <w:rFonts w:ascii="Arial" w:cs="Arial" w:eastAsia="Arial" w:hAnsi="Arial"/>
          <w:color w:val="000000"/>
          <w:sz w:val="22"/>
          <w:szCs w:val="22"/>
        </w:rPr>
        <w:t>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commits a Rule Violation for each act taken without oath.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spacing w:after="0" w:before="120"/>
      </w:pPr>
      <w:r>
        <w:t xml:space="preserve"/>
      </w:r>
    </w:p>
    <w:p>
      <w:pPr>
        <w:pStyle w:val="Heading2"/>
        <w:spacing w:after="80" w:before="200"/>
      </w:pPr>
      <w:r>
        <w:rPr>
          <w:rFonts w:ascii="Arial" w:cs="Arial" w:eastAsia="Arial" w:hAnsi="Arial"/>
          <w:b/>
          <w:bCs/>
          <w:color w:val="4A6FA5"/>
          <w:sz w:val="24"/>
          <w:szCs w:val="24"/>
        </w:rPr>
        <w:t>Section 10.6 — Citizen Duties</w:t>
      </w:r>
    </w:p>
    <w:p>
      <w:pPr>
        <w:spacing w:after="60" w:before="60"/>
        <w:ind w:left="720" w:hanging="360"/>
      </w:pPr>
      <w:r>
        <w:rPr>
          <w:rFonts w:ascii="Arial" w:cs="Arial" w:eastAsia="Arial" w:hAnsi="Arial"/>
          <w:b/>
          <w:bCs/>
          <w:color w:val="4A6FA5"/>
          <w:sz w:val="22"/>
          <w:szCs w:val="22"/>
        </w:rPr>
        <w:t xml:space="preserve">10.6.a Jury Duty: </w:t>
      </w:r>
      <w:r>
        <w:rPr>
          <w:rFonts w:ascii="Arial" w:cs="Arial" w:eastAsia="Arial" w:hAnsi="Arial"/>
          <w:color w:val="000000"/>
          <w:sz w:val="22"/>
          <w:szCs w:val="22"/>
        </w:rPr>
        <w:t>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ind w:left="720" w:hanging="360"/>
      </w:pPr>
      <w:r>
        <w:rPr>
          <w:rFonts w:ascii="Arial" w:cs="Arial" w:eastAsia="Arial" w:hAnsi="Arial"/>
          <w:b/>
          <w:bCs/>
          <w:color w:val="4A6FA5"/>
          <w:sz w:val="22"/>
          <w:szCs w:val="22"/>
        </w:rPr>
        <w:t xml:space="preserve">10.6.b Defense Readiness and Veterans Obligations: </w:t>
      </w:r>
      <w:r>
        <w:rPr>
          <w:rFonts w:ascii="Arial" w:cs="Arial" w:eastAsia="Arial" w:hAnsi="Arial"/>
          <w:color w:val="000000"/>
          <w:sz w:val="22"/>
          <w:szCs w:val="22"/>
        </w:rPr>
        <w:t>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Style w:val="Heading2"/>
        <w:spacing w:after="80" w:before="200"/>
      </w:pPr>
      <w:r>
        <w:rPr>
          <w:rFonts w:ascii="Arial" w:cs="Arial" w:eastAsia="Arial" w:hAnsi="Arial"/>
          <w:b/>
          <w:bCs/>
          <w:color w:val="4A6FA5"/>
          <w:sz w:val="24"/>
          <w:szCs w:val="24"/>
        </w:rPr>
        <w:t>Section 10.7 — Compensation of Public Officials</w:t>
      </w:r>
    </w:p>
    <w:p>
      <w:pPr>
        <w:spacing w:after="60" w:before="60"/>
      </w:pPr>
      <w:r>
        <w:rPr>
          <w:rFonts w:ascii="Arial" w:cs="Arial" w:eastAsia="Arial" w:hAnsi="Arial"/>
          <w:color w:val="000000"/>
          <w:sz w:val="22"/>
          <w:szCs w:val="22"/>
        </w:rPr>
        <w:t>No government official may set their own compensation or the compensation of their direct supervisors. All official compensation is set by House statute and is public record on the National Record System.</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 — DIRECT DEMOCRACY</w:t>
      </w:r>
    </w:p>
    <w:p>
      <w:pPr>
        <w:spacing w:after="0" w:before="120"/>
      </w:pPr>
      <w:r>
        <w:t xml:space="preserve"/>
      </w:r>
    </w:p>
    <w:p>
      <w:pPr>
        <w:pStyle w:val="Heading2"/>
        <w:spacing w:after="80" w:before="200"/>
      </w:pPr>
      <w:r>
        <w:rPr>
          <w:rFonts w:ascii="Arial" w:cs="Arial" w:eastAsia="Arial" w:hAnsi="Arial"/>
          <w:b/>
          <w:bCs/>
          <w:color w:val="4A6FA5"/>
          <w:sz w:val="24"/>
          <w:szCs w:val="24"/>
        </w:rPr>
        <w:t>Section 11.1 — The Optional Referendum</w:t>
      </w:r>
    </w:p>
    <w:p>
      <w:pPr>
        <w:spacing w:after="60" w:before="60"/>
        <w:ind w:left="720" w:hanging="360"/>
      </w:pPr>
      <w:r>
        <w:rPr>
          <w:rFonts w:ascii="Arial" w:cs="Arial" w:eastAsia="Arial" w:hAnsi="Arial"/>
          <w:b/>
          <w:bCs/>
          <w:color w:val="4A6FA5"/>
          <w:sz w:val="22"/>
          <w:szCs w:val="22"/>
        </w:rPr>
        <w:t xml:space="preserve">11.1.a Citizen Petition Right: </w:t>
      </w:r>
      <w:r>
        <w:rPr>
          <w:rFonts w:ascii="Arial" w:cs="Arial" w:eastAsia="Arial" w:hAnsi="Arial"/>
          <w:color w:val="000000"/>
          <w:sz w:val="22"/>
          <w:szCs w:val="22"/>
        </w:rPr>
        <w:t>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ind w:left="720" w:hanging="360"/>
      </w:pPr>
      <w:r>
        <w:rPr>
          <w:rFonts w:ascii="Arial" w:cs="Arial" w:eastAsia="Arial" w:hAnsi="Arial"/>
          <w:b/>
          <w:bCs/>
          <w:color w:val="4A6FA5"/>
          <w:sz w:val="22"/>
          <w:szCs w:val="22"/>
        </w:rPr>
        <w:t xml:space="preserve">11.1.b Eligibility Screen: </w:t>
      </w:r>
      <w:r>
        <w:rPr>
          <w:rFonts w:ascii="Arial" w:cs="Arial" w:eastAsia="Arial" w:hAnsi="Arial"/>
          <w:color w:val="000000"/>
          <w:sz w:val="22"/>
          <w:szCs w:val="22"/>
        </w:rPr>
        <w:t>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11.2 — Subsidiarity and Local Government</w:t>
      </w:r>
    </w:p>
    <w:p>
      <w:pPr>
        <w:spacing w:after="60" w:before="60"/>
        <w:ind w:left="720" w:hanging="360"/>
      </w:pPr>
      <w:r>
        <w:rPr>
          <w:rFonts w:ascii="Arial" w:cs="Arial" w:eastAsia="Arial" w:hAnsi="Arial"/>
          <w:b/>
          <w:bCs/>
          <w:color w:val="4A6FA5"/>
          <w:sz w:val="22"/>
          <w:szCs w:val="22"/>
        </w:rPr>
        <w:t xml:space="preserve">11.1.c Referendum Thresholds and Finality: </w:t>
      </w:r>
      <w:r>
        <w:rPr>
          <w:rFonts w:ascii="Arial" w:cs="Arial" w:eastAsia="Arial" w:hAnsi="Arial"/>
          <w:color w:val="000000"/>
          <w:sz w:val="22"/>
          <w:szCs w:val="22"/>
        </w:rPr>
        <w:t>A referendum requires 50% participation to be valid. A simple majority affirmative vote overturns the law. A referendum result is final — the Legislature may not overturn it. The same law may not face a referendum within two years of a previous result on that law.</w:t>
      </w:r>
    </w:p>
    <w:p>
      <w:pPr>
        <w:spacing w:after="60" w:before="60"/>
        <w:ind w:left="720" w:hanging="360"/>
      </w:pPr>
      <w:r>
        <w:rPr>
          <w:rFonts w:ascii="Arial" w:cs="Arial" w:eastAsia="Arial" w:hAnsi="Arial"/>
          <w:b/>
          <w:bCs/>
          <w:color w:val="4A6FA5"/>
          <w:sz w:val="22"/>
          <w:szCs w:val="22"/>
        </w:rPr>
        <w:t xml:space="preserve">11.2.a Subsidiarity Principle: </w:t>
      </w:r>
      <w:r>
        <w:rPr>
          <w:rFonts w:ascii="Arial" w:cs="Arial" w:eastAsia="Arial" w:hAnsi="Arial"/>
          <w:color w:val="000000"/>
          <w:sz w:val="22"/>
          <w:szCs w:val="22"/>
        </w:rPr>
        <w:t>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ind w:left="720" w:hanging="360"/>
      </w:pPr>
      <w:r>
        <w:rPr>
          <w:rFonts w:ascii="Arial" w:cs="Arial" w:eastAsia="Arial" w:hAnsi="Arial"/>
          <w:b/>
          <w:bCs/>
          <w:color w:val="4A6FA5"/>
          <w:sz w:val="22"/>
          <w:szCs w:val="22"/>
        </w:rPr>
        <w:t xml:space="preserve">11.2.b Local Government: </w:t>
      </w:r>
      <w:r>
        <w:rPr>
          <w:rFonts w:ascii="Arial" w:cs="Arial" w:eastAsia="Arial" w:hAnsi="Arial"/>
          <w:color w:val="000000"/>
          <w:sz w:val="22"/>
          <w:szCs w:val="22"/>
        </w:rPr>
        <w:t>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XII — NATIONAL DEFENSE</w:t>
      </w:r>
    </w:p>
    <w:p>
      <w:pPr>
        <w:spacing w:after="0" w:before="120"/>
      </w:pPr>
      <w:r>
        <w:t xml:space="preserve"/>
      </w:r>
    </w:p>
    <w:p>
      <w:pPr>
        <w:pStyle w:val="Heading2"/>
        <w:spacing w:after="80" w:before="200"/>
      </w:pPr>
      <w:r>
        <w:rPr>
          <w:rFonts w:ascii="Arial" w:cs="Arial" w:eastAsia="Arial" w:hAnsi="Arial"/>
          <w:b/>
          <w:bCs/>
          <w:color w:val="4A6FA5"/>
          <w:sz w:val="24"/>
          <w:szCs w:val="24"/>
        </w:rPr>
        <w:t>Section 12.1 — Authorized Purposes for Military Force</w:t>
      </w:r>
    </w:p>
    <w:p>
      <w:pPr>
        <w:spacing w:after="60" w:before="60"/>
      </w:pPr>
      <w:r>
        <w:rPr>
          <w:rFonts w:ascii="Arial" w:cs="Arial" w:eastAsia="Arial" w:hAnsi="Arial"/>
          <w:color w:val="000000"/>
          <w:sz w:val="22"/>
          <w:szCs w:val="22"/>
        </w:rPr>
        <w:t>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pPr>
      <w:r>
        <w:rPr>
          <w:rFonts w:ascii="Arial" w:cs="Arial" w:eastAsia="Arial" w:hAnsi="Arial"/>
          <w:color w:val="000000"/>
          <w:sz w:val="22"/>
          <w:szCs w:val="22"/>
        </w:rPr>
        <w:t>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spacing w:after="0" w:before="120"/>
      </w:pPr>
      <w:r>
        <w:t xml:space="preserve"/>
      </w:r>
    </w:p>
    <w:p>
      <w:pPr>
        <w:pStyle w:val="Heading2"/>
        <w:spacing w:after="80" w:before="200"/>
      </w:pPr>
      <w:r>
        <w:rPr>
          <w:rFonts w:ascii="Arial" w:cs="Arial" w:eastAsia="Arial" w:hAnsi="Arial"/>
          <w:b/>
          <w:bCs/>
          <w:color w:val="4A6FA5"/>
          <w:sz w:val="24"/>
          <w:szCs w:val="24"/>
        </w:rPr>
        <w:t>Section 12.2 — Military Authorization Tiers</w:t>
      </w:r>
    </w:p>
    <w:p>
      <w:pPr>
        <w:spacing w:after="60" w:before="60"/>
      </w:pPr>
      <w:r>
        <w:rPr>
          <w:rFonts w:ascii="Arial" w:cs="Arial" w:eastAsia="Arial" w:hAnsi="Arial"/>
          <w:color w:val="000000"/>
          <w:sz w:val="22"/>
          <w:szCs w:val="22"/>
        </w:rPr>
        <w:t>All military operations are authorized under one of three tiers as defined in §2.1.a through §2.1.c. This section governs the Legislative Declaration of Defense — Tier 3, the highest level of military authorization, requiring a 2/3 majority of both chambers and used for operations extending beyond 30 days — and its duration, renewal, and limitations.</w:t>
      </w:r>
    </w:p>
    <w:p>
      <w:pPr>
        <w:spacing w:after="60" w:before="60"/>
        <w:ind w:left="720" w:hanging="360"/>
      </w:pPr>
      <w:r>
        <w:rPr>
          <w:rFonts w:ascii="Arial" w:cs="Arial" w:eastAsia="Arial" w:hAnsi="Arial"/>
          <w:b/>
          <w:bCs/>
          <w:color w:val="4A6FA5"/>
          <w:sz w:val="22"/>
          <w:szCs w:val="22"/>
        </w:rPr>
        <w:t xml:space="preserve">12.2.a Legislative Declaration of Defense: </w:t>
      </w:r>
      <w:r>
        <w:rPr>
          <w:rFonts w:ascii="Arial" w:cs="Arial" w:eastAsia="Arial" w:hAnsi="Arial"/>
          <w:color w:val="000000"/>
          <w:sz w:val="22"/>
          <w:szCs w:val="22"/>
        </w:rPr>
        <w:t>A Legislative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ind w:left="720" w:hanging="360"/>
      </w:pPr>
      <w:r>
        <w:rPr>
          <w:rFonts w:ascii="Arial" w:cs="Arial" w:eastAsia="Arial" w:hAnsi="Arial"/>
          <w:b/>
          <w:bCs/>
          <w:color w:val="4A6FA5"/>
          <w:sz w:val="22"/>
          <w:szCs w:val="22"/>
        </w:rPr>
        <w:t xml:space="preserve">12.2.b Five-Year Maximum: </w:t>
      </w:r>
      <w:r>
        <w:rPr>
          <w:rFonts w:ascii="Arial" w:cs="Arial" w:eastAsia="Arial" w:hAnsi="Arial"/>
          <w:color w:val="000000"/>
          <w:sz w:val="22"/>
          <w:szCs w:val="22"/>
        </w:rPr>
        <w:t>A Legislative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ind w:left="720" w:hanging="360"/>
      </w:pPr>
      <w:r>
        <w:rPr>
          <w:rFonts w:ascii="Arial" w:cs="Arial" w:eastAsia="Arial" w:hAnsi="Arial"/>
          <w:b/>
          <w:bCs/>
          <w:color w:val="4A6FA5"/>
          <w:sz w:val="22"/>
          <w:szCs w:val="22"/>
        </w:rPr>
        <w:t xml:space="preserve">12.2.c Successive Declaration Standard: </w:t>
      </w:r>
      <w:r>
        <w:rPr>
          <w:rFonts w:ascii="Arial" w:cs="Arial" w:eastAsia="Arial" w:hAnsi="Arial"/>
          <w:color w:val="000000"/>
          <w:sz w:val="22"/>
          <w:szCs w:val="22"/>
        </w:rPr>
        <w:t>A new Legislative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Legislature standing oversight committees; the Legislature may initiate proceedings within 60 days. This provision does not prevent genuine re-declarations where circumstances have materially changed.</w:t>
      </w:r>
    </w:p>
    <w:p>
      <w:pPr>
        <w:spacing w:after="60" w:before="60"/>
        <w:ind w:left="720" w:hanging="360"/>
      </w:pPr>
      <w:r>
        <w:rPr>
          <w:rFonts w:ascii="Arial" w:cs="Arial" w:eastAsia="Arial" w:hAnsi="Arial"/>
          <w:b/>
          <w:bCs/>
          <w:color w:val="4A6FA5"/>
          <w:sz w:val="22"/>
          <w:szCs w:val="22"/>
        </w:rPr>
        <w:t xml:space="preserve">12.2.d Senate Armed Services Committee: </w:t>
      </w:r>
      <w:r>
        <w:rPr>
          <w:rFonts w:ascii="Arial" w:cs="Arial" w:eastAsia="Arial" w:hAnsi="Arial"/>
          <w:color w:val="000000"/>
          <w:sz w:val="22"/>
          <w:szCs w:val="22"/>
        </w:rPr>
        <w:t>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Legislative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Rule Violation for any commissioned officer who issues or follows orders from the non-Court-identified claimant after that 6-hour period.</w:t>
      </w:r>
    </w:p>
    <w:p>
      <w:pPr>
        <w:spacing w:after="60" w:before="60"/>
        <w:ind w:left="720" w:hanging="360"/>
      </w:pPr>
      <w:r>
        <w:rPr>
          <w:rFonts w:ascii="Arial" w:cs="Arial" w:eastAsia="Arial" w:hAnsi="Arial"/>
          <w:b/>
          <w:bCs/>
          <w:color w:val="4A6FA5"/>
          <w:sz w:val="22"/>
          <w:szCs w:val="22"/>
        </w:rPr>
        <w:t xml:space="preserve">12.2.e Military Authority During Presidential Succession Vacuum: </w:t>
      </w:r>
      <w:r>
        <w:rPr>
          <w:rFonts w:ascii="Arial" w:cs="Arial" w:eastAsia="Arial" w:hAnsi="Arial"/>
          <w:color w:val="000000"/>
          <w:sz w:val="22"/>
          <w:szCs w:val="22"/>
        </w:rPr>
        <w:t>Where the presidential succession line under §2.6.a is fully exhausted and no living constitutional officer has presidential authority, the Chairman of the Joint Chiefs of Staff is constitutionally authorized to continue military operations already underway at the precise moment the succession vacuum begins, and to issue orders strictly necessary to protect Republic forces from active, immediate attack — meaning return fire and immediate defensive maneuvering only. The Chairman may not initiate, reposition, or escalate beyond ongoing operations. All orders issued under this provision are published to the National Record System within one hour of issuance and are subject to immediate Supreme Court review on petition. This authority terminates after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legislative review upon reconstitution of civilian authority. This authority terminates immediately and automatically upon any constitutional successor assuming presidential authority under §2.6.a or by expedited §2.8 Senate emergency resolution.</w:t>
      </w:r>
    </w:p>
    <w:p>
      <w:pPr>
        <w:spacing w:after="0" w:before="120"/>
      </w:pPr>
      <w:r>
        <w:t xml:space="preserve"/>
      </w:r>
    </w:p>
    <w:p>
      <w:pPr>
        <w:pStyle w:val="Heading2"/>
        <w:spacing w:after="80" w:before="200"/>
      </w:pPr>
      <w:r>
        <w:rPr>
          <w:rFonts w:ascii="Arial" w:cs="Arial" w:eastAsia="Arial" w:hAnsi="Arial"/>
          <w:b/>
          <w:bCs/>
          <w:color w:val="4A6FA5"/>
          <w:sz w:val="24"/>
          <w:szCs w:val="24"/>
        </w:rPr>
        <w:t>Section 12.3 — Intelligence Firewall</w:t>
      </w:r>
    </w:p>
    <w:p>
      <w:pPr>
        <w:spacing w:after="60" w:before="60"/>
      </w:pPr>
      <w:r>
        <w:rPr>
          <w:rFonts w:ascii="Arial" w:cs="Arial" w:eastAsia="Arial" w:hAnsi="Arial"/>
          <w:color w:val="000000"/>
          <w:sz w:val="22"/>
          <w:szCs w:val="22"/>
        </w:rPr>
        <w:t>All domestic intelligence operations against Republic citizens are permanently prohibited. Any such order may trigger Rule Violation proceedings against the President and Director of Intelligence under §2.7, triggering immediate suspension and a Senate trial within a period the Legislature defines by statute, not to exceed 7 days.</w:t>
      </w:r>
    </w:p>
    <w:p>
      <w:pPr>
        <w:spacing w:after="0" w:before="120"/>
      </w:pPr>
      <w:r>
        <w:t xml:space="preserve"/>
      </w:r>
    </w:p>
    <w:p>
      <w:pPr>
        <w:pStyle w:val="Heading2"/>
        <w:spacing w:after="80" w:before="200"/>
      </w:pPr>
      <w:r>
        <w:rPr>
          <w:rFonts w:ascii="Arial" w:cs="Arial" w:eastAsia="Arial" w:hAnsi="Arial"/>
          <w:b/>
          <w:bCs/>
          <w:color w:val="4A6FA5"/>
          <w:sz w:val="24"/>
          <w:szCs w:val="24"/>
        </w:rPr>
        <w:t>Section 12.4 — Post-Conflict Obligations</w:t>
      </w:r>
    </w:p>
    <w:p>
      <w:pPr>
        <w:spacing w:after="60" w:before="60"/>
      </w:pPr>
      <w:r>
        <w:rPr>
          <w:rFonts w:ascii="Arial" w:cs="Arial" w:eastAsia="Arial" w:hAnsi="Arial"/>
          <w:color w:val="000000"/>
          <w:sz w:val="22"/>
          <w:szCs w:val="22"/>
        </w:rPr>
        <w:t>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spacing w:after="0" w:before="120"/>
      </w:pPr>
      <w:r>
        <w:t xml:space="preserve"/>
      </w:r>
    </w:p>
    <w:p>
      <w:pPr>
        <w:pStyle w:val="Heading2"/>
        <w:spacing w:after="80" w:before="200"/>
      </w:pPr>
      <w:r>
        <w:rPr>
          <w:rFonts w:ascii="Arial" w:cs="Arial" w:eastAsia="Arial" w:hAnsi="Arial"/>
          <w:b/>
          <w:bCs/>
          <w:color w:val="4A6FA5"/>
          <w:sz w:val="24"/>
          <w:szCs w:val="24"/>
        </w:rPr>
        <w:t>Section 12.5 — Treaty-Triggered Military Obligations</w:t>
      </w:r>
    </w:p>
    <w:p>
      <w:pPr>
        <w:spacing w:after="60" w:before="60"/>
      </w:pPr>
      <w:r>
        <w:rPr>
          <w:rFonts w:ascii="Arial" w:cs="Arial" w:eastAsia="Arial" w:hAnsi="Arial"/>
          <w:color w:val="000000"/>
          <w:sz w:val="22"/>
          <w:szCs w:val="22"/>
        </w:rPr>
        <w:t>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ind w:left="720" w:hanging="360"/>
      </w:pPr>
      <w:r>
        <w:rPr>
          <w:rFonts w:ascii="Arial" w:cs="Arial" w:eastAsia="Arial" w:hAnsi="Arial"/>
          <w:b/>
          <w:bCs/>
          <w:color w:val="4A6FA5"/>
          <w:sz w:val="22"/>
          <w:szCs w:val="22"/>
        </w:rPr>
        <w:t xml:space="preserve">12.5.a Treaty Emergency Certification: </w:t>
      </w:r>
      <w:r>
        <w:rPr>
          <w:rFonts w:ascii="Arial" w:cs="Arial" w:eastAsia="Arial" w:hAnsi="Arial"/>
          <w:color w:val="000000"/>
          <w:sz w:val="22"/>
          <w:szCs w:val="22"/>
        </w:rPr>
        <w:t>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the Legislature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the Legislature votes on ratification so the Legislature acts with full public information.</w:t>
      </w:r>
    </w:p>
    <w:p>
      <w:pPr>
        <w:spacing w:after="60" w:before="60"/>
        <w:ind w:left="720" w:hanging="360"/>
      </w:pPr>
      <w:r>
        <w:rPr>
          <w:rFonts w:ascii="Arial" w:cs="Arial" w:eastAsia="Arial" w:hAnsi="Arial"/>
          <w:b/>
          <w:bCs/>
          <w:color w:val="4A6FA5"/>
          <w:sz w:val="22"/>
          <w:szCs w:val="22"/>
        </w:rPr>
        <w:t xml:space="preserve">12.5.b Legislative Ratification: </w:t>
      </w:r>
      <w:r>
        <w:rPr>
          <w:rFonts w:ascii="Arial" w:cs="Arial" w:eastAsia="Arial" w:hAnsi="Arial"/>
          <w:color w:val="000000"/>
          <w:sz w:val="22"/>
          <w:szCs w:val="22"/>
        </w:rPr>
        <w:t>the Legislature must ratify the Treaty Emergency Certification by a simple majority of both chambers within a period the Legislature defines by statute, or the Certification expires. the Legislature may not schedule a ratification vote until the LI/EI joint review under §12.5.a has been published, or until the statutory waiting period has elapsed without publication. the Legislature may ratify before the review is published by an elevated majority the Legislature defines by statute, acknowledging it acts without the advisory review. Ratification of the Certification does not constitute a Legislative Declaration of Defense under §2.1.c; a separate Declaration is required if operations extend beyond 30 days. the Legislature must by statute establish the waiting period before ratification, the elevated majority for early ratification, and the content requirements for the ratification resolution.</w:t>
      </w:r>
    </w:p>
    <w:p>
      <w:pPr>
        <w:spacing w:after="60" w:before="60"/>
        <w:ind w:left="720" w:hanging="360"/>
      </w:pPr>
      <w:r>
        <w:rPr>
          <w:rFonts w:ascii="Arial" w:cs="Arial" w:eastAsia="Arial" w:hAnsi="Arial"/>
          <w:b/>
          <w:bCs/>
          <w:color w:val="4A6FA5"/>
          <w:sz w:val="22"/>
          <w:szCs w:val="22"/>
        </w:rPr>
        <w:t xml:space="preserve">12.5.c No Blank Check: </w:t>
      </w:r>
      <w:r>
        <w:rPr>
          <w:rFonts w:ascii="Arial" w:cs="Arial" w:eastAsia="Arial" w:hAnsi="Arial"/>
          <w:color w:val="000000"/>
          <w:sz w:val="22"/>
          <w:szCs w:val="22"/>
        </w:rPr>
        <w:t>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XIII — NATIONAL EXPANSION AND STATE DEVOLUTION</w:t>
      </w:r>
    </w:p>
    <w:p>
      <w:pPr>
        <w:spacing w:after="0" w:before="120"/>
      </w:pPr>
      <w:r>
        <w:t xml:space="preserve"/>
      </w:r>
    </w:p>
    <w:p>
      <w:pPr>
        <w:pStyle w:val="Heading2"/>
        <w:spacing w:after="80" w:before="200"/>
      </w:pPr>
      <w:r>
        <w:rPr>
          <w:rFonts w:ascii="Arial" w:cs="Arial" w:eastAsia="Arial" w:hAnsi="Arial"/>
          <w:b/>
          <w:bCs/>
          <w:color w:val="4A6FA5"/>
          <w:sz w:val="24"/>
          <w:szCs w:val="24"/>
        </w:rPr>
        <w:t>Section 13.1 — Territorial Compact</w:t>
      </w:r>
    </w:p>
    <w:p>
      <w:pPr>
        <w:spacing w:after="60" w:before="60"/>
      </w:pPr>
      <w:r>
        <w:rPr>
          <w:rFonts w:ascii="Arial" w:cs="Arial" w:eastAsia="Arial" w:hAnsi="Arial"/>
          <w:color w:val="000000"/>
          <w:sz w:val="22"/>
          <w:szCs w:val="22"/>
        </w:rPr>
        <w:t>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spacing w:after="0" w:before="120"/>
      </w:pPr>
      <w:r>
        <w:t xml:space="preserve"/>
      </w:r>
    </w:p>
    <w:p>
      <w:pPr>
        <w:pStyle w:val="Heading2"/>
        <w:spacing w:after="80" w:before="200"/>
      </w:pPr>
      <w:r>
        <w:rPr>
          <w:rFonts w:ascii="Arial" w:cs="Arial" w:eastAsia="Arial" w:hAnsi="Arial"/>
          <w:b/>
          <w:bCs/>
          <w:color w:val="4A6FA5"/>
          <w:sz w:val="24"/>
          <w:szCs w:val="24"/>
        </w:rPr>
        <w:t>Section 13.2 — Requirements for Statehood</w:t>
      </w:r>
    </w:p>
    <w:p>
      <w:pPr>
        <w:spacing w:after="60" w:before="60"/>
      </w:pPr>
      <w:r>
        <w:rPr>
          <w:rFonts w:ascii="Arial" w:cs="Arial" w:eastAsia="Arial" w:hAnsi="Arial"/>
          <w:color w:val="000000"/>
          <w:sz w:val="22"/>
          <w:szCs w:val="22"/>
        </w:rPr>
        <w:t>A territory seeking Statehood must pass a comprehensive Statehood Audit conducted by the Inspectorates, verifying the following criteria:</w:t>
      </w:r>
    </w:p>
    <w:p>
      <w:pPr>
        <w:spacing w:after="60" w:before="60"/>
        <w:ind w:left="720" w:hanging="360"/>
      </w:pPr>
      <w:r>
        <w:rPr>
          <w:rFonts w:ascii="Arial" w:cs="Arial" w:eastAsia="Arial" w:hAnsi="Arial"/>
          <w:b/>
          <w:bCs/>
          <w:color w:val="4A6FA5"/>
          <w:sz w:val="22"/>
          <w:szCs w:val="22"/>
        </w:rPr>
        <w:t xml:space="preserve">13.2.a Fiscal Integrity: </w:t>
      </w:r>
      <w:r>
        <w:rPr>
          <w:rFonts w:ascii="Arial" w:cs="Arial" w:eastAsia="Arial" w:hAnsi="Arial"/>
          <w:color w:val="000000"/>
          <w:sz w:val="22"/>
          <w:szCs w:val="22"/>
        </w:rPr>
        <w:t>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ind w:left="720" w:hanging="360"/>
      </w:pPr>
      <w:r>
        <w:rPr>
          <w:rFonts w:ascii="Arial" w:cs="Arial" w:eastAsia="Arial" w:hAnsi="Arial"/>
          <w:b/>
          <w:bCs/>
          <w:color w:val="4A6FA5"/>
          <w:sz w:val="22"/>
          <w:szCs w:val="22"/>
        </w:rPr>
        <w:t xml:space="preserve">13.2.b Legal Sync: </w:t>
      </w:r>
      <w:r>
        <w:rPr>
          <w:rFonts w:ascii="Arial" w:cs="Arial" w:eastAsia="Arial" w:hAnsi="Arial"/>
          <w:color w:val="000000"/>
          <w:sz w:val="22"/>
          <w:szCs w:val="22"/>
        </w:rPr>
        <w:t>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ind w:left="720" w:hanging="360"/>
      </w:pPr>
      <w:r>
        <w:rPr>
          <w:rFonts w:ascii="Arial" w:cs="Arial" w:eastAsia="Arial" w:hAnsi="Arial"/>
          <w:b/>
          <w:bCs/>
          <w:color w:val="4A6FA5"/>
          <w:sz w:val="22"/>
          <w:szCs w:val="22"/>
        </w:rPr>
        <w:t xml:space="preserve">13.2.c The Provisional Membership Period: </w:t>
      </w:r>
      <w:r>
        <w:rPr>
          <w:rFonts w:ascii="Arial" w:cs="Arial" w:eastAsia="Arial" w:hAnsi="Arial"/>
          <w:color w:val="000000"/>
          <w:sz w:val="22"/>
          <w:szCs w:val="22"/>
        </w:rPr>
        <w:t>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ind w:left="720" w:hanging="360"/>
      </w:pPr>
      <w:r>
        <w:rPr>
          <w:rFonts w:ascii="Arial" w:cs="Arial" w:eastAsia="Arial" w:hAnsi="Arial"/>
          <w:b/>
          <w:bCs/>
          <w:color w:val="4A6FA5"/>
          <w:sz w:val="22"/>
          <w:szCs w:val="22"/>
        </w:rPr>
        <w:t xml:space="preserve">13.2.d Partial Territory Statehood: </w:t>
      </w:r>
      <w:r>
        <w:rPr>
          <w:rFonts w:ascii="Arial" w:cs="Arial" w:eastAsia="Arial" w:hAnsi="Arial"/>
          <w:color w:val="000000"/>
          <w:sz w:val="22"/>
          <w:szCs w:val="22"/>
        </w:rPr>
        <w:t>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ind w:left="720" w:hanging="360"/>
      </w:pPr>
      <w:r>
        <w:rPr>
          <w:rFonts w:ascii="Arial" w:cs="Arial" w:eastAsia="Arial" w:hAnsi="Arial"/>
          <w:b/>
          <w:bCs/>
          <w:color w:val="4A6FA5"/>
          <w:sz w:val="22"/>
          <w:szCs w:val="22"/>
        </w:rPr>
        <w:t xml:space="preserve">13.2.e Minimum Democratic Legitimacy: </w:t>
      </w:r>
      <w:r>
        <w:rPr>
          <w:rFonts w:ascii="Arial" w:cs="Arial" w:eastAsia="Arial" w:hAnsi="Arial"/>
          <w:color w:val="000000"/>
          <w:sz w:val="22"/>
          <w:szCs w:val="22"/>
        </w:rPr>
        <w:t>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ind w:left="720" w:hanging="360"/>
      </w:pPr>
      <w:r>
        <w:rPr>
          <w:rFonts w:ascii="Arial" w:cs="Arial" w:eastAsia="Arial" w:hAnsi="Arial"/>
          <w:b/>
          <w:bCs/>
          <w:color w:val="4A6FA5"/>
          <w:sz w:val="22"/>
          <w:szCs w:val="22"/>
        </w:rPr>
        <w:t xml:space="preserve">13.2.f Territorial Minimum Institutional Floor: </w:t>
      </w:r>
      <w:r>
        <w:rPr>
          <w:rFonts w:ascii="Arial" w:cs="Arial" w:eastAsia="Arial" w:hAnsi="Arial"/>
          <w:color w:val="000000"/>
          <w:sz w:val="22"/>
          <w:szCs w:val="22"/>
        </w:rPr>
        <w:t>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ind w:left="720" w:hanging="360"/>
      </w:pPr>
      <w:r>
        <w:rPr>
          <w:rFonts w:ascii="Arial" w:cs="Arial" w:eastAsia="Arial" w:hAnsi="Arial"/>
          <w:b/>
          <w:bCs/>
          <w:color w:val="4A6FA5"/>
          <w:sz w:val="22"/>
          <w:szCs w:val="22"/>
        </w:rPr>
        <w:t xml:space="preserve">13.2.g Conflict-Affected State Provisional Status: </w:t>
      </w:r>
      <w:r>
        <w:rPr>
          <w:rFonts w:ascii="Arial" w:cs="Arial" w:eastAsia="Arial" w:hAnsi="Arial"/>
          <w:color w:val="000000"/>
          <w:sz w:val="22"/>
          <w:szCs w:val="22"/>
        </w:rPr>
        <w:t>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 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 Provisional status certification requires a joint assessment by all three Inspectorates; no single Inspectorate's finding is sufficient to grant or deny provisional status. 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 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spacing w:after="0" w:before="120"/>
      </w:pPr>
      <w:r>
        <w:t xml:space="preserve"/>
      </w:r>
    </w:p>
    <w:p>
      <w:pPr>
        <w:pStyle w:val="Heading2"/>
        <w:spacing w:after="80" w:before="200"/>
      </w:pPr>
      <w:r>
        <w:rPr>
          <w:rFonts w:ascii="Arial" w:cs="Arial" w:eastAsia="Arial" w:hAnsi="Arial"/>
          <w:b/>
          <w:bCs/>
          <w:color w:val="4A6FA5"/>
          <w:sz w:val="24"/>
          <w:szCs w:val="24"/>
        </w:rPr>
        <w:t>Section 13.3 — Mandatory State Devolution</w:t>
      </w:r>
    </w:p>
    <w:p>
      <w:pPr>
        <w:spacing w:after="60" w:before="60"/>
      </w:pPr>
      <w:r>
        <w:rPr>
          <w:rFonts w:ascii="Arial" w:cs="Arial" w:eastAsia="Arial" w:hAnsi="Arial"/>
          <w:color w:val="000000"/>
          <w:sz w:val="22"/>
          <w:szCs w:val="22"/>
        </w:rPr>
        <w:t>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ind w:left="720" w:hanging="360"/>
      </w:pPr>
      <w:r>
        <w:rPr>
          <w:rFonts w:ascii="Arial" w:cs="Arial" w:eastAsia="Arial" w:hAnsi="Arial"/>
          <w:b/>
          <w:bCs/>
          <w:color w:val="4A6FA5"/>
          <w:sz w:val="22"/>
          <w:szCs w:val="22"/>
        </w:rPr>
        <w:t xml:space="preserve">13.3.a Devolution Triggers: </w:t>
      </w:r>
      <w:r>
        <w:rPr>
          <w:rFonts w:ascii="Arial" w:cs="Arial" w:eastAsia="Arial" w:hAnsi="Arial"/>
          <w:color w:val="000000"/>
          <w:sz w:val="22"/>
          <w:szCs w:val="22"/>
        </w:rPr>
        <w:t>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ind w:left="720" w:hanging="360"/>
      </w:pPr>
      <w:r>
        <w:rPr>
          <w:rFonts w:ascii="Arial" w:cs="Arial" w:eastAsia="Arial" w:hAnsi="Arial"/>
          <w:b/>
          <w:bCs/>
          <w:color w:val="4A6FA5"/>
          <w:sz w:val="22"/>
          <w:szCs w:val="22"/>
        </w:rPr>
        <w:t xml:space="preserve">13.3.b Early Warning — Years 1 and 2: </w:t>
      </w:r>
      <w:r>
        <w:rPr>
          <w:rFonts w:ascii="Arial" w:cs="Arial" w:eastAsia="Arial" w:hAnsi="Arial"/>
          <w:color w:val="000000"/>
          <w:sz w:val="22"/>
          <w:szCs w:val="22"/>
        </w:rPr>
        <w:t>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ind w:left="720" w:hanging="360"/>
      </w:pPr>
      <w:r>
        <w:rPr>
          <w:rFonts w:ascii="Arial" w:cs="Arial" w:eastAsia="Arial" w:hAnsi="Arial"/>
          <w:b/>
          <w:bCs/>
          <w:color w:val="4A6FA5"/>
          <w:sz w:val="22"/>
          <w:szCs w:val="22"/>
        </w:rPr>
        <w:t xml:space="preserve">13.3.c Devolution Vote — Year 3: </w:t>
      </w:r>
      <w:r>
        <w:rPr>
          <w:rFonts w:ascii="Arial" w:cs="Arial" w:eastAsia="Arial" w:hAnsi="Arial"/>
          <w:color w:val="000000"/>
          <w:sz w:val="22"/>
          <w:szCs w:val="22"/>
        </w:rPr>
        <w:t>Upon the third consecutive failure, the Senate votes on a Motion of Devolution requiring a 3/4 supermajority of the full Senate membership — not merely those present on the day of the vote.</w:t>
      </w:r>
    </w:p>
    <w:p>
      <w:pPr>
        <w:spacing w:after="60" w:before="60"/>
        <w:ind w:left="720" w:hanging="360"/>
      </w:pPr>
      <w:r>
        <w:rPr>
          <w:rFonts w:ascii="Arial" w:cs="Arial" w:eastAsia="Arial" w:hAnsi="Arial"/>
          <w:b/>
          <w:bCs/>
          <w:color w:val="4A6FA5"/>
          <w:sz w:val="22"/>
          <w:szCs w:val="22"/>
        </w:rPr>
        <w:t xml:space="preserve">13.3.d Effect of Mandatory Devolution: </w:t>
      </w:r>
      <w:r>
        <w:rPr>
          <w:rFonts w:ascii="Arial" w:cs="Arial" w:eastAsia="Arial" w:hAnsi="Arial"/>
          <w:color w:val="000000"/>
          <w:sz w:val="22"/>
          <w:szCs w:val="22"/>
        </w:rPr>
        <w:t>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ind w:left="720" w:hanging="360"/>
      </w:pPr>
      <w:r>
        <w:rPr>
          <w:rFonts w:ascii="Arial" w:cs="Arial" w:eastAsia="Arial" w:hAnsi="Arial"/>
          <w:b/>
          <w:bCs/>
          <w:color w:val="4A6FA5"/>
          <w:sz w:val="22"/>
          <w:szCs w:val="22"/>
        </w:rPr>
        <w:t xml:space="preserve">13.3.e Constitutional Challenge to Devolution: </w:t>
      </w:r>
      <w:r>
        <w:rPr>
          <w:rFonts w:ascii="Arial" w:cs="Arial" w:eastAsia="Arial" w:hAnsi="Arial"/>
          <w:color w:val="000000"/>
          <w:sz w:val="22"/>
          <w:szCs w:val="22"/>
        </w:rPr>
        <w:t>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1B2A4A" w:sz="6" w:space="1"/>
        </w:pBdr>
        <w:spacing w:after="120" w:before="120"/>
      </w:pPr>
    </w:p>
    <w:p>
      <w:pPr>
        <w:pStyle w:val="Heading2"/>
        <w:spacing w:after="80" w:before="200"/>
      </w:pPr>
      <w:r>
        <w:rPr>
          <w:rFonts w:ascii="Arial" w:cs="Arial" w:eastAsia="Arial" w:hAnsi="Arial"/>
          <w:b/>
          <w:bCs/>
          <w:color w:val="4A6FA5"/>
          <w:sz w:val="24"/>
          <w:szCs w:val="24"/>
        </w:rPr>
        <w:t>Section 13.4 — Voluntary Devolution</w:t>
      </w:r>
    </w:p>
    <w:p>
      <w:pPr>
        <w:spacing w:after="60" w:before="60"/>
      </w:pPr>
      <w:r>
        <w:rPr>
          <w:rFonts w:ascii="Arial" w:cs="Arial" w:eastAsia="Arial" w:hAnsi="Arial"/>
          <w:color w:val="000000"/>
          <w:sz w:val="22"/>
          <w:szCs w:val="22"/>
        </w:rPr>
        <w:t>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ind w:left="720" w:hanging="360"/>
      </w:pPr>
      <w:r>
        <w:rPr>
          <w:rFonts w:ascii="Arial" w:cs="Arial" w:eastAsia="Arial" w:hAnsi="Arial"/>
          <w:b/>
          <w:bCs/>
          <w:color w:val="4A6FA5"/>
          <w:sz w:val="22"/>
          <w:szCs w:val="22"/>
        </w:rPr>
        <w:t xml:space="preserve">13.4.a Voluntary Devolution Vote: </w:t>
      </w:r>
      <w:r>
        <w:rPr>
          <w:rFonts w:ascii="Arial" w:cs="Arial" w:eastAsia="Arial" w:hAnsi="Arial"/>
          <w:color w:val="000000"/>
          <w:sz w:val="22"/>
          <w:szCs w:val="22"/>
        </w:rPr>
        <w:t>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ind w:left="720" w:hanging="360"/>
      </w:pPr>
      <w:r>
        <w:rPr>
          <w:rFonts w:ascii="Arial" w:cs="Arial" w:eastAsia="Arial" w:hAnsi="Arial"/>
          <w:b/>
          <w:bCs/>
          <w:color w:val="4A6FA5"/>
          <w:sz w:val="22"/>
          <w:szCs w:val="22"/>
        </w:rPr>
        <w:t xml:space="preserve">13.4.b Fiscal Transparency Requirement: </w:t>
      </w:r>
      <w:r>
        <w:rPr>
          <w:rFonts w:ascii="Arial" w:cs="Arial" w:eastAsia="Arial" w:hAnsi="Arial"/>
          <w:color w:val="000000"/>
          <w:sz w:val="22"/>
          <w:szCs w:val="22"/>
        </w:rPr>
        <w:t>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ind w:left="720" w:hanging="360"/>
      </w:pPr>
      <w:r>
        <w:rPr>
          <w:rFonts w:ascii="Arial" w:cs="Arial" w:eastAsia="Arial" w:hAnsi="Arial"/>
          <w:b/>
          <w:bCs/>
          <w:color w:val="4A6FA5"/>
          <w:sz w:val="22"/>
          <w:szCs w:val="22"/>
        </w:rPr>
        <w:t xml:space="preserve">13.4.c Net-Contributor Transparency: </w:t>
      </w:r>
      <w:r>
        <w:rPr>
          <w:rFonts w:ascii="Arial" w:cs="Arial" w:eastAsia="Arial" w:hAnsi="Arial"/>
          <w:color w:val="000000"/>
          <w:sz w:val="22"/>
          <w:szCs w:val="22"/>
        </w:rPr>
        <w:t>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ind w:left="720" w:hanging="360"/>
      </w:pPr>
      <w:r>
        <w:rPr>
          <w:rFonts w:ascii="Arial" w:cs="Arial" w:eastAsia="Arial" w:hAnsi="Arial"/>
          <w:b/>
          <w:bCs/>
          <w:color w:val="4A6FA5"/>
          <w:sz w:val="22"/>
          <w:szCs w:val="22"/>
        </w:rPr>
        <w:t xml:space="preserve">13.4.d Effect of Voluntary Devolution: </w:t>
      </w:r>
      <w:r>
        <w:rPr>
          <w:rFonts w:ascii="Arial" w:cs="Arial" w:eastAsia="Arial" w:hAnsi="Arial"/>
          <w:color w:val="000000"/>
          <w:sz w:val="22"/>
          <w:szCs w:val="22"/>
        </w:rPr>
        <w:t>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ind w:left="720" w:hanging="360"/>
      </w:pPr>
      <w:r>
        <w:rPr>
          <w:rFonts w:ascii="Arial" w:cs="Arial" w:eastAsia="Arial" w:hAnsi="Arial"/>
          <w:b/>
          <w:bCs/>
          <w:color w:val="4A6FA5"/>
          <w:sz w:val="22"/>
          <w:szCs w:val="22"/>
        </w:rPr>
        <w:t xml:space="preserve">13.4.e Negotiated Devolution Pathway: </w:t>
      </w:r>
      <w:r>
        <w:rPr>
          <w:rFonts w:ascii="Arial" w:cs="Arial" w:eastAsia="Arial" w:hAnsi="Arial"/>
          <w:color w:val="000000"/>
          <w:sz w:val="22"/>
          <w:szCs w:val="22"/>
        </w:rPr>
        <w:t>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Style w:val="Heading2"/>
      </w:pPr>
      <w:r>
        <w:t>Section 13.5 — Associated Community Cross-Reference</w:t>
      </w:r>
    </w:p>
    <w:p>
      <w:pPr>
        <w:spacing w:after="60" w:before="60"/>
        <w:ind w:left="720" w:hanging="360"/>
      </w:pPr>
      <w:r>
        <w:rPr>
          <w:rFonts w:ascii="Arial" w:cs="Arial" w:eastAsia="Arial" w:hAnsi="Arial"/>
          <w:b/>
          <w:bCs/>
          <w:color w:val="4A6FA5"/>
          <w:sz w:val="22"/>
          <w:szCs w:val="22"/>
        </w:rPr>
        <w:t xml:space="preserve">13.5 Associated Community Relationships: </w:t>
      </w:r>
      <w:r>
        <w:rPr>
          <w:rFonts w:ascii="Arial" w:cs="Arial" w:eastAsia="Arial" w:hAnsi="Arial"/>
          <w:color w:val="000000"/>
          <w:sz w:val="22"/>
          <w:szCs w:val="22"/>
        </w:rPr>
        <w:t>Associated Community status — the constitutional framework governing compact relationships between the Republic and sovereign entities — is established in Article XX of this Constitution. §13.5 is reserved for the Article XX cross-reference. See Article XX for all provisions governing the establishment, terms, conditions, and termination of Associated Community compacts.</w:t>
      </w:r>
    </w:p>
    <w:p>
      <w:pPr>
        <w:pStyle w:val="Heading2"/>
      </w:pPr>
      <w:r>
        <w:t>Section 13.6 — Voluntary Incorporation</w:t>
      </w:r>
    </w:p>
    <w:p>
      <w:r>
        <w:rPr>
          <w:rFonts w:ascii="Arial" w:hAnsi="Arial"/>
          <w:b/>
          <w:sz w:val="22"/>
        </w:rPr>
        <w:t xml:space="preserve">13.6 Voluntary Incorporation: </w:t>
      </w:r>
      <w:r>
        <w:rPr>
          <w:rFonts w:ascii="Arial" w:hAnsi="Arial"/>
          <w:sz w:val="22"/>
        </w:rPr>
        <w:t>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XIV — THE INDIGENOUS NATION COMPACT</w:t>
      </w:r>
    </w:p>
    <w:p>
      <w:pPr>
        <w:spacing w:after="60" w:before="60"/>
      </w:pPr>
      <w:r>
        <w:rPr>
          <w:rFonts w:ascii="Arial" w:cs="Arial" w:eastAsia="Arial" w:hAnsi="Arial"/>
          <w:color w:val="000000"/>
          <w:sz w:val="22"/>
          <w:szCs w:val="22"/>
        </w:rPr>
        <w:t>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spacing w:after="0" w:before="120"/>
      </w:pPr>
      <w:r>
        <w:t xml:space="preserve"/>
      </w:r>
    </w:p>
    <w:p>
      <w:pPr>
        <w:pStyle w:val="Heading2"/>
        <w:spacing w:after="80" w:before="200"/>
      </w:pPr>
      <w:r>
        <w:rPr>
          <w:rFonts w:ascii="Arial" w:cs="Arial" w:eastAsia="Arial" w:hAnsi="Arial"/>
          <w:b/>
          <w:bCs/>
          <w:color w:val="4A6FA5"/>
          <w:sz w:val="24"/>
          <w:szCs w:val="24"/>
        </w:rPr>
        <w:t>Section 14.1 — Acknowledgment of Prior Sovereignty</w:t>
      </w:r>
    </w:p>
    <w:p>
      <w:pPr>
        <w:spacing w:after="60" w:before="60"/>
      </w:pPr>
      <w:r>
        <w:rPr>
          <w:rFonts w:ascii="Arial" w:cs="Arial" w:eastAsia="Arial" w:hAnsi="Arial"/>
          <w:color w:val="000000"/>
          <w:sz w:val="22"/>
          <w:szCs w:val="22"/>
        </w:rPr>
        <w:t>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spacing w:after="0" w:before="120"/>
      </w:pPr>
      <w:r>
        <w:t xml:space="preserve"/>
      </w:r>
    </w:p>
    <w:p>
      <w:pPr>
        <w:pStyle w:val="Heading2"/>
        <w:spacing w:after="80" w:before="200"/>
      </w:pPr>
      <w:r>
        <w:rPr>
          <w:rFonts w:ascii="Arial" w:cs="Arial" w:eastAsia="Arial" w:hAnsi="Arial"/>
          <w:b/>
          <w:bCs/>
          <w:color w:val="4A6FA5"/>
          <w:sz w:val="24"/>
          <w:szCs w:val="24"/>
        </w:rPr>
        <w:t>Section 14.2 — Treaty Supremacy and Continuity</w:t>
      </w:r>
    </w:p>
    <w:p>
      <w:pPr>
        <w:spacing w:after="60" w:before="60"/>
      </w:pPr>
      <w:r>
        <w:rPr>
          <w:rFonts w:ascii="Arial" w:cs="Arial" w:eastAsia="Arial" w:hAnsi="Arial"/>
          <w:color w:val="000000"/>
          <w:sz w:val="22"/>
          <w:szCs w:val="22"/>
        </w:rPr>
        <w:t>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w:t>
      </w:r>
    </w:p>
    <w:p>
      <w:pPr>
        <w:spacing w:after="0" w:before="120"/>
      </w:pPr>
      <w:r>
        <w:t xml:space="preserve"/>
      </w:r>
    </w:p>
    <w:p>
      <w:pPr>
        <w:pStyle w:val="Heading2"/>
        <w:spacing w:after="80" w:before="200"/>
      </w:pPr>
      <w:r>
        <w:rPr>
          <w:rFonts w:ascii="Arial" w:cs="Arial" w:eastAsia="Arial" w:hAnsi="Arial"/>
          <w:b/>
          <w:bCs/>
          <w:color w:val="4A6FA5"/>
          <w:sz w:val="24"/>
          <w:szCs w:val="24"/>
        </w:rPr>
        <w:t>Section 14.3 — Government-to-Government Relationship</w:t>
      </w:r>
    </w:p>
    <w:p>
      <w:pPr>
        <w:spacing w:after="60" w:before="60"/>
      </w:pPr>
      <w:r>
        <w:rPr>
          <w:rFonts w:ascii="Arial" w:cs="Arial" w:eastAsia="Arial" w:hAnsi="Arial"/>
          <w:color w:val="000000"/>
          <w:sz w:val="22"/>
          <w:szCs w:val="22"/>
        </w:rPr>
        <w:t>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ind w:left="720" w:hanging="360"/>
      </w:pPr>
      <w:r>
        <w:rPr>
          <w:rFonts w:ascii="Arial" w:cs="Arial" w:eastAsia="Arial" w:hAnsi="Arial"/>
          <w:b/>
          <w:bCs/>
          <w:color w:val="4A6FA5"/>
          <w:sz w:val="22"/>
          <w:szCs w:val="22"/>
        </w:rPr>
        <w:t xml:space="preserve">14.3.a Free, Prior, and Informed Consent: </w:t>
      </w:r>
      <w:r>
        <w:rPr>
          <w:rFonts w:ascii="Arial" w:cs="Arial" w:eastAsia="Arial" w:hAnsi="Arial"/>
          <w:color w:val="000000"/>
          <w:sz w:val="22"/>
          <w:szCs w:val="22"/>
        </w:rPr>
        <w:t>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ind w:left="720" w:hanging="360"/>
      </w:pPr>
      <w:r>
        <w:rPr>
          <w:rFonts w:ascii="Arial" w:cs="Arial" w:eastAsia="Arial" w:hAnsi="Arial"/>
          <w:b/>
          <w:bCs/>
          <w:color w:val="4A6FA5"/>
          <w:sz w:val="22"/>
          <w:szCs w:val="22"/>
        </w:rPr>
        <w:t xml:space="preserve">14.3.b Unamendable Rights Override: </w:t>
      </w:r>
      <w:r>
        <w:rPr>
          <w:rFonts w:ascii="Arial" w:cs="Arial" w:eastAsia="Arial" w:hAnsi="Arial"/>
          <w:color w:val="000000"/>
          <w:sz w:val="22"/>
          <w:szCs w:val="22"/>
        </w:rPr>
        <w:t>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ind w:left="720" w:hanging="360"/>
      </w:pPr>
      <w:r>
        <w:rPr>
          <w:rFonts w:ascii="Arial" w:cs="Arial" w:eastAsia="Arial" w:hAnsi="Arial"/>
          <w:b/>
          <w:bCs/>
          <w:color w:val="4A6FA5"/>
          <w:sz w:val="22"/>
          <w:szCs w:val="22"/>
        </w:rPr>
        <w:t xml:space="preserve">14.3.c Emergency Rights Writ and Conflict Resolution Protocol: </w:t>
      </w:r>
      <w:r>
        <w:rPr>
          <w:rFonts w:ascii="Arial" w:cs="Arial" w:eastAsia="Arial" w:hAnsi="Arial"/>
          <w:color w:val="000000"/>
          <w:sz w:val="22"/>
          <w:szCs w:val="22"/>
        </w:rPr>
        <w:t>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14.3.d Internal Enforcement Encouragement: </w:t>
      </w:r>
      <w:r>
        <w:rPr>
          <w:rFonts w:ascii="Arial" w:cs="Arial" w:eastAsia="Arial" w:hAnsi="Arial"/>
          <w:color w:val="000000"/>
          <w:sz w:val="22"/>
          <w:szCs w:val="22"/>
        </w:rPr>
        <w:t>The Republic may, with the consent of the relevant indigenous nation, provide technical or financial support for the development of internal rights enforcement mechanisms within the nation's own legal traditions.</w:t>
      </w:r>
    </w:p>
    <w:p>
      <w:pPr>
        <w:spacing w:after="60" w:before="60"/>
        <w:ind w:left="720" w:hanging="360"/>
      </w:pPr>
      <w:r>
        <w:rPr>
          <w:rFonts w:ascii="Arial" w:cs="Arial" w:eastAsia="Arial" w:hAnsi="Arial"/>
          <w:b/>
          <w:bCs/>
          <w:color w:val="4A6FA5"/>
          <w:sz w:val="22"/>
          <w:szCs w:val="22"/>
        </w:rPr>
        <w:t xml:space="preserve">14.3.e Inspectorate Jurisdiction: </w:t>
      </w:r>
      <w:r>
        <w:rPr>
          <w:rFonts w:ascii="Arial" w:cs="Arial" w:eastAsia="Arial" w:hAnsi="Arial"/>
          <w:color w:val="000000"/>
          <w:sz w:val="22"/>
          <w:szCs w:val="22"/>
        </w:rPr>
        <w:t>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spacing w:after="0" w:before="120"/>
      </w:pPr>
      <w:r>
        <w:t xml:space="preserve"/>
      </w:r>
    </w:p>
    <w:p>
      <w:pPr>
        <w:pStyle w:val="Heading2"/>
        <w:spacing w:after="80" w:before="200"/>
      </w:pPr>
      <w:r>
        <w:rPr>
          <w:rFonts w:ascii="Arial" w:cs="Arial" w:eastAsia="Arial" w:hAnsi="Arial"/>
          <w:b/>
          <w:bCs/>
          <w:color w:val="4A6FA5"/>
          <w:sz w:val="24"/>
          <w:szCs w:val="24"/>
        </w:rPr>
        <w:t>Section 14.4 — Indigenous Lands</w:t>
      </w:r>
    </w:p>
    <w:p>
      <w:pPr>
        <w:spacing w:after="60" w:before="60"/>
      </w:pPr>
      <w:r>
        <w:rPr>
          <w:rFonts w:ascii="Arial" w:cs="Arial" w:eastAsia="Arial" w:hAnsi="Arial"/>
          <w:color w:val="000000"/>
          <w:sz w:val="22"/>
          <w:szCs w:val="22"/>
        </w:rPr>
        <w:t>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ind w:left="720" w:hanging="360"/>
      </w:pPr>
      <w:r>
        <w:rPr>
          <w:rFonts w:ascii="Arial" w:cs="Arial" w:eastAsia="Arial" w:hAnsi="Arial"/>
          <w:b/>
          <w:bCs/>
          <w:color w:val="4A6FA5"/>
          <w:sz w:val="22"/>
          <w:szCs w:val="22"/>
        </w:rPr>
        <w:t xml:space="preserve">14.4.a Eminent Domain Prohibition: </w:t>
      </w:r>
      <w:r>
        <w:rPr>
          <w:rFonts w:ascii="Arial" w:cs="Arial" w:eastAsia="Arial" w:hAnsi="Arial"/>
          <w:color w:val="000000"/>
          <w:sz w:val="22"/>
          <w:szCs w:val="22"/>
        </w:rPr>
        <w:t>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ind w:left="720" w:hanging="360"/>
      </w:pPr>
      <w:r>
        <w:rPr>
          <w:rFonts w:ascii="Arial" w:cs="Arial" w:eastAsia="Arial" w:hAnsi="Arial"/>
          <w:b/>
          <w:bCs/>
          <w:color w:val="4A6FA5"/>
          <w:sz w:val="22"/>
          <w:szCs w:val="22"/>
        </w:rPr>
        <w:t xml:space="preserve">14.4.b Conservation Trust: </w:t>
      </w:r>
      <w:r>
        <w:rPr>
          <w:rFonts w:ascii="Arial" w:cs="Arial" w:eastAsia="Arial" w:hAnsi="Arial"/>
          <w:color w:val="000000"/>
          <w:sz w:val="22"/>
          <w:szCs w:val="22"/>
        </w:rPr>
        <w:t>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ind w:left="720" w:hanging="360"/>
      </w:pPr>
      <w:r>
        <w:rPr>
          <w:rFonts w:ascii="Arial" w:cs="Arial" w:eastAsia="Arial" w:hAnsi="Arial"/>
          <w:b/>
          <w:bCs/>
          <w:color w:val="4A6FA5"/>
          <w:sz w:val="22"/>
          <w:szCs w:val="22"/>
        </w:rPr>
        <w:t xml:space="preserve">14.4.c National Record System: </w:t>
      </w:r>
      <w:r>
        <w:rPr>
          <w:rFonts w:ascii="Arial" w:cs="Arial" w:eastAsia="Arial" w:hAnsi="Arial"/>
          <w:color w:val="000000"/>
          <w:sz w:val="22"/>
          <w:szCs w:val="22"/>
        </w:rPr>
        <w:t>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spacing w:after="0" w:before="120"/>
      </w:pPr>
      <w:r>
        <w:t xml:space="preserve"/>
      </w:r>
    </w:p>
    <w:p>
      <w:pPr>
        <w:pStyle w:val="Heading2"/>
        <w:spacing w:after="80" w:before="200"/>
      </w:pPr>
      <w:r>
        <w:rPr>
          <w:rFonts w:ascii="Arial" w:cs="Arial" w:eastAsia="Arial" w:hAnsi="Arial"/>
          <w:b/>
          <w:bCs/>
          <w:color w:val="4A6FA5"/>
          <w:sz w:val="24"/>
          <w:szCs w:val="24"/>
        </w:rPr>
        <w:t>Section 14.5 — Individual Rights and Dual Citizenship</w:t>
      </w:r>
    </w:p>
    <w:p>
      <w:pPr>
        <w:spacing w:after="60" w:before="60"/>
        <w:ind w:left="720" w:hanging="360"/>
      </w:pPr>
      <w:r>
        <w:rPr>
          <w:rFonts w:ascii="Arial" w:cs="Arial" w:eastAsia="Arial" w:hAnsi="Arial"/>
          <w:b/>
          <w:bCs/>
          <w:color w:val="4A6FA5"/>
          <w:sz w:val="22"/>
          <w:szCs w:val="22"/>
        </w:rPr>
        <w:t xml:space="preserve">14.5.a Article I Rights: </w:t>
      </w:r>
      <w:r>
        <w:rPr>
          <w:rFonts w:ascii="Arial" w:cs="Arial" w:eastAsia="Arial" w:hAnsi="Arial"/>
          <w:color w:val="000000"/>
          <w:sz w:val="22"/>
          <w:szCs w:val="22"/>
        </w:rPr>
        <w:t>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ind w:left="720" w:hanging="360"/>
      </w:pPr>
      <w:r>
        <w:rPr>
          <w:rFonts w:ascii="Arial" w:cs="Arial" w:eastAsia="Arial" w:hAnsi="Arial"/>
          <w:b/>
          <w:bCs/>
          <w:color w:val="4A6FA5"/>
          <w:sz w:val="22"/>
          <w:szCs w:val="22"/>
        </w:rPr>
        <w:t xml:space="preserve">14.5.b Dual Citizenship: </w:t>
      </w:r>
      <w:r>
        <w:rPr>
          <w:rFonts w:ascii="Arial" w:cs="Arial" w:eastAsia="Arial" w:hAnsi="Arial"/>
          <w:color w:val="000000"/>
          <w:sz w:val="22"/>
          <w:szCs w:val="22"/>
        </w:rPr>
        <w:t>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ind w:left="720" w:hanging="360"/>
      </w:pPr>
      <w:r>
        <w:rPr>
          <w:rFonts w:ascii="Arial" w:cs="Arial" w:eastAsia="Arial" w:hAnsi="Arial"/>
          <w:b/>
          <w:bCs/>
          <w:color w:val="4A6FA5"/>
          <w:sz w:val="22"/>
          <w:szCs w:val="22"/>
        </w:rPr>
        <w:t xml:space="preserve">14.5.c National Voting System: </w:t>
      </w:r>
      <w:r>
        <w:rPr>
          <w:rFonts w:ascii="Arial" w:cs="Arial" w:eastAsia="Arial" w:hAnsi="Arial"/>
          <w:color w:val="000000"/>
          <w:sz w:val="22"/>
          <w:szCs w:val="22"/>
        </w:rPr>
        <w:t>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ind w:left="720" w:hanging="360"/>
      </w:pPr>
      <w:r>
        <w:rPr>
          <w:rFonts w:ascii="Arial" w:cs="Arial" w:eastAsia="Arial" w:hAnsi="Arial"/>
          <w:b/>
          <w:bCs/>
          <w:color w:val="4A6FA5"/>
          <w:sz w:val="22"/>
          <w:szCs w:val="22"/>
        </w:rPr>
        <w:t xml:space="preserve">14.5.d Associated Community Pathway for Recognised Sovereign Nations: </w:t>
      </w:r>
      <w:r>
        <w:rPr>
          <w:rFonts w:ascii="Arial" w:cs="Arial" w:eastAsia="Arial" w:hAnsi="Arial"/>
          <w:color w:val="000000"/>
          <w:sz w:val="22"/>
          <w:szCs w:val="22"/>
        </w:rPr>
        <w:t>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 — AMENDING THE CONSTITUTION</w:t>
      </w:r>
    </w:p>
    <w:p>
      <w:pPr>
        <w:spacing w:after="0" w:before="120"/>
      </w:pPr>
      <w:r>
        <w:t xml:space="preserve"/>
      </w:r>
    </w:p>
    <w:p>
      <w:pPr>
        <w:pStyle w:val="Heading2"/>
        <w:spacing w:after="80" w:before="200"/>
      </w:pPr>
      <w:r>
        <w:rPr>
          <w:rFonts w:ascii="Arial" w:cs="Arial" w:eastAsia="Arial" w:hAnsi="Arial"/>
          <w:b/>
          <w:bCs/>
          <w:color w:val="4A6FA5"/>
          <w:sz w:val="24"/>
          <w:szCs w:val="24"/>
        </w:rPr>
        <w:t>Section 15.1 — Amendment Paths</w:t>
      </w:r>
    </w:p>
    <w:p>
      <w:pPr>
        <w:spacing w:after="60" w:before="60"/>
        <w:ind w:left="720" w:hanging="360"/>
      </w:pPr>
      <w:r>
        <w:rPr>
          <w:rFonts w:ascii="Arial" w:cs="Arial" w:eastAsia="Arial" w:hAnsi="Arial"/>
          <w:b/>
          <w:bCs/>
          <w:color w:val="4A6FA5"/>
          <w:sz w:val="22"/>
          <w:szCs w:val="22"/>
        </w:rPr>
        <w:t xml:space="preserve">15.1.a Legislative Path: </w:t>
      </w:r>
      <w:r>
        <w:rPr>
          <w:rFonts w:ascii="Arial" w:cs="Arial" w:eastAsia="Arial" w:hAnsi="Arial"/>
          <w:color w:val="000000"/>
          <w:sz w:val="22"/>
          <w:szCs w:val="22"/>
        </w:rPr>
        <w:t>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ind w:left="720" w:hanging="360"/>
      </w:pPr>
      <w:r>
        <w:t>15.1.b Legislative and Popular Path: 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ind w:left="720" w:hanging="360"/>
      </w:pPr>
      <w:r>
        <w:t>15.1.c Citizen-Led Path: 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15.2 — No Executive Veto</w:t>
      </w:r>
    </w:p>
    <w:p>
      <w:pPr>
        <w:spacing w:after="60" w:before="60"/>
        <w:ind w:left="720" w:hanging="360"/>
      </w:pPr>
      <w:r>
        <w:rPr>
          <w:rFonts w:ascii="Arial" w:cs="Arial" w:eastAsia="Arial" w:hAnsi="Arial"/>
          <w:b/>
          <w:bCs/>
          <w:color w:val="4A6FA5"/>
          <w:sz w:val="22"/>
          <w:szCs w:val="22"/>
        </w:rPr>
        <w:t xml:space="preserve">15.2.a No Executive Veto: </w:t>
      </w:r>
      <w:r>
        <w:rPr>
          <w:rFonts w:ascii="Arial" w:cs="Arial" w:eastAsia="Arial" w:hAnsi="Arial"/>
          <w:color w:val="000000"/>
          <w:sz w:val="22"/>
          <w:szCs w:val="22"/>
        </w:rPr>
        <w:t>Neither the President nor the Prime Minister holds veto authority over constitutional amendments. Amendments take immediate effect when the Inspectorates certify ratification and record the amendment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15.3 — Unamendable Provisions</w:t>
      </w:r>
    </w:p>
    <w:p>
      <w:pPr>
        <w:spacing w:after="60" w:before="60"/>
        <w:ind w:left="720" w:hanging="360"/>
      </w:pPr>
      <w:r>
        <w:rPr>
          <w:rFonts w:ascii="Arial" w:cs="Arial" w:eastAsia="Arial" w:hAnsi="Arial"/>
          <w:b/>
          <w:bCs/>
          <w:color w:val="4A6FA5"/>
          <w:sz w:val="22"/>
          <w:szCs w:val="22"/>
        </w:rPr>
        <w:t xml:space="preserve">15.3.a Unamendable Provisions: </w:t>
      </w:r>
      <w:r>
        <w:rPr>
          <w:rFonts w:ascii="Arial" w:cs="Arial" w:eastAsia="Arial" w:hAnsi="Arial"/>
          <w:color w:val="000000"/>
          <w:sz w:val="22"/>
          <w:szCs w:val="22"/>
        </w:rPr>
        <w:t>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spacing w:after="0" w:before="120"/>
      </w:pPr>
      <w:r>
        <w:t xml:space="preserve"/>
      </w:r>
    </w:p>
    <w:p>
      <w:pPr>
        <w:pStyle w:val="Heading2"/>
        <w:spacing w:after="80" w:before="200"/>
      </w:pPr>
      <w:r>
        <w:rPr>
          <w:rFonts w:ascii="Arial" w:cs="Arial" w:eastAsia="Arial" w:hAnsi="Arial"/>
          <w:b/>
          <w:bCs/>
          <w:color w:val="4A6FA5"/>
          <w:sz w:val="24"/>
          <w:szCs w:val="24"/>
        </w:rPr>
        <w:t>Section 15.4 — Territorial Integrity</w:t>
      </w:r>
    </w:p>
    <w:p>
      <w:pPr>
        <w:spacing w:after="60" w:before="60"/>
        <w:ind w:left="720" w:hanging="360"/>
      </w:pPr>
      <w:r>
        <w:rPr>
          <w:rFonts w:ascii="Arial" w:cs="Arial" w:eastAsia="Arial" w:hAnsi="Arial"/>
          <w:b/>
          <w:bCs/>
          <w:color w:val="4A6FA5"/>
          <w:sz w:val="22"/>
          <w:szCs w:val="22"/>
        </w:rPr>
        <w:t xml:space="preserve">15.4.a Territorial Integrity: </w:t>
      </w:r>
      <w:r>
        <w:rPr>
          <w:rFonts w:ascii="Arial" w:cs="Arial" w:eastAsia="Arial" w:hAnsi="Arial"/>
          <w:color w:val="000000"/>
          <w:sz w:val="22"/>
          <w:szCs w:val="22"/>
        </w:rPr>
        <w:t>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ind w:left="720" w:hanging="360"/>
      </w:pPr>
      <w:r>
        <w:rPr>
          <w:rFonts w:ascii="Arial" w:cs="Arial" w:eastAsia="Arial" w:hAnsi="Arial"/>
          <w:b/>
          <w:bCs/>
          <w:color w:val="4A6FA5"/>
          <w:sz w:val="22"/>
          <w:szCs w:val="22"/>
        </w:rPr>
        <w:t xml:space="preserve">15.4.b Advisory Referenda: </w:t>
      </w:r>
      <w:r>
        <w:rPr>
          <w:rFonts w:ascii="Arial" w:cs="Arial" w:eastAsia="Arial" w:hAnsi="Arial"/>
          <w:color w:val="000000"/>
          <w:sz w:val="22"/>
          <w:szCs w:val="22"/>
        </w:rPr>
        <w:t>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pPr>
      <w:r>
        <w:rPr>
          <w:rFonts w:ascii="Arial" w:cs="Arial" w:eastAsia="Arial" w:hAnsi="Arial"/>
          <w:color w:val="000000"/>
          <w:sz w:val="22"/>
          <w:szCs w:val="22"/>
        </w:rPr>
        <w:t>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Style w:val="Heading2"/>
        <w:spacing w:after="80" w:before="200"/>
      </w:pPr>
      <w:r>
        <w:rPr>
          <w:rFonts w:ascii="Arial" w:cs="Arial" w:eastAsia="Arial" w:hAnsi="Arial"/>
          <w:b/>
          <w:bCs/>
          <w:color w:val="4A6FA5"/>
          <w:sz w:val="24"/>
          <w:szCs w:val="24"/>
        </w:rPr>
        <w:t>Section 15.5 — Independence Transition Framework</w:t>
      </w:r>
    </w:p>
    <w:p>
      <w:pPr>
        <w:spacing w:after="60" w:before="60"/>
      </w:pPr>
      <w:r>
        <w:rPr>
          <w:rFonts w:ascii="Arial" w:cs="Arial" w:eastAsia="Arial" w:hAnsi="Arial"/>
          <w:color w:val="000000"/>
          <w:sz w:val="22"/>
          <w:szCs w:val="22"/>
        </w:rPr>
        <w:t>The democratic authorization of independence under §15.4 creates a constitutional obligation to manage the transition responsibly, lawfully, and transparently. This section governs the transition process that follows §15.4 recognition.</w:t>
      </w:r>
    </w:p>
    <w:p>
      <w:pPr>
        <w:spacing w:after="60" w:before="60"/>
        <w:ind w:left="720" w:hanging="360"/>
      </w:pPr>
      <w:r>
        <w:rPr>
          <w:rFonts w:ascii="Arial" w:cs="Arial" w:eastAsia="Arial" w:hAnsi="Arial"/>
          <w:b/>
          <w:bCs/>
          <w:color w:val="4A6FA5"/>
          <w:sz w:val="22"/>
          <w:szCs w:val="22"/>
        </w:rPr>
        <w:t xml:space="preserve">15.5.a Framework Agreement Requirement: </w:t>
      </w:r>
      <w:r>
        <w:rPr>
          <w:rFonts w:ascii="Arial" w:cs="Arial" w:eastAsia="Arial" w:hAnsi="Arial"/>
          <w:color w:val="000000"/>
          <w:sz w:val="22"/>
          <w:szCs w:val="22"/>
        </w:rPr>
        <w:t>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ind w:left="720" w:hanging="360"/>
      </w:pPr>
      <w:r>
        <w:rPr>
          <w:rFonts w:ascii="Arial" w:cs="Arial" w:eastAsia="Arial" w:hAnsi="Arial"/>
          <w:b/>
          <w:bCs/>
          <w:color w:val="4A6FA5"/>
          <w:sz w:val="22"/>
          <w:szCs w:val="22"/>
        </w:rPr>
        <w:t xml:space="preserve">15.5.b Transition Period: </w:t>
      </w:r>
      <w:r>
        <w:rPr>
          <w:rFonts w:ascii="Arial" w:cs="Arial" w:eastAsia="Arial" w:hAnsi="Arial"/>
          <w:color w:val="000000"/>
          <w:sz w:val="22"/>
          <w:szCs w:val="22"/>
        </w:rPr>
        <w:t>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ind w:left="720" w:hanging="360"/>
      </w:pPr>
      <w:r>
        <w:rPr>
          <w:rFonts w:ascii="Arial" w:cs="Arial" w:eastAsia="Arial" w:hAnsi="Arial"/>
          <w:b/>
          <w:bCs/>
          <w:color w:val="4A6FA5"/>
          <w:sz w:val="22"/>
          <w:szCs w:val="22"/>
        </w:rPr>
        <w:t xml:space="preserve">15.5.c Basic Needs Floor Transition: </w:t>
      </w:r>
      <w:r>
        <w:rPr>
          <w:rFonts w:ascii="Arial" w:cs="Arial" w:eastAsia="Arial" w:hAnsi="Arial"/>
          <w:color w:val="000000"/>
          <w:sz w:val="22"/>
          <w:szCs w:val="22"/>
        </w:rPr>
        <w:t>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ind w:left="720" w:hanging="360"/>
      </w:pPr>
      <w:r>
        <w:rPr>
          <w:rFonts w:ascii="Arial" w:cs="Arial" w:eastAsia="Arial" w:hAnsi="Arial"/>
          <w:b/>
          <w:bCs/>
          <w:color w:val="4A6FA5"/>
          <w:sz w:val="22"/>
          <w:szCs w:val="22"/>
        </w:rPr>
        <w:t xml:space="preserve">15.5.d Executive Authority: </w:t>
      </w:r>
      <w:r>
        <w:rPr>
          <w:rFonts w:ascii="Arial" w:cs="Arial" w:eastAsia="Arial" w:hAnsi="Arial"/>
          <w:color w:val="000000"/>
          <w:sz w:val="22"/>
          <w:szCs w:val="22"/>
        </w:rPr>
        <w:t>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ind w:left="720" w:hanging="360"/>
      </w:pPr>
      <w:r>
        <w:rPr>
          <w:rFonts w:ascii="Arial" w:cs="Arial" w:eastAsia="Arial" w:hAnsi="Arial"/>
          <w:b/>
          <w:bCs/>
          <w:color w:val="4A6FA5"/>
          <w:sz w:val="22"/>
          <w:szCs w:val="22"/>
        </w:rPr>
        <w:t xml:space="preserve">15.5.e Simultaneous Independence Sequencing: </w:t>
      </w:r>
      <w:r>
        <w:rPr>
          <w:rFonts w:ascii="Arial" w:cs="Arial" w:eastAsia="Arial" w:hAnsi="Arial"/>
          <w:color w:val="000000"/>
          <w:sz w:val="22"/>
          <w:szCs w:val="22"/>
        </w:rPr>
        <w:t>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spacing w:after="0" w:before="120"/>
      </w:pPr>
      <w:r>
        <w:t xml:space="preserve"/>
      </w:r>
    </w:p>
    <w:p>
      <w:pPr>
        <w:pStyle w:val="Heading2"/>
      </w:pPr>
      <w:r>
        <w:t>Section 15.6 — Constitutional Supremacy</w:t>
      </w:r>
    </w:p>
    <w:p>
      <w:pPr>
        <w:spacing w:after="60" w:before="60"/>
        <w:ind w:left="720" w:hanging="360"/>
      </w:pPr>
      <w:r>
        <w:rPr>
          <w:rFonts w:ascii="Arial" w:cs="Arial" w:eastAsia="Arial" w:hAnsi="Arial"/>
          <w:b/>
          <w:bCs/>
          <w:color w:val="4A6FA5"/>
          <w:sz w:val="22"/>
          <w:szCs w:val="22"/>
        </w:rPr>
        <w:t xml:space="preserve">15.6 Supremacy of This Constitution: </w:t>
      </w:r>
      <w:r>
        <w:rPr>
          <w:rFonts w:ascii="Arial" w:cs="Arial" w:eastAsia="Arial" w:hAnsi="Arial"/>
          <w:color w:val="000000"/>
          <w:sz w:val="22"/>
          <w:szCs w:val="22"/>
        </w:rPr>
        <w:t>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r>
        <w:rPr>
          <w:b/>
        </w:rPr>
        <w:t xml:space="preserve">15.6.b Federal-State Statutory Hierarchy: </w:t>
      </w:r>
      <w: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 — THE NATIONAL VOTING SYSTEM AND ELECTORAL COMMISSION</w:t>
      </w:r>
    </w:p>
    <w:p>
      <w:pPr>
        <w:spacing w:after="60" w:before="60"/>
      </w:pPr>
      <w:r>
        <w:rPr>
          <w:rFonts w:ascii="Arial" w:cs="Arial" w:eastAsia="Arial" w:hAnsi="Arial"/>
          <w:color w:val="000000"/>
          <w:sz w:val="22"/>
          <w:szCs w:val="22"/>
        </w:rPr>
        <w:t>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spacing w:after="0" w:before="120"/>
      </w:pPr>
      <w:r>
        <w:t xml:space="preserve"/>
      </w:r>
    </w:p>
    <w:p>
      <w:pPr>
        <w:pStyle w:val="Heading2"/>
        <w:spacing w:after="80" w:before="200"/>
      </w:pPr>
      <w:r>
        <w:rPr>
          <w:rFonts w:ascii="Arial" w:cs="Arial" w:eastAsia="Arial" w:hAnsi="Arial"/>
          <w:b/>
          <w:bCs/>
          <w:color w:val="4A6FA5"/>
          <w:sz w:val="24"/>
          <w:szCs w:val="24"/>
        </w:rPr>
        <w:t>Section 16.1 — The Electoral Commission</w:t>
      </w:r>
    </w:p>
    <w:p>
      <w:pPr>
        <w:spacing w:after="60" w:before="60"/>
      </w:pPr>
      <w:r>
        <w:rPr>
          <w:rFonts w:ascii="Arial" w:cs="Arial" w:eastAsia="Arial" w:hAnsi="Arial"/>
          <w:color w:val="000000"/>
          <w:sz w:val="22"/>
          <w:szCs w:val="22"/>
        </w:rPr>
        <w:t>The Electoral Commission is a five-member body with full democratic mandate. All five members are elected to single non-renewable 6-year terms, staggered so no more than two seats are contested in any election 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80"/>
        <w:gridCol w:w="2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Seats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Elected By</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Method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popular vote — all citizens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Ranked Choice Voting; staggered — no more than 2 seats per cycle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 non-renewable 6-year 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Joint session of the Legislature — all Members vote as an electorate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Ranked Choice Voting among qualified candidates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 non-renewable 6-year term</w:t>
            </w:r>
          </w:p>
        </w:tc>
      </w:tr>
    </w:tbl>
    <w:p>
      <w:pPr>
        <w:spacing w:after="0" w:before="120"/>
      </w:pPr>
      <w:r>
        <w:t xml:space="preserve"/>
      </w:r>
    </w:p>
    <w:p>
      <w:pPr>
        <w:spacing w:after="60" w:before="60"/>
      </w:pPr>
      <w:r>
        <w:rPr>
          <w:rFonts w:ascii="Arial" w:cs="Arial" w:eastAsia="Arial" w:hAnsi="Arial"/>
          <w:color w:val="000000"/>
          <w:sz w:val="22"/>
          <w:szCs w:val="22"/>
        </w:rPr>
        <w:t>The Commission elects its own Chair from among its members by internal majority vote, rotating every two years, with no member serving as Chair more than once per term. Decisions require a 3/5 majority — three of five members.</w:t>
      </w:r>
    </w:p>
    <w:p>
      <w:pPr>
        <w:spacing w:after="0" w:before="120"/>
      </w:pPr>
      <w:r>
        <w:t xml:space="preserve"/>
      </w:r>
    </w:p>
    <w:p>
      <w:pPr>
        <w:pStyle w:val="Heading2"/>
        <w:spacing w:after="80" w:before="200"/>
      </w:pPr>
      <w:r>
        <w:rPr>
          <w:rFonts w:ascii="Arial" w:cs="Arial" w:eastAsia="Arial" w:hAnsi="Arial"/>
          <w:b/>
          <w:bCs/>
          <w:color w:val="4A6FA5"/>
          <w:sz w:val="24"/>
          <w:szCs w:val="24"/>
        </w:rPr>
        <w:t>Section 16.2 — Member Qualifications</w:t>
      </w:r>
    </w:p>
    <w:p>
      <w:pPr>
        <w:spacing w:after="60" w:before="60"/>
      </w:pPr>
      <w:r>
        <w:rPr>
          <w:rFonts w:ascii="Arial" w:cs="Arial" w:eastAsia="Arial" w:hAnsi="Arial"/>
          <w:color w:val="000000"/>
          <w:sz w:val="22"/>
          <w:szCs w:val="22"/>
        </w:rPr>
        <w:t>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ind w:left="720" w:hanging="360"/>
      </w:pPr>
      <w:r>
        <w:rPr>
          <w:rFonts w:ascii="Arial" w:cs="Arial" w:eastAsia="Arial" w:hAnsi="Arial"/>
          <w:b/>
          <w:bCs/>
          <w:color w:val="4A6FA5"/>
          <w:sz w:val="22"/>
          <w:szCs w:val="22"/>
        </w:rPr>
        <w:t xml:space="preserve">16.2 Electoral Commission Qualifications: </w:t>
      </w:r>
      <w:r>
        <w:rPr>
          <w:rFonts w:ascii="Arial" w:cs="Arial" w:eastAsia="Arial" w:hAnsi="Arial"/>
          <w:color w:val="000000"/>
          <w:sz w:val="22"/>
          <w:szCs w:val="22"/>
        </w:rPr>
        <w:t>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pStyle w:val="Heading2"/>
        <w:spacing w:after="80" w:before="200"/>
      </w:pPr>
      <w:r>
        <w:rPr>
          <w:rFonts w:ascii="Arial" w:cs="Arial" w:eastAsia="Arial" w:hAnsi="Arial"/>
          <w:b/>
          <w:bCs/>
          <w:color w:val="4A6FA5"/>
          <w:sz w:val="24"/>
          <w:szCs w:val="24"/>
        </w:rPr>
        <w:t>Section 16.3 — Constitutional Properties of the National Voting System</w:t>
      </w:r>
    </w:p>
    <w:p>
      <w:pPr>
        <w:spacing w:after="60" w:before="60"/>
      </w:pPr>
      <w:r>
        <w:rPr>
          <w:rFonts w:ascii="Arial" w:cs="Arial" w:eastAsia="Arial" w:hAnsi="Arial"/>
          <w:color w:val="000000"/>
          <w:sz w:val="22"/>
          <w:szCs w:val="22"/>
        </w:rPr>
        <w:t>The National Voting System must satisfy these constitutional properties. the Legislature may not remove or weaken any of them by statute.</w:t>
      </w:r>
    </w:p>
    <w:p>
      <w:pPr>
        <w:spacing w:after="60" w:before="60"/>
        <w:ind w:left="720" w:hanging="360"/>
      </w:pPr>
      <w:r>
        <w:rPr>
          <w:rFonts w:ascii="Arial" w:cs="Arial" w:eastAsia="Arial" w:hAnsi="Arial"/>
          <w:b/>
          <w:bCs/>
          <w:color w:val="4A6FA5"/>
          <w:sz w:val="22"/>
          <w:szCs w:val="22"/>
        </w:rPr>
        <w:t xml:space="preserve">16.3.a Ballot Secrecy: </w:t>
      </w:r>
      <w:r>
        <w:rPr>
          <w:rFonts w:ascii="Arial" w:cs="Arial" w:eastAsia="Arial" w:hAnsi="Arial"/>
          <w:color w:val="000000"/>
          <w:sz w:val="22"/>
          <w:szCs w:val="22"/>
        </w:rPr>
        <w:t>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ind w:left="720" w:hanging="360"/>
      </w:pPr>
      <w:r>
        <w:rPr>
          <w:rFonts w:ascii="Arial" w:cs="Arial" w:eastAsia="Arial" w:hAnsi="Arial"/>
          <w:b/>
          <w:bCs/>
          <w:color w:val="4A6FA5"/>
          <w:sz w:val="22"/>
          <w:szCs w:val="22"/>
        </w:rPr>
        <w:t xml:space="preserve">16.3.b Public Auditability: </w:t>
      </w:r>
      <w:r>
        <w:rPr>
          <w:rFonts w:ascii="Arial" w:cs="Arial" w:eastAsia="Arial" w:hAnsi="Arial"/>
          <w:color w:val="000000"/>
          <w:sz w:val="22"/>
          <w:szCs w:val="22"/>
        </w:rPr>
        <w:t>The aggregate results of every election and referendum must be mathematically verifiable by any citizen without specialized access. The system is open to public audit while preserving individual ballot secrecy.</w:t>
      </w:r>
    </w:p>
    <w:p>
      <w:pPr>
        <w:spacing w:after="60" w:before="60"/>
        <w:ind w:left="720" w:hanging="360"/>
      </w:pPr>
      <w:r>
        <w:rPr>
          <w:rFonts w:ascii="Arial" w:cs="Arial" w:eastAsia="Arial" w:hAnsi="Arial"/>
          <w:b/>
          <w:bCs/>
          <w:color w:val="4A6FA5"/>
          <w:sz w:val="22"/>
          <w:szCs w:val="22"/>
        </w:rPr>
        <w:t xml:space="preserve">16.3.c Resilience and Privacy: </w:t>
      </w:r>
      <w:r>
        <w:rPr>
          <w:rFonts w:ascii="Arial" w:cs="Arial" w:eastAsia="Arial" w:hAnsi="Arial"/>
          <w:color w:val="000000"/>
          <w:sz w:val="22"/>
          <w:szCs w:val="22"/>
        </w:rPr>
        <w:t>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spacing w:after="0" w:before="120"/>
      </w:pPr>
      <w:r>
        <w:t xml:space="preserve"/>
      </w:r>
    </w:p>
    <w:p>
      <w:pPr>
        <w:pStyle w:val="Heading2"/>
        <w:spacing w:after="80" w:before="200"/>
      </w:pPr>
      <w:r>
        <w:rPr>
          <w:rFonts w:ascii="Arial" w:cs="Arial" w:eastAsia="Arial" w:hAnsi="Arial"/>
          <w:b/>
          <w:bCs/>
          <w:color w:val="4A6FA5"/>
          <w:sz w:val="24"/>
          <w:szCs w:val="24"/>
        </w:rPr>
        <w:t>Section 16.4 — The Citizen Voting Credential</w:t>
      </w:r>
    </w:p>
    <w:p>
      <w:pPr>
        <w:spacing w:after="60" w:before="60"/>
        <w:ind w:left="720" w:hanging="360"/>
      </w:pPr>
      <w:r>
        <w:rPr>
          <w:rFonts w:ascii="Arial" w:cs="Arial" w:eastAsia="Arial" w:hAnsi="Arial"/>
          <w:b/>
          <w:bCs/>
          <w:color w:val="4A6FA5"/>
          <w:sz w:val="22"/>
          <w:szCs w:val="22"/>
        </w:rPr>
        <w:t xml:space="preserve">16.4.a Credential: </w:t>
      </w:r>
      <w:r>
        <w:rPr>
          <w:rFonts w:ascii="Arial" w:cs="Arial" w:eastAsia="Arial" w:hAnsi="Arial"/>
          <w:color w:val="000000"/>
          <w:sz w:val="22"/>
          <w:szCs w:val="22"/>
        </w:rPr>
        <w:t>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ind w:left="720" w:hanging="360"/>
      </w:pPr>
      <w:r>
        <w:rPr>
          <w:rFonts w:ascii="Arial" w:cs="Arial" w:eastAsia="Arial" w:hAnsi="Arial"/>
          <w:b/>
          <w:bCs/>
          <w:color w:val="4A6FA5"/>
          <w:sz w:val="22"/>
          <w:szCs w:val="22"/>
        </w:rPr>
        <w:t xml:space="preserve">16.4.b Remote Voting: </w:t>
      </w:r>
      <w:r>
        <w:rPr>
          <w:rFonts w:ascii="Arial" w:cs="Arial" w:eastAsia="Arial" w:hAnsi="Arial"/>
          <w:color w:val="000000"/>
          <w:sz w:val="22"/>
          <w:szCs w:val="22"/>
        </w:rPr>
        <w:t>the Legislature may by statute authorize authenticated remote voting through the National Voting System. No statute may permanently prohibit remote voting as a method of participation.</w:t>
      </w:r>
    </w:p>
    <w:p>
      <w:pPr>
        <w:spacing w:after="0" w:before="120"/>
      </w:pPr>
      <w:r>
        <w:t xml:space="preserve"/>
      </w:r>
    </w:p>
    <w:p>
      <w:pPr>
        <w:pStyle w:val="Heading2"/>
        <w:spacing w:after="80" w:before="200"/>
      </w:pPr>
      <w:r>
        <w:rPr>
          <w:rFonts w:ascii="Arial" w:cs="Arial" w:eastAsia="Arial" w:hAnsi="Arial"/>
          <w:b/>
          <w:bCs/>
          <w:color w:val="4A6FA5"/>
          <w:sz w:val="24"/>
          <w:szCs w:val="24"/>
        </w:rPr>
        <w:t>Section 16.5 — Electoral Commission Oversight and Removal</w:t>
      </w:r>
    </w:p>
    <w:p>
      <w:pPr>
        <w:spacing w:after="60" w:before="60"/>
        <w:ind w:left="720" w:hanging="360"/>
      </w:pPr>
      <w:r>
        <w:rPr>
          <w:rFonts w:ascii="Arial" w:cs="Arial" w:eastAsia="Arial" w:hAnsi="Arial"/>
          <w:b/>
          <w:bCs/>
          <w:color w:val="4A6FA5"/>
          <w:sz w:val="22"/>
          <w:szCs w:val="22"/>
        </w:rPr>
        <w:t xml:space="preserve">16.5.a Campaign Funding: </w:t>
      </w:r>
      <w:r>
        <w:rPr>
          <w:rFonts w:ascii="Arial" w:cs="Arial" w:eastAsia="Arial" w:hAnsi="Arial"/>
          <w:color w:val="000000"/>
          <w:sz w:val="22"/>
          <w:szCs w:val="22"/>
        </w:rPr>
        <w:t>Campaigns for Electoral Commission seats are publicly funded in full. No private donations are permitted. The Commission sets its own campaign funding levels for successor seats, subject to National Record System audit.</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16.5.b JI Oversight: </w:t>
      </w:r>
      <w:r>
        <w:rPr>
          <w:rFonts w:ascii="Arial" w:cs="Arial" w:eastAsia="Arial" w:hAnsi="Arial"/>
          <w:color w:val="000000"/>
          <w:sz w:val="22"/>
          <w:szCs w:val="22"/>
        </w:rPr>
        <w:t>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ind w:left="720" w:hanging="360"/>
      </w:pPr>
      <w:r>
        <w:rPr>
          <w:rFonts w:ascii="Arial" w:cs="Arial" w:eastAsia="Arial" w:hAnsi="Arial"/>
          <w:b/>
          <w:bCs/>
          <w:color w:val="4A6FA5"/>
          <w:sz w:val="22"/>
          <w:szCs w:val="22"/>
        </w:rPr>
        <w:t xml:space="preserve">16.5.c Removal: </w:t>
      </w:r>
      <w:r>
        <w:rPr>
          <w:rFonts w:ascii="Arial" w:cs="Arial" w:eastAsia="Arial" w:hAnsi="Arial"/>
          <w:color w:val="000000"/>
          <w:sz w:val="22"/>
          <w:szCs w:val="22"/>
        </w:rPr>
        <w:t>Electoral Commission members may only be removed by Track 1 For-Cause removal (§8.5), requiring a 2/3 vote of both chambers simultaneously, preceded by State Designee Panel verification under §8.9.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pPr>
      <w:r>
        <w:rPr>
          <w:b/>
        </w:rPr>
        <w:t xml:space="preserve">16.5.d Mid-Term Vacancy: </w:t>
      </w:r>
      <w:r>
        <w:t>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Dissolution — Joint Session Contingency: Where a House dissolution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spacing w:after="0" w:before="120"/>
      </w:pPr>
      <w:r>
        <w:t xml:space="preserve"/>
      </w:r>
    </w:p>
    <w:p>
      <w:pPr>
        <w:pStyle w:val="Heading2"/>
        <w:spacing w:after="80" w:before="200"/>
      </w:pPr>
      <w:r>
        <w:rPr>
          <w:rFonts w:ascii="Arial" w:cs="Arial" w:eastAsia="Arial" w:hAnsi="Arial"/>
          <w:b/>
          <w:bCs/>
          <w:color w:val="4A6FA5"/>
          <w:sz w:val="24"/>
          <w:szCs w:val="24"/>
        </w:rPr>
        <w:t>Section 16.6 — Electoral Commission Technical Deadlock</w:t>
      </w:r>
    </w:p>
    <w:p>
      <w:pPr>
        <w:spacing w:after="60" w:before="60"/>
      </w:pPr>
      <w:r>
        <w:rPr>
          <w:rFonts w:ascii="Arial" w:cs="Arial" w:eastAsia="Arial" w:hAnsi="Arial"/>
          <w:color w:val="000000"/>
          <w:sz w:val="22"/>
          <w:szCs w:val="22"/>
        </w:rPr>
        <w:t>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spacing w:after="0" w:before="120"/>
      </w:pPr>
      <w:r>
        <w:t xml:space="preserve"/>
      </w:r>
    </w:p>
    <w:p>
      <w:pPr>
        <w:pStyle w:val="Heading2"/>
        <w:spacing w:after="80" w:before="200"/>
      </w:pPr>
      <w:r>
        <w:rPr>
          <w:rFonts w:ascii="Arial" w:cs="Arial" w:eastAsia="Arial" w:hAnsi="Arial"/>
          <w:b/>
          <w:bCs/>
          <w:color w:val="4A6FA5"/>
          <w:sz w:val="24"/>
          <w:szCs w:val="24"/>
        </w:rPr>
        <w:t>Section 16.7 — Day Zero Voting System Transition</w:t>
      </w:r>
    </w:p>
    <w:p>
      <w:pPr>
        <w:spacing w:after="60" w:before="60"/>
      </w:pPr>
      <w:r>
        <w:rPr>
          <w:rFonts w:ascii="Arial" w:cs="Arial" w:eastAsia="Arial" w:hAnsi="Arial"/>
          <w:color w:val="000000"/>
          <w:sz w:val="22"/>
          <w:szCs w:val="22"/>
        </w:rPr>
        <w:t>This section governs three one-time transition events: the initial Electoral Commission formation, the simultaneous election of all nine Supreme Court justices, and the Senate staggering mechanism. All three occur during the first Phase 3 National Election Day.</w:t>
      </w:r>
    </w:p>
    <w:p>
      <w:pPr>
        <w:spacing w:after="60" w:before="60"/>
        <w:ind w:left="720" w:hanging="360"/>
      </w:pPr>
      <w:r>
        <w:rPr>
          <w:rFonts w:ascii="Arial" w:cs="Arial" w:eastAsia="Arial" w:hAnsi="Arial"/>
          <w:b/>
          <w:bCs/>
          <w:color w:val="4A6FA5"/>
          <w:sz w:val="22"/>
          <w:szCs w:val="22"/>
        </w:rPr>
        <w:t xml:space="preserve">16.7 Day Zero Transition: </w:t>
      </w:r>
      <w:r>
        <w:rPr>
          <w:rFonts w:ascii="Arial" w:cs="Arial" w:eastAsia="Arial" w:hAnsi="Arial"/>
          <w:color w:val="000000"/>
          <w:sz w:val="22"/>
          <w:szCs w:val="22"/>
        </w:rPr>
        <w:t>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XVII — FEDERAL PROPERTY AND THE SEAT OF GOVERNMENT</w:t>
      </w:r>
    </w:p>
    <w:p>
      <w:pPr>
        <w:spacing w:after="60" w:before="60"/>
      </w:pPr>
      <w:r>
        <w:rPr>
          <w:rFonts w:ascii="Arial" w:cs="Arial" w:eastAsia="Arial" w:hAnsi="Arial"/>
          <w:color w:val="000000"/>
          <w:sz w:val="22"/>
          <w:szCs w:val="22"/>
        </w:rPr>
        <w:t>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spacing w:after="0" w:before="120"/>
      </w:pPr>
      <w:r>
        <w:t xml:space="preserve"/>
      </w:r>
    </w:p>
    <w:p>
      <w:pPr>
        <w:pStyle w:val="Heading2"/>
        <w:spacing w:after="80" w:before="200"/>
      </w:pPr>
      <w:r>
        <w:rPr>
          <w:rFonts w:ascii="Arial" w:cs="Arial" w:eastAsia="Arial" w:hAnsi="Arial"/>
          <w:b/>
          <w:bCs/>
          <w:color w:val="4A6FA5"/>
          <w:sz w:val="24"/>
          <w:szCs w:val="24"/>
        </w:rPr>
        <w:t>Section 17.1 — The Use Doctrine</w:t>
      </w:r>
    </w:p>
    <w:p>
      <w:pPr>
        <w:spacing w:after="60" w:before="60"/>
      </w:pPr>
      <w:r>
        <w:rPr>
          <w:rFonts w:ascii="Arial" w:cs="Arial" w:eastAsia="Arial" w:hAnsi="Arial"/>
          <w:color w:val="000000"/>
          <w:sz w:val="22"/>
          <w:szCs w:val="22"/>
        </w:rPr>
        <w:t>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spacing w:after="0" w:before="120"/>
      </w:pPr>
      <w:r>
        <w:t xml:space="preserve"/>
      </w:r>
    </w:p>
    <w:p>
      <w:pPr>
        <w:pStyle w:val="Heading2"/>
        <w:spacing w:after="80" w:before="200"/>
      </w:pPr>
      <w:r>
        <w:rPr>
          <w:rFonts w:ascii="Arial" w:cs="Arial" w:eastAsia="Arial" w:hAnsi="Arial"/>
          <w:b/>
          <w:bCs/>
          <w:color w:val="4A6FA5"/>
          <w:sz w:val="24"/>
          <w:szCs w:val="24"/>
        </w:rPr>
        <w:t>Section 17.2 — The Federal Seat of Government</w:t>
      </w:r>
    </w:p>
    <w:p>
      <w:pPr>
        <w:spacing w:after="60" w:before="60"/>
      </w:pPr>
      <w:r>
        <w:rPr>
          <w:rFonts w:ascii="Arial" w:cs="Arial" w:eastAsia="Arial" w:hAnsi="Arial"/>
          <w:color w:val="000000"/>
          <w:sz w:val="22"/>
          <w:szCs w:val="22"/>
        </w:rPr>
        <w:t>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ind w:left="720" w:hanging="360"/>
      </w:pPr>
      <w:r>
        <w:rPr>
          <w:rFonts w:ascii="Arial" w:cs="Arial" w:eastAsia="Arial" w:hAnsi="Arial"/>
          <w:b/>
          <w:bCs/>
          <w:color w:val="4A6FA5"/>
          <w:sz w:val="22"/>
          <w:szCs w:val="22"/>
        </w:rPr>
        <w:t xml:space="preserve">17.2.a Host State Consent: </w:t>
      </w:r>
      <w:r>
        <w:rPr>
          <w:rFonts w:ascii="Arial" w:cs="Arial" w:eastAsia="Arial" w:hAnsi="Arial"/>
          <w:color w:val="000000"/>
          <w:sz w:val="22"/>
          <w:szCs w:val="22"/>
        </w:rPr>
        <w:t>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ind w:left="720" w:hanging="360"/>
      </w:pPr>
      <w:r>
        <w:rPr>
          <w:rFonts w:ascii="Arial" w:cs="Arial" w:eastAsia="Arial" w:hAnsi="Arial"/>
          <w:b/>
          <w:bCs/>
          <w:color w:val="4A6FA5"/>
          <w:sz w:val="22"/>
          <w:szCs w:val="22"/>
        </w:rPr>
        <w:t xml:space="preserve">17.2.b What Federal Control Means Within the Footprint: </w:t>
      </w:r>
      <w:r>
        <w:rPr>
          <w:rFonts w:ascii="Arial" w:cs="Arial" w:eastAsia="Arial" w:hAnsi="Arial"/>
          <w:color w:val="000000"/>
          <w:sz w:val="22"/>
          <w:szCs w:val="22"/>
        </w:rPr>
        <w:t>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ind w:left="720" w:hanging="360"/>
      </w:pPr>
      <w:r>
        <w:rPr>
          <w:rFonts w:ascii="Arial" w:cs="Arial" w:eastAsia="Arial" w:hAnsi="Arial"/>
          <w:b/>
          <w:bCs/>
          <w:color w:val="4A6FA5"/>
          <w:sz w:val="22"/>
          <w:szCs w:val="22"/>
        </w:rPr>
        <w:t xml:space="preserve">17.2.c Resident Rights: </w:t>
      </w:r>
      <w:r>
        <w:rPr>
          <w:rFonts w:ascii="Arial" w:cs="Arial" w:eastAsia="Arial" w:hAnsi="Arial"/>
          <w:color w:val="000000"/>
          <w:sz w:val="22"/>
          <w:szCs w:val="22"/>
        </w:rPr>
        <w:t>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ind w:left="720" w:hanging="360"/>
      </w:pPr>
      <w:r>
        <w:rPr>
          <w:rFonts w:ascii="Arial" w:cs="Arial" w:eastAsia="Arial" w:hAnsi="Arial"/>
          <w:b/>
          <w:bCs/>
          <w:color w:val="4A6FA5"/>
          <w:sz w:val="22"/>
          <w:szCs w:val="22"/>
        </w:rPr>
        <w:t xml:space="preserve">17.2.d Reversion on Relocation: </w:t>
      </w:r>
      <w:r>
        <w:rPr>
          <w:rFonts w:ascii="Arial" w:cs="Arial" w:eastAsia="Arial" w:hAnsi="Arial"/>
          <w:color w:val="000000"/>
          <w:sz w:val="22"/>
          <w:szCs w:val="22"/>
        </w:rPr>
        <w:t>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ind w:left="720" w:hanging="360"/>
      </w:pPr>
      <w:r>
        <w:rPr>
          <w:rFonts w:ascii="Arial" w:cs="Arial" w:eastAsia="Arial" w:hAnsi="Arial"/>
          <w:b/>
          <w:bCs/>
          <w:color w:val="4A6FA5"/>
          <w:sz w:val="22"/>
          <w:szCs w:val="22"/>
        </w:rPr>
        <w:t xml:space="preserve">17.2.e Provisional Seat — No Voluntary Host: </w:t>
      </w:r>
      <w:r>
        <w:rPr>
          <w:rFonts w:ascii="Arial" w:cs="Arial" w:eastAsia="Arial" w:hAnsi="Arial"/>
          <w:color w:val="000000"/>
          <w:sz w:val="22"/>
          <w:szCs w:val="22"/>
        </w:rPr>
        <w:t>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spacing w:after="0" w:before="120"/>
      </w:pPr>
      <w:r>
        <w:t xml:space="preserve"/>
      </w:r>
    </w:p>
    <w:p>
      <w:pPr>
        <w:pStyle w:val="Heading2"/>
        <w:spacing w:after="80" w:before="200"/>
      </w:pPr>
      <w:r>
        <w:rPr>
          <w:rFonts w:ascii="Arial" w:cs="Arial" w:eastAsia="Arial" w:hAnsi="Arial"/>
          <w:b/>
          <w:bCs/>
          <w:color w:val="4A6FA5"/>
          <w:sz w:val="24"/>
          <w:szCs w:val="24"/>
        </w:rPr>
        <w:t>Section 17.3 — Operational Use Rights</w:t>
      </w:r>
    </w:p>
    <w:p>
      <w:pPr>
        <w:spacing w:after="60" w:before="60"/>
      </w:pPr>
      <w:r>
        <w:rPr>
          <w:rFonts w:ascii="Arial" w:cs="Arial" w:eastAsia="Arial" w:hAnsi="Arial"/>
          <w:color w:val="000000"/>
          <w:sz w:val="22"/>
          <w:szCs w:val="22"/>
        </w:rPr>
        <w:t>Military bases, federal courthouses, government office buildings, research facilities, border infrastructure, and all other facilities serving a specific ongoing federal function are held as Operational Use Rights.</w:t>
      </w:r>
    </w:p>
    <w:p>
      <w:pPr>
        <w:spacing w:after="60" w:before="60"/>
        <w:ind w:left="720" w:hanging="360"/>
      </w:pPr>
      <w:r>
        <w:rPr>
          <w:rFonts w:ascii="Arial" w:cs="Arial" w:eastAsia="Arial" w:hAnsi="Arial"/>
          <w:b/>
          <w:bCs/>
          <w:color w:val="4A6FA5"/>
          <w:sz w:val="22"/>
          <w:szCs w:val="22"/>
        </w:rPr>
        <w:t xml:space="preserve">17.3.a Registration: </w:t>
      </w:r>
      <w:r>
        <w:rPr>
          <w:rFonts w:ascii="Arial" w:cs="Arial" w:eastAsia="Arial" w:hAnsi="Arial"/>
          <w:color w:val="000000"/>
          <w:sz w:val="22"/>
          <w:szCs w:val="22"/>
        </w:rPr>
        <w:t>Every Operational Use Right must be registered on the National Record System with the function described in plain language. An unregistered use right is void. The Executive Inspectorate audits the register annually.</w:t>
      </w:r>
    </w:p>
    <w:p>
      <w:pPr>
        <w:spacing w:after="60" w:before="60"/>
        <w:ind w:left="720" w:hanging="360"/>
      </w:pPr>
      <w:r>
        <w:rPr>
          <w:rFonts w:ascii="Arial" w:cs="Arial" w:eastAsia="Arial" w:hAnsi="Arial"/>
          <w:b/>
          <w:bCs/>
          <w:color w:val="4A6FA5"/>
          <w:sz w:val="22"/>
          <w:szCs w:val="22"/>
        </w:rPr>
        <w:t xml:space="preserve">17.3.b Termination and Reversion: </w:t>
      </w:r>
      <w:r>
        <w:rPr>
          <w:rFonts w:ascii="Arial" w:cs="Arial" w:eastAsia="Arial" w:hAnsi="Arial"/>
          <w:color w:val="000000"/>
          <w:sz w:val="22"/>
          <w:szCs w:val="22"/>
        </w:rPr>
        <w:t>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ind w:left="720" w:hanging="360"/>
      </w:pPr>
      <w:r>
        <w:rPr>
          <w:rFonts w:ascii="Arial" w:cs="Arial" w:eastAsia="Arial" w:hAnsi="Arial"/>
          <w:b/>
          <w:bCs/>
          <w:color w:val="4A6FA5"/>
          <w:sz w:val="22"/>
          <w:szCs w:val="22"/>
        </w:rPr>
        <w:t xml:space="preserve">17.3.c Improvements — Negotiated Settlement: </w:t>
      </w:r>
      <w:r>
        <w:rPr>
          <w:rFonts w:ascii="Arial" w:cs="Arial" w:eastAsia="Arial" w:hAnsi="Arial"/>
          <w:color w:val="000000"/>
          <w:sz w:val="22"/>
          <w:szCs w:val="22"/>
        </w:rPr>
        <w:t>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ind w:left="720" w:hanging="360"/>
      </w:pPr>
      <w:r>
        <w:rPr>
          <w:rFonts w:ascii="Arial" w:cs="Arial" w:eastAsia="Arial" w:hAnsi="Arial"/>
          <w:b/>
          <w:bCs/>
          <w:color w:val="4A6FA5"/>
          <w:sz w:val="22"/>
          <w:szCs w:val="22"/>
        </w:rPr>
        <w:t xml:space="preserve">17.3.d Disputes: </w:t>
      </w:r>
      <w:r>
        <w:rPr>
          <w:rFonts w:ascii="Arial" w:cs="Arial" w:eastAsia="Arial" w:hAnsi="Arial"/>
          <w:color w:val="000000"/>
          <w:sz w:val="22"/>
          <w:szCs w:val="22"/>
        </w:rPr>
        <w:t>Disputes over use right boundaries, termination, or improvement valuation are resolved by the Supreme Court on an expedited track. Neither party may occupy or alter disputed land during the proceeding.</w:t>
      </w:r>
    </w:p>
    <w:p>
      <w:pPr>
        <w:spacing w:after="60" w:before="60"/>
        <w:ind w:left="720" w:hanging="360"/>
      </w:pPr>
      <w:r>
        <w:rPr>
          <w:rFonts w:ascii="Arial" w:cs="Arial" w:eastAsia="Arial" w:hAnsi="Arial"/>
          <w:b/>
          <w:bCs/>
          <w:color w:val="4A6FA5"/>
          <w:sz w:val="22"/>
          <w:szCs w:val="22"/>
        </w:rPr>
        <w:t xml:space="preserve">17.3.e Independence Transition: </w:t>
      </w:r>
      <w:r>
        <w:rPr>
          <w:rFonts w:ascii="Arial" w:cs="Arial" w:eastAsia="Arial" w:hAnsi="Arial"/>
          <w:color w:val="000000"/>
          <w:sz w:val="22"/>
          <w:szCs w:val="22"/>
        </w:rPr>
        <w:t>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spacing w:after="0" w:before="120"/>
      </w:pPr>
      <w:r>
        <w:t xml:space="preserve"/>
      </w:r>
    </w:p>
    <w:p>
      <w:pPr>
        <w:pStyle w:val="Heading2"/>
        <w:spacing w:after="80" w:before="200"/>
      </w:pPr>
      <w:r>
        <w:rPr>
          <w:rFonts w:ascii="Arial" w:cs="Arial" w:eastAsia="Arial" w:hAnsi="Arial"/>
          <w:b/>
          <w:bCs/>
          <w:color w:val="4A6FA5"/>
          <w:sz w:val="24"/>
          <w:szCs w:val="24"/>
        </w:rPr>
        <w:t>Section 17.4 — The National Trust</w:t>
      </w:r>
    </w:p>
    <w:p>
      <w:pPr>
        <w:spacing w:after="60" w:before="60"/>
      </w:pPr>
      <w:r>
        <w:rPr>
          <w:rFonts w:ascii="Arial" w:cs="Arial" w:eastAsia="Arial" w:hAnsi="Arial"/>
          <w:color w:val="000000"/>
          <w:sz w:val="22"/>
          <w:szCs w:val="22"/>
        </w:rPr>
        <w:t>National Parks, designated wilderness areas, protected coastlines, heritage sites, and ecologically critical lands are held by the federal government as constitutional trustee for all Inhabitants of the Republic, present and future.</w:t>
      </w:r>
    </w:p>
    <w:p>
      <w:pPr>
        <w:spacing w:after="60" w:before="60"/>
        <w:ind w:left="720" w:hanging="360"/>
      </w:pPr>
      <w:r>
        <w:rPr>
          <w:rFonts w:ascii="Arial" w:cs="Arial" w:eastAsia="Arial" w:hAnsi="Arial"/>
          <w:b/>
          <w:bCs/>
          <w:color w:val="4A6FA5"/>
          <w:sz w:val="22"/>
          <w:szCs w:val="22"/>
        </w:rPr>
        <w:t xml:space="preserve">17.4.a Trust Nature: </w:t>
      </w:r>
      <w:r>
        <w:rPr>
          <w:rFonts w:ascii="Arial" w:cs="Arial" w:eastAsia="Arial" w:hAnsi="Arial"/>
          <w:color w:val="000000"/>
          <w:sz w:val="22"/>
          <w:szCs w:val="22"/>
        </w:rPr>
        <w:t>National Trust lands are held in perpetuity for the public benefit of preservation, ecological integrity, and cultural heritage. The Trust may not be dissolved, privatized, or transferred by statute or executive action alone.</w:t>
      </w:r>
    </w:p>
    <w:p>
      <w:pPr>
        <w:spacing w:after="60" w:before="60"/>
        <w:ind w:left="720" w:hanging="360"/>
      </w:pPr>
      <w:r>
        <w:rPr>
          <w:rFonts w:ascii="Arial" w:cs="Arial" w:eastAsia="Arial" w:hAnsi="Arial"/>
          <w:b/>
          <w:bCs/>
          <w:color w:val="4A6FA5"/>
          <w:sz w:val="22"/>
          <w:szCs w:val="22"/>
        </w:rPr>
        <w:t xml:space="preserve">17.4.b Stewardship Obligation: </w:t>
      </w:r>
      <w:r>
        <w:rPr>
          <w:rFonts w:ascii="Arial" w:cs="Arial" w:eastAsia="Arial" w:hAnsi="Arial"/>
          <w:color w:val="000000"/>
          <w:sz w:val="22"/>
          <w:szCs w:val="22"/>
        </w:rPr>
        <w:t>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may trigger Rule Violation proceedings and triggers a mandatory remediation plan.</w:t>
      </w:r>
    </w:p>
    <w:p>
      <w:pPr>
        <w:spacing w:after="60" w:before="60"/>
        <w:ind w:left="720" w:hanging="360"/>
      </w:pPr>
      <w:r>
        <w:rPr>
          <w:rFonts w:ascii="Arial" w:cs="Arial" w:eastAsia="Arial" w:hAnsi="Arial"/>
          <w:b/>
          <w:bCs/>
          <w:color w:val="4A6FA5"/>
          <w:sz w:val="22"/>
          <w:szCs w:val="22"/>
        </w:rPr>
        <w:t xml:space="preserve">17.4.c Co-Management: </w:t>
      </w:r>
      <w:r>
        <w:rPr>
          <w:rFonts w:ascii="Arial" w:cs="Arial" w:eastAsia="Arial" w:hAnsi="Arial"/>
          <w:color w:val="000000"/>
          <w:sz w:val="22"/>
          <w:szCs w:val="22"/>
        </w:rPr>
        <w:t>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ind w:left="720" w:hanging="360"/>
      </w:pPr>
      <w:r>
        <w:rPr>
          <w:rFonts w:ascii="Arial" w:cs="Arial" w:eastAsia="Arial" w:hAnsi="Arial"/>
          <w:b/>
          <w:bCs/>
          <w:color w:val="4A6FA5"/>
          <w:sz w:val="22"/>
          <w:szCs w:val="22"/>
        </w:rPr>
        <w:t xml:space="preserve">17.4.d Reclassification Threshold: </w:t>
      </w:r>
      <w:r>
        <w:rPr>
          <w:rFonts w:ascii="Arial" w:cs="Arial" w:eastAsia="Arial" w:hAnsi="Arial"/>
          <w:color w:val="000000"/>
          <w:sz w:val="22"/>
          <w:szCs w:val="22"/>
        </w:rPr>
        <w:t>Removing any land from National Trust status requires a national referendum under Article XI with a 65% affirmative threshold. No executive order or parliamentary act may reclassify National Trust land without this referendum.</w:t>
      </w:r>
    </w:p>
    <w:p>
      <w:pPr>
        <w:spacing w:after="60" w:before="60"/>
        <w:ind w:left="720" w:hanging="360"/>
      </w:pPr>
      <w:r>
        <w:rPr>
          <w:rFonts w:ascii="Arial" w:cs="Arial" w:eastAsia="Arial" w:hAnsi="Arial"/>
          <w:b/>
          <w:bCs/>
          <w:color w:val="4A6FA5"/>
          <w:sz w:val="22"/>
          <w:szCs w:val="22"/>
        </w:rPr>
        <w:t xml:space="preserve">17.4.e International Sites: </w:t>
      </w:r>
      <w:r>
        <w:rPr>
          <w:rFonts w:ascii="Arial" w:cs="Arial" w:eastAsia="Arial" w:hAnsi="Arial"/>
          <w:color w:val="000000"/>
          <w:sz w:val="22"/>
          <w:szCs w:val="22"/>
        </w:rPr>
        <w:t>National Trust lands recognized under international conservation agreements require a 2/3 Senate vote to withdraw from the relevant international obligation before the national referendum may proceed.</w:t>
      </w:r>
    </w:p>
    <w:p>
      <w:pPr>
        <w:spacing w:after="60" w:before="60"/>
        <w:ind w:left="720" w:hanging="360"/>
      </w:pPr>
      <w:r>
        <w:rPr>
          <w:rFonts w:ascii="Arial" w:cs="Arial" w:eastAsia="Arial" w:hAnsi="Arial"/>
          <w:b/>
          <w:bCs/>
          <w:color w:val="4A6FA5"/>
          <w:sz w:val="22"/>
          <w:szCs w:val="22"/>
        </w:rPr>
        <w:t xml:space="preserve">17.4.f Admission of New Trust Lands: </w:t>
      </w:r>
      <w:r>
        <w:rPr>
          <w:rFonts w:ascii="Arial" w:cs="Arial" w:eastAsia="Arial" w:hAnsi="Arial"/>
          <w:color w:val="000000"/>
          <w:sz w:val="22"/>
          <w:szCs w:val="22"/>
        </w:rPr>
        <w:t>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ind w:left="720" w:hanging="360"/>
      </w:pPr>
      <w:r>
        <w:rPr>
          <w:rFonts w:ascii="Arial" w:cs="Arial" w:eastAsia="Arial" w:hAnsi="Arial"/>
          <w:b/>
          <w:bCs/>
          <w:color w:val="4A6FA5"/>
          <w:sz w:val="22"/>
          <w:szCs w:val="22"/>
        </w:rPr>
        <w:t xml:space="preserve">17.4.g National Trust Administrator: </w:t>
      </w:r>
      <w:r>
        <w:rPr>
          <w:rFonts w:ascii="Arial" w:cs="Arial" w:eastAsia="Arial" w:hAnsi="Arial"/>
          <w:color w:val="000000"/>
          <w:sz w:val="22"/>
          <w:szCs w:val="22"/>
        </w:rPr>
        <w:t>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Removal of a permanently confirmed National Trust Administrator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National Trust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17.5 — Federal Property in Territories</w:t>
      </w:r>
    </w:p>
    <w:p>
      <w:pPr>
        <w:spacing w:after="60" w:before="60"/>
      </w:pPr>
      <w:r>
        <w:rPr>
          <w:rFonts w:ascii="Arial" w:cs="Arial" w:eastAsia="Arial" w:hAnsi="Arial"/>
          <w:color w:val="000000"/>
          <w:sz w:val="22"/>
          <w:szCs w:val="22"/>
        </w:rPr>
        <w:t>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XVIII — ELECTORAL FINANCE AND CAMPAIGN INTEGRITY</w:t>
      </w:r>
    </w:p>
    <w:p>
      <w:pPr>
        <w:spacing w:after="60" w:before="60"/>
      </w:pPr>
      <w:r>
        <w:rPr>
          <w:rFonts w:ascii="Arial" w:cs="Arial" w:eastAsia="Arial" w:hAnsi="Arial"/>
          <w:color w:val="000000"/>
          <w:sz w:val="22"/>
          <w:szCs w:val="22"/>
        </w:rPr>
        <w:t>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spacing w:after="0" w:before="120"/>
      </w:pPr>
      <w:r>
        <w:t xml:space="preserve"/>
      </w:r>
    </w:p>
    <w:p>
      <w:pPr>
        <w:pStyle w:val="Heading2"/>
        <w:spacing w:after="80" w:before="200"/>
      </w:pPr>
      <w:r>
        <w:rPr>
          <w:rFonts w:ascii="Arial" w:cs="Arial" w:eastAsia="Arial" w:hAnsi="Arial"/>
          <w:b/>
          <w:bCs/>
          <w:color w:val="4A6FA5"/>
          <w:sz w:val="24"/>
          <w:szCs w:val="24"/>
        </w:rPr>
        <w:t>Section 18.1 — Foundational Principles</w:t>
      </w:r>
    </w:p>
    <w:p>
      <w:pPr>
        <w:spacing w:after="60" w:before="60"/>
        <w:ind w:left="720" w:hanging="360"/>
      </w:pPr>
      <w:r>
        <w:rPr>
          <w:rFonts w:ascii="Arial" w:cs="Arial" w:eastAsia="Arial" w:hAnsi="Arial"/>
          <w:b/>
          <w:bCs/>
          <w:color w:val="4A6FA5"/>
          <w:sz w:val="22"/>
          <w:szCs w:val="22"/>
        </w:rPr>
        <w:t xml:space="preserve">18.1.a Financial Contributions as Electoral Acts: </w:t>
      </w:r>
      <w:r>
        <w:rPr>
          <w:rFonts w:ascii="Arial" w:cs="Arial" w:eastAsia="Arial" w:hAnsi="Arial"/>
          <w:color w:val="000000"/>
          <w:sz w:val="22"/>
          <w:szCs w:val="22"/>
        </w:rPr>
        <w:t>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ind w:left="720" w:hanging="360"/>
      </w:pPr>
      <w:r>
        <w:rPr>
          <w:rFonts w:ascii="Arial" w:cs="Arial" w:eastAsia="Arial" w:hAnsi="Arial"/>
          <w:b/>
          <w:bCs/>
          <w:color w:val="4A6FA5"/>
          <w:sz w:val="22"/>
          <w:szCs w:val="22"/>
        </w:rPr>
        <w:t xml:space="preserve">18.1.b Natural Persons Only: </w:t>
      </w:r>
      <w:r>
        <w:rPr>
          <w:rFonts w:ascii="Arial" w:cs="Arial" w:eastAsia="Arial" w:hAnsi="Arial"/>
          <w:color w:val="000000"/>
          <w:sz w:val="22"/>
          <w:szCs w:val="22"/>
        </w:rPr>
        <w:t>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ind w:left="720" w:hanging="360"/>
      </w:pPr>
      <w:r>
        <w:rPr>
          <w:rFonts w:ascii="Arial" w:cs="Arial" w:eastAsia="Arial" w:hAnsi="Arial"/>
          <w:b/>
          <w:bCs/>
          <w:color w:val="4A6FA5"/>
          <w:sz w:val="22"/>
          <w:szCs w:val="22"/>
        </w:rPr>
        <w:t xml:space="preserve">18.1.c Voter-Donor Parity: </w:t>
      </w:r>
      <w:r>
        <w:rPr>
          <w:rFonts w:ascii="Arial" w:cs="Arial" w:eastAsia="Arial" w:hAnsi="Arial"/>
          <w:color w:val="000000"/>
          <w:sz w:val="22"/>
          <w:szCs w:val="22"/>
        </w:rPr>
        <w:t>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ind w:left="720" w:hanging="360"/>
      </w:pPr>
      <w:r>
        <w:rPr>
          <w:rFonts w:ascii="Arial" w:cs="Arial" w:eastAsia="Arial" w:hAnsi="Arial"/>
          <w:b/>
          <w:bCs/>
          <w:color w:val="4A6FA5"/>
          <w:sz w:val="22"/>
          <w:szCs w:val="22"/>
        </w:rPr>
        <w:t xml:space="preserve">18.1.d Full Disclosure: </w:t>
      </w:r>
      <w:r>
        <w:rPr>
          <w:rFonts w:ascii="Arial" w:cs="Arial" w:eastAsia="Arial" w:hAnsi="Arial"/>
          <w:color w:val="000000"/>
          <w:sz w:val="22"/>
          <w:szCs w:val="22"/>
        </w:rPr>
        <w:t>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spacing w:after="0" w:before="120"/>
      </w:pPr>
      <w:r>
        <w:t xml:space="preserve"/>
      </w:r>
    </w:p>
    <w:p>
      <w:pPr>
        <w:pStyle w:val="Heading2"/>
        <w:spacing w:after="80" w:before="200"/>
      </w:pPr>
      <w:r>
        <w:rPr>
          <w:rFonts w:ascii="Arial" w:cs="Arial" w:eastAsia="Arial" w:hAnsi="Arial"/>
          <w:b/>
          <w:bCs/>
          <w:color w:val="4A6FA5"/>
          <w:sz w:val="24"/>
          <w:szCs w:val="24"/>
        </w:rPr>
        <w:t>Section 18.2 — Public Campaign Funding</w:t>
      </w:r>
    </w:p>
    <w:p>
      <w:pPr>
        <w:spacing w:after="60" w:before="60"/>
      </w:pPr>
      <w:r>
        <w:rPr>
          <w:rFonts w:ascii="Arial" w:cs="Arial" w:eastAsia="Arial" w:hAnsi="Arial"/>
          <w:color w:val="000000"/>
          <w:sz w:val="22"/>
          <w:szCs w:val="22"/>
        </w:rPr>
        <w:t>the Legislature must by statute establish a system of public campaign financing for all federal elections meeting these constitutional requirements.</w:t>
      </w:r>
    </w:p>
    <w:p>
      <w:pPr>
        <w:spacing w:after="60" w:before="60"/>
        <w:ind w:left="720" w:hanging="360"/>
      </w:pPr>
      <w:r>
        <w:rPr>
          <w:rFonts w:ascii="Arial" w:cs="Arial" w:eastAsia="Arial" w:hAnsi="Arial"/>
          <w:b/>
          <w:bCs/>
          <w:color w:val="4A6FA5"/>
          <w:sz w:val="22"/>
          <w:szCs w:val="22"/>
        </w:rPr>
        <w:t xml:space="preserve">18.2.a Qualification Threshold: </w:t>
      </w:r>
      <w:r>
        <w:rPr>
          <w:rFonts w:ascii="Arial" w:cs="Arial" w:eastAsia="Arial" w:hAnsi="Arial"/>
          <w:color w:val="000000"/>
          <w:sz w:val="22"/>
          <w:szCs w:val="22"/>
        </w:rPr>
        <w:t>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ind w:left="720" w:hanging="360"/>
      </w:pPr>
      <w:r>
        <w:rPr>
          <w:rFonts w:ascii="Arial" w:cs="Arial" w:eastAsia="Arial" w:hAnsi="Arial"/>
          <w:b/>
          <w:bCs/>
          <w:color w:val="4A6FA5"/>
          <w:sz w:val="22"/>
          <w:szCs w:val="22"/>
        </w:rPr>
        <w:t xml:space="preserve">18.2.b Adequate Allocation: </w:t>
      </w:r>
      <w:r>
        <w:rPr>
          <w:rFonts w:ascii="Arial" w:cs="Arial" w:eastAsia="Arial" w:hAnsi="Arial"/>
          <w:color w:val="000000"/>
          <w:sz w:val="22"/>
          <w:szCs w:val="22"/>
        </w:rPr>
        <w:t>The public campaign allocation must be sufficient to allow a qualified candidate to conduct a meaningful campaign. the Legislature reviews the adequacy of the allocation after each election cycle and adjusts by statute as needed.</w:t>
      </w:r>
    </w:p>
    <w:p>
      <w:pPr>
        <w:spacing w:after="60" w:before="60"/>
        <w:ind w:left="720" w:hanging="360"/>
      </w:pPr>
      <w:r>
        <w:rPr>
          <w:rFonts w:ascii="Arial" w:cs="Arial" w:eastAsia="Arial" w:hAnsi="Arial"/>
          <w:b/>
          <w:bCs/>
          <w:color w:val="4A6FA5"/>
          <w:sz w:val="22"/>
          <w:szCs w:val="22"/>
        </w:rPr>
        <w:t xml:space="preserve">18.2.c Optional Participation: </w:t>
      </w:r>
      <w:r>
        <w:rPr>
          <w:rFonts w:ascii="Arial" w:cs="Arial" w:eastAsia="Arial" w:hAnsi="Arial"/>
          <w:color w:val="000000"/>
          <w:sz w:val="22"/>
          <w:szCs w:val="22"/>
        </w:rPr>
        <w:t>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ind w:left="720" w:hanging="360"/>
      </w:pPr>
      <w:r>
        <w:rPr>
          <w:rFonts w:ascii="Arial" w:cs="Arial" w:eastAsia="Arial" w:hAnsi="Arial"/>
          <w:b/>
          <w:bCs/>
          <w:color w:val="4A6FA5"/>
          <w:sz w:val="22"/>
          <w:szCs w:val="22"/>
        </w:rPr>
        <w:t xml:space="preserve">18.2.d EC Administration: </w:t>
      </w:r>
      <w:r>
        <w:rPr>
          <w:rFonts w:ascii="Arial" w:cs="Arial" w:eastAsia="Arial" w:hAnsi="Arial"/>
          <w:color w:val="000000"/>
          <w:sz w:val="22"/>
          <w:szCs w:val="22"/>
        </w:rPr>
        <w:t>The Electoral Commission administers the public funding system and is responsible for verifying candidate qualification, distributing allocated funds, and auditing compliance. All distributions and compliance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18.3 — The Campaign Finance Registry</w:t>
      </w:r>
    </w:p>
    <w:p>
      <w:pPr>
        <w:spacing w:after="60" w:before="60"/>
      </w:pPr>
      <w:r>
        <w:rPr>
          <w:rFonts w:ascii="Arial" w:cs="Arial" w:eastAsia="Arial" w:hAnsi="Arial"/>
          <w:color w:val="000000"/>
          <w:sz w:val="22"/>
          <w:szCs w:val="22"/>
        </w:rPr>
        <w:t>A Campaign Finance Registry — a constitutionally mandated public record — is established as a system distinct from the National Voting System. The Registry records all electoral financial transactions above the de minimis threshold.</w:t>
      </w:r>
    </w:p>
    <w:p>
      <w:pPr>
        <w:spacing w:after="60" w:before="60"/>
        <w:ind w:left="720" w:hanging="360"/>
      </w:pPr>
      <w:r>
        <w:rPr>
          <w:rFonts w:ascii="Arial" w:cs="Arial" w:eastAsia="Arial" w:hAnsi="Arial"/>
          <w:b/>
          <w:bCs/>
          <w:color w:val="4A6FA5"/>
          <w:sz w:val="22"/>
          <w:szCs w:val="22"/>
        </w:rPr>
        <w:t xml:space="preserve">18.3.a Separation from the Voting System: </w:t>
      </w:r>
      <w:r>
        <w:rPr>
          <w:rFonts w:ascii="Arial" w:cs="Arial" w:eastAsia="Arial" w:hAnsi="Arial"/>
          <w:color w:val="000000"/>
          <w:sz w:val="22"/>
          <w:szCs w:val="22"/>
        </w:rPr>
        <w:t>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may trigger Rule Violation proceedings under §2.7.</w:t>
      </w:r>
    </w:p>
    <w:p>
      <w:pPr>
        <w:spacing w:after="60" w:before="60"/>
        <w:ind w:left="720" w:hanging="360"/>
      </w:pPr>
      <w:r>
        <w:rPr>
          <w:rFonts w:ascii="Arial" w:cs="Arial" w:eastAsia="Arial" w:hAnsi="Arial"/>
          <w:b/>
          <w:bCs/>
          <w:color w:val="4A6FA5"/>
          <w:sz w:val="22"/>
          <w:szCs w:val="22"/>
        </w:rPr>
        <w:t xml:space="preserve">18.3.b Registry Contents: </w:t>
      </w:r>
      <w:r>
        <w:rPr>
          <w:rFonts w:ascii="Arial" w:cs="Arial" w:eastAsia="Arial" w:hAnsi="Arial"/>
          <w:color w:val="000000"/>
          <w:sz w:val="22"/>
          <w:szCs w:val="22"/>
        </w:rPr>
        <w:t>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ind w:left="720" w:hanging="360"/>
      </w:pPr>
      <w:r>
        <w:rPr>
          <w:rFonts w:ascii="Arial" w:cs="Arial" w:eastAsia="Arial" w:hAnsi="Arial"/>
          <w:b/>
          <w:bCs/>
          <w:color w:val="4A6FA5"/>
          <w:sz w:val="22"/>
          <w:szCs w:val="22"/>
        </w:rPr>
        <w:t xml:space="preserve">18.3.c Aggregate Attribution: </w:t>
      </w:r>
      <w:r>
        <w:rPr>
          <w:rFonts w:ascii="Arial" w:cs="Arial" w:eastAsia="Arial" w:hAnsi="Arial"/>
          <w:color w:val="000000"/>
          <w:sz w:val="22"/>
          <w:szCs w:val="22"/>
        </w:rPr>
        <w:t>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ind w:left="720" w:hanging="360"/>
      </w:pPr>
      <w:r>
        <w:rPr>
          <w:rFonts w:ascii="Arial" w:cs="Arial" w:eastAsia="Arial" w:hAnsi="Arial"/>
          <w:b/>
          <w:bCs/>
          <w:color w:val="4A6FA5"/>
          <w:sz w:val="22"/>
          <w:szCs w:val="22"/>
        </w:rPr>
        <w:t xml:space="preserve">18.3.d Administration: </w:t>
      </w:r>
      <w:r>
        <w:rPr>
          <w:rFonts w:ascii="Arial" w:cs="Arial" w:eastAsia="Arial" w:hAnsi="Arial"/>
          <w:color w:val="000000"/>
          <w:sz w:val="22"/>
          <w:szCs w:val="22"/>
        </w:rPr>
        <w:t>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XIX — RATIFICATION AND TRANSITION</w:t>
      </w:r>
    </w:p>
    <w:p>
      <w:pPr>
        <w:spacing w:after="0" w:before="120"/>
      </w:pPr>
      <w:r>
        <w:t xml:space="preserve"/>
      </w:r>
    </w:p>
    <w:p>
      <w:pPr>
        <w:pStyle w:val="Heading2"/>
        <w:spacing w:after="80" w:before="200"/>
      </w:pPr>
      <w:r>
        <w:rPr>
          <w:rFonts w:ascii="Arial" w:cs="Arial" w:eastAsia="Arial" w:hAnsi="Arial"/>
          <w:b/>
          <w:bCs/>
          <w:color w:val="4A6FA5"/>
          <w:sz w:val="24"/>
          <w:szCs w:val="24"/>
        </w:rPr>
        <w:t>Section 19.1 — The Activation Threshold</w:t>
      </w:r>
    </w:p>
    <w:p>
      <w:pPr>
        <w:spacing w:after="60" w:before="60"/>
      </w:pPr>
      <w:r>
        <w:rPr>
          <w:rFonts w:ascii="Arial" w:cs="Arial" w:eastAsia="Arial" w:hAnsi="Arial"/>
          <w:color w:val="000000"/>
          <w:sz w:val="22"/>
          <w:szCs w:val="22"/>
        </w:rPr>
        <w:t>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 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spacing w:after="0" w:before="120"/>
      </w:pPr>
      <w:r>
        <w:t xml:space="preserve"/>
      </w:r>
    </w:p>
    <w:p>
      <w:pPr>
        <w:pStyle w:val="Heading2"/>
        <w:spacing w:after="80" w:before="200"/>
      </w:pPr>
      <w:r>
        <w:rPr>
          <w:rFonts w:ascii="Arial" w:cs="Arial" w:eastAsia="Arial" w:hAnsi="Arial"/>
          <w:b/>
          <w:bCs/>
          <w:color w:val="4A6FA5"/>
          <w:sz w:val="24"/>
          <w:szCs w:val="24"/>
        </w:rPr>
        <w:t>Section 19.2 — Day Zero</w:t>
      </w:r>
    </w:p>
    <w:p>
      <w:pPr>
        <w:spacing w:after="60" w:before="60"/>
      </w:pPr>
      <w:r>
        <w:rPr>
          <w:rFonts w:ascii="Arial" w:cs="Arial" w:eastAsia="Arial" w:hAnsi="Arial"/>
          <w:color w:val="000000"/>
          <w:sz w:val="22"/>
          <w:szCs w:val="22"/>
        </w:rPr>
        <w:t>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18-month Transition Window begins.</w:t>
      </w:r>
    </w:p>
    <w:p>
      <w:pPr>
        <w:spacing w:after="0" w:before="120"/>
      </w:pPr>
      <w:r>
        <w:t xml:space="preserve"/>
      </w:r>
    </w:p>
    <w:p>
      <w:pPr>
        <w:pStyle w:val="Heading2"/>
        <w:spacing w:after="80" w:before="200"/>
      </w:pPr>
      <w:r>
        <w:rPr>
          <w:rFonts w:ascii="Arial" w:cs="Arial" w:eastAsia="Arial" w:hAnsi="Arial"/>
          <w:b/>
          <w:bCs/>
          <w:color w:val="4A6FA5"/>
          <w:sz w:val="24"/>
          <w:szCs w:val="24"/>
        </w:rPr>
        <w:t>Section 19.3 — The Four-Phase Transition</w:t>
      </w:r>
    </w:p>
    <w:p>
      <w:pPr>
        <w:spacing w:after="60" w:before="60"/>
      </w:pPr>
      <w:r>
        <w:rPr>
          <w:rFonts w:ascii="Arial" w:cs="Arial" w:eastAsia="Arial" w:hAnsi="Arial"/>
          <w:color w:val="000000"/>
          <w:sz w:val="22"/>
          <w:szCs w:val="22"/>
        </w:rPr>
        <w:t>The transition is structured as an 18-month, four-phase process to prevent systemic shock and provide adequate time for institutional construction.</w:t>
      </w:r>
    </w:p>
    <w:p>
      <w:pPr>
        <w:spacing w:after="60" w:before="60"/>
      </w:pPr>
      <w:r>
        <w:t>19.3.a Phase 0 — Pre-Ratification Preparation: The period before the ratification vote during which the interim Electoral Commission is constituted, the National Voting System is certified operational, and the joint Inspectorate panel is formed. Phase 0 ends upon Day Zero.</w:t>
      </w:r>
    </w:p>
    <w:p>
      <w:pPr>
        <w:spacing w:after="60" w:before="60"/>
      </w:pPr>
      <w:r>
        <w:t>19.3.b Phase 1 — Emergency Stabilisation (Days 1–90): Existing government officials serve as caretakers under §19.4. The Basic Needs Floor activates at the constitutional minimum. No new permanent legislation may be passed. Phase 1 ends at Day 90.</w:t>
      </w:r>
    </w:p>
    <w:p>
      <w:pPr>
        <w:spacing w:after="60" w:before="60"/>
      </w:pPr>
      <w:r>
        <w:t>19.3.c Phase 2 — Institutional Construction (Days 91–270): 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pPr>
      <w:r>
        <w:t>19.3.d Phase 3 — First Elections (Days 271–450): The first National Election Day is held. Supreme Court justices are elected simultaneously through the Triad process. The Electoral Commission holds its inaugural elections. Phase 3 ends when the first Legislature is sworn in and the first President and Prime Minister take office.</w:t>
      </w:r>
    </w:p>
    <w:p>
      <w:pPr>
        <w:spacing w:after="60" w:before="60"/>
      </w:pPr>
      <w:r>
        <w:t>19.3.e Phase 4 — Full Constitutional Operation: The Republic enters full constitutional operation from the date the first Legislature convenes and the first executives take the oath of office. All constitutional provisions are fully operative from Phase 4 activation. The 18-month Transition Window concludes at the end of Phase 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Months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Priority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Key Actions</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1</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Infrastructure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Establish National Record System including non-digital pathway; constitute Inspectorates; conduct Electoral Commission elections; seat of government determination.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2</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5–10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Legal Audit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 Audits for all States; Statehood vs. Territory determinations; legal cleanup; NVS testing and certification.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3</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National Elections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First National Election Day: all 9 Supreme Court seats, all Senate seats, all House seats, all Electoral Commission seats, the Presidency, and the Monetary Authority Director elected simultaneously. House seats PM within 45 days. President and MA Director take office at Phase 4 activation.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4</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Month 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Full Activation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Nullification of laws conflicting with Article I; all elected officials sworn in; Republic fully operational. First fiscal year grace period of 6 months applies.</w:t>
            </w:r>
          </w:p>
        </w:tc>
      </w:tr>
    </w:tbl>
    <w:p>
      <w:pPr>
        <w:spacing w:after="0" w:before="120"/>
      </w:pPr>
      <w:r>
        <w:t xml:space="preserve"/>
      </w:r>
    </w:p>
    <w:p>
      <w:pPr>
        <w:pStyle w:val="Heading2"/>
        <w:spacing w:after="80" w:before="200"/>
      </w:pPr>
      <w:r>
        <w:rPr>
          <w:rFonts w:ascii="Arial" w:cs="Arial" w:eastAsia="Arial" w:hAnsi="Arial"/>
          <w:b/>
          <w:bCs/>
          <w:color w:val="4A6FA5"/>
          <w:sz w:val="24"/>
          <w:szCs w:val="24"/>
        </w:rPr>
        <w:t>Section 19.4 — Caretaker Status</w:t>
      </w:r>
    </w:p>
    <w:p>
      <w:pPr>
        <w:spacing w:after="60" w:before="60"/>
      </w:pPr>
      <w:r>
        <w:rPr>
          <w:rFonts w:ascii="Arial" w:cs="Arial" w:eastAsia="Arial" w:hAnsi="Arial"/>
          <w:color w:val="000000"/>
          <w:sz w:val="22"/>
          <w:szCs w:val="22"/>
        </w:rPr>
        <w:t>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spacing w:after="0" w:before="120"/>
      </w:pPr>
      <w:r>
        <w:t xml:space="preserve"/>
      </w:r>
    </w:p>
    <w:p>
      <w:pPr>
        <w:pStyle w:val="Heading2"/>
        <w:spacing w:after="80" w:before="200"/>
      </w:pPr>
      <w:r>
        <w:rPr>
          <w:rFonts w:ascii="Arial" w:cs="Arial" w:eastAsia="Arial" w:hAnsi="Arial"/>
          <w:b/>
          <w:bCs/>
          <w:color w:val="4A6FA5"/>
          <w:sz w:val="24"/>
          <w:szCs w:val="24"/>
        </w:rPr>
        <w:t>Section 19.5 — Pre-Constitutional Classified Documents</w:t>
      </w:r>
    </w:p>
    <w:p>
      <w:pPr>
        <w:spacing w:after="60" w:before="60"/>
      </w:pPr>
      <w:r>
        <w:rPr>
          <w:rFonts w:ascii="Arial" w:cs="Arial" w:eastAsia="Arial" w:hAnsi="Arial"/>
          <w:color w:val="000000"/>
          <w:sz w:val="22"/>
          <w:szCs w:val="22"/>
        </w:rPr>
        <w:t>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Rule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spacing w:after="0" w:before="120"/>
      </w:pPr>
      <w:r>
        <w:t xml:space="preserve"/>
      </w:r>
    </w:p>
    <w:p>
      <w:pPr>
        <w:pStyle w:val="Heading2"/>
        <w:spacing w:after="80" w:before="200"/>
      </w:pPr>
      <w:r>
        <w:rPr>
          <w:rFonts w:ascii="Arial" w:cs="Arial" w:eastAsia="Arial" w:hAnsi="Arial"/>
          <w:b/>
          <w:bCs/>
          <w:color w:val="4A6FA5"/>
          <w:sz w:val="24"/>
          <w:szCs w:val="24"/>
        </w:rPr>
        <w:t>Section 19.6 — Pre-Existing Obligations</w:t>
      </w:r>
    </w:p>
    <w:p>
      <w:pPr>
        <w:spacing w:after="60" w:before="60"/>
        <w:ind w:left="720" w:hanging="360"/>
      </w:pPr>
      <w:r>
        <w:rPr>
          <w:rFonts w:ascii="Arial" w:cs="Arial" w:eastAsia="Arial" w:hAnsi="Arial"/>
          <w:b/>
          <w:bCs/>
          <w:color w:val="4A6FA5"/>
          <w:sz w:val="22"/>
          <w:szCs w:val="22"/>
        </w:rPr>
        <w:t xml:space="preserve">19.6.a Debt Assumption: </w:t>
      </w:r>
      <w:r>
        <w:rPr>
          <w:rFonts w:ascii="Arial" w:cs="Arial" w:eastAsia="Arial" w:hAnsi="Arial"/>
          <w:color w:val="000000"/>
          <w:sz w:val="22"/>
          <w:szCs w:val="22"/>
        </w:rPr>
        <w:t>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ind w:left="720" w:hanging="360"/>
      </w:pPr>
      <w:r>
        <w:rPr>
          <w:rFonts w:ascii="Arial" w:cs="Arial" w:eastAsia="Arial" w:hAnsi="Arial"/>
          <w:b/>
          <w:bCs/>
          <w:color w:val="4A6FA5"/>
          <w:sz w:val="22"/>
          <w:szCs w:val="22"/>
        </w:rPr>
        <w:t xml:space="preserve">19.6.b Active Military Operations: </w:t>
      </w:r>
      <w:r>
        <w:rPr>
          <w:rFonts w:ascii="Arial" w:cs="Arial" w:eastAsia="Arial" w:hAnsi="Arial"/>
          <w:color w:val="000000"/>
          <w:sz w:val="22"/>
          <w:szCs w:val="22"/>
        </w:rPr>
        <w:t>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ind w:left="720" w:hanging="360"/>
      </w:pPr>
      <w:r>
        <w:rPr>
          <w:rFonts w:ascii="Arial" w:cs="Arial" w:eastAsia="Arial" w:hAnsi="Arial"/>
          <w:b/>
          <w:bCs/>
          <w:color w:val="4A6FA5"/>
          <w:sz w:val="22"/>
          <w:szCs w:val="22"/>
        </w:rPr>
        <w:t xml:space="preserve">19.6.c Social Insurance Programs: </w:t>
      </w:r>
      <w:r>
        <w:rPr>
          <w:rFonts w:ascii="Arial" w:cs="Arial" w:eastAsia="Arial" w:hAnsi="Arial"/>
          <w:color w:val="000000"/>
          <w:sz w:val="22"/>
          <w:szCs w:val="22"/>
        </w:rPr>
        <w:t>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ind w:left="720" w:hanging="360"/>
      </w:pPr>
      <w:r>
        <w:rPr>
          <w:rFonts w:ascii="Arial" w:cs="Arial" w:eastAsia="Arial" w:hAnsi="Arial"/>
          <w:b/>
          <w:bCs/>
          <w:color w:val="4A6FA5"/>
          <w:sz w:val="22"/>
          <w:szCs w:val="22"/>
        </w:rPr>
        <w:t xml:space="preserve">19.6.d Veterans and National Service Obligations: </w:t>
      </w:r>
      <w:r>
        <w:rPr>
          <w:rFonts w:ascii="Arial" w:cs="Arial" w:eastAsia="Arial" w:hAnsi="Arial"/>
          <w:color w:val="000000"/>
          <w:sz w:val="22"/>
          <w:szCs w:val="22"/>
        </w:rPr>
        <w:t>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ind w:left="720" w:hanging="360"/>
      </w:pPr>
      <w:r>
        <w:rPr>
          <w:rFonts w:ascii="Arial" w:cs="Arial" w:eastAsia="Arial" w:hAnsi="Arial"/>
          <w:b/>
          <w:bCs/>
          <w:color w:val="4A6FA5"/>
          <w:sz w:val="22"/>
          <w:szCs w:val="22"/>
        </w:rPr>
        <w:t xml:space="preserve">19.6.e Constitutional Claims Court: </w:t>
      </w:r>
      <w:r>
        <w:rPr>
          <w:rFonts w:ascii="Arial" w:cs="Arial" w:eastAsia="Arial" w:hAnsi="Arial"/>
          <w:color w:val="000000"/>
          <w:sz w:val="22"/>
          <w:szCs w:val="22"/>
        </w:rPr>
        <w:t>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19.6.f Legal Continuity: </w:t>
      </w:r>
      <w:r>
        <w:rPr>
          <w:rFonts w:ascii="Arial" w:cs="Arial" w:eastAsia="Arial" w:hAnsi="Arial"/>
          <w:color w:val="000000"/>
          <w:sz w:val="22"/>
          <w:szCs w:val="22"/>
        </w:rPr>
        <w:t>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Style w:val="Heading2"/>
        <w:spacing w:after="80" w:before="200"/>
      </w:pPr>
      <w:r>
        <w:rPr>
          <w:rFonts w:ascii="Arial" w:cs="Arial" w:eastAsia="Arial" w:hAnsi="Arial"/>
          <w:b/>
          <w:bCs/>
          <w:color w:val="4A6FA5"/>
          <w:sz w:val="24"/>
          <w:szCs w:val="24"/>
        </w:rPr>
        <w:t>Section 19.7 — Transition-Period Territorial and Subdivision Elections</w:t>
      </w:r>
    </w:p>
    <w:p>
      <w:pPr>
        <w:spacing w:after="60" w:before="60"/>
      </w:pPr>
      <w:r>
        <w:rPr>
          <w:rFonts w:ascii="Arial" w:cs="Arial" w:eastAsia="Arial" w:hAnsi="Arial"/>
          <w:color w:val="000000"/>
          <w:sz w:val="22"/>
          <w:szCs w:val="22"/>
        </w:rPr>
        <w:t>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ind w:left="720" w:hanging="360"/>
      </w:pPr>
      <w:r>
        <w:rPr>
          <w:rFonts w:ascii="Arial" w:cs="Arial" w:eastAsia="Arial" w:hAnsi="Arial"/>
          <w:b/>
          <w:bCs/>
          <w:color w:val="4A6FA5"/>
          <w:sz w:val="22"/>
          <w:szCs w:val="22"/>
        </w:rPr>
        <w:t xml:space="preserve">19.7.a Transition-Period Territorial Elections: </w:t>
      </w:r>
      <w:r>
        <w:rPr>
          <w:rFonts w:ascii="Arial" w:cs="Arial" w:eastAsia="Arial" w:hAnsi="Arial"/>
          <w:color w:val="000000"/>
          <w:sz w:val="22"/>
          <w:szCs w:val="22"/>
        </w:rPr>
        <w:t>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ind w:left="720" w:hanging="360"/>
      </w:pPr>
      <w:r>
        <w:rPr>
          <w:rFonts w:ascii="Arial" w:cs="Arial" w:eastAsia="Arial" w:hAnsi="Arial"/>
          <w:b/>
          <w:bCs/>
          <w:color w:val="4A6FA5"/>
          <w:sz w:val="22"/>
          <w:szCs w:val="22"/>
        </w:rPr>
        <w:t xml:space="preserve">19.7.b Subdivision Elections: </w:t>
      </w:r>
      <w:r>
        <w:rPr>
          <w:rFonts w:ascii="Arial" w:cs="Arial" w:eastAsia="Arial" w:hAnsi="Arial"/>
          <w:color w:val="000000"/>
          <w:sz w:val="22"/>
          <w:szCs w:val="22"/>
        </w:rPr>
        <w:t>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ind w:left="720" w:hanging="360"/>
      </w:pPr>
      <w:r>
        <w:rPr>
          <w:rFonts w:ascii="Arial" w:cs="Arial" w:eastAsia="Arial" w:hAnsi="Arial"/>
          <w:b/>
          <w:bCs/>
          <w:color w:val="4A6FA5"/>
          <w:sz w:val="22"/>
          <w:szCs w:val="22"/>
        </w:rPr>
        <w:t xml:space="preserve">19.7.c Phase 2 Statehood Audit Failures: </w:t>
      </w:r>
      <w:r>
        <w:rPr>
          <w:rFonts w:ascii="Arial" w:cs="Arial" w:eastAsia="Arial" w:hAnsi="Arial"/>
          <w:color w:val="000000"/>
          <w:sz w:val="22"/>
          <w:szCs w:val="22"/>
        </w:rPr>
        <w:t>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ind w:left="720" w:hanging="360"/>
      </w:pPr>
      <w:r>
        <w:rPr>
          <w:rFonts w:ascii="Arial" w:cs="Arial" w:eastAsia="Arial" w:hAnsi="Arial"/>
          <w:b/>
          <w:bCs/>
          <w:color w:val="4A6FA5"/>
          <w:sz w:val="22"/>
          <w:szCs w:val="22"/>
        </w:rPr>
        <w:t xml:space="preserve">19.7.d Pre-Existing Territories and the District: </w:t>
      </w:r>
      <w:r>
        <w:rPr>
          <w:rFonts w:ascii="Arial" w:cs="Arial" w:eastAsia="Arial" w:hAnsi="Arial"/>
          <w:color w:val="000000"/>
          <w:sz w:val="22"/>
          <w:szCs w:val="22"/>
        </w:rPr>
        <w:t>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ind w:left="720" w:hanging="360"/>
      </w:pPr>
      <w:r>
        <w:rPr>
          <w:rFonts w:ascii="Arial" w:cs="Arial" w:eastAsia="Arial" w:hAnsi="Arial"/>
          <w:b/>
          <w:bCs/>
          <w:color w:val="4A6FA5"/>
          <w:sz w:val="22"/>
          <w:szCs w:val="22"/>
        </w:rPr>
        <w:t xml:space="preserve">19.7.e Joint Inspectorate Panel Role: </w:t>
      </w:r>
      <w:r>
        <w:rPr>
          <w:rFonts w:ascii="Arial" w:cs="Arial" w:eastAsia="Arial" w:hAnsi="Arial"/>
          <w:color w:val="000000"/>
          <w:sz w:val="22"/>
          <w:szCs w:val="22"/>
        </w:rPr>
        <w:t>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panel publishes a complete transition status map updated monthly during Phase 2.</w:t>
      </w:r>
    </w:p>
    <w:p>
      <w:pPr>
        <w:spacing w:after="0" w:before="120"/>
      </w:pPr>
      <w:r>
        <w:t xml:space="preserve"/>
      </w:r>
    </w:p>
    <w:p>
      <w:pPr>
        <w:pStyle w:val="Heading2"/>
        <w:spacing w:after="80" w:before="200"/>
      </w:pPr>
      <w:r>
        <w:rPr>
          <w:rFonts w:ascii="Arial" w:cs="Arial" w:eastAsia="Arial" w:hAnsi="Arial"/>
          <w:b/>
          <w:bCs/>
          <w:color w:val="4A6FA5"/>
          <w:sz w:val="24"/>
          <w:szCs w:val="24"/>
        </w:rPr>
        <w:t>Section 19.8 — Transition Candidate Registers</w:t>
      </w:r>
    </w:p>
    <w:p>
      <w:pPr>
        <w:spacing w:after="60" w:before="60"/>
        <w:ind w:left="720" w:hanging="360"/>
      </w:pPr>
      <w:r>
        <w:rPr>
          <w:rFonts w:ascii="Arial" w:cs="Arial" w:eastAsia="Arial" w:hAnsi="Arial"/>
          <w:b/>
          <w:bCs/>
          <w:color w:val="4A6FA5"/>
          <w:sz w:val="22"/>
          <w:szCs w:val="22"/>
        </w:rPr>
        <w:t xml:space="preserve">19.8.a Initial Register Assembly: </w:t>
      </w:r>
      <w:r>
        <w:rPr>
          <w:rFonts w:ascii="Arial" w:cs="Arial" w:eastAsia="Arial" w:hAnsi="Arial"/>
          <w:color w:val="000000"/>
          <w:sz w:val="22"/>
          <w:szCs w:val="22"/>
        </w:rPr>
        <w:t>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ind w:left="720" w:hanging="360"/>
      </w:pPr>
      <w:r>
        <w:rPr>
          <w:rFonts w:ascii="Arial" w:cs="Arial" w:eastAsia="Arial" w:hAnsi="Arial"/>
          <w:b/>
          <w:bCs/>
          <w:color w:val="4A6FA5"/>
          <w:sz w:val="22"/>
          <w:szCs w:val="22"/>
        </w:rPr>
        <w:t xml:space="preserve">19.8.b Interim Functions and First Nomination: </w:t>
      </w:r>
      <w:r>
        <w:rPr>
          <w:rFonts w:ascii="Arial" w:cs="Arial" w:eastAsia="Arial" w:hAnsi="Arial"/>
          <w:color w:val="000000"/>
          <w:sz w:val="22"/>
          <w:szCs w:val="22"/>
        </w:rPr>
        <w:t>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Style w:val="Heading2"/>
      </w:pPr>
      <w:r>
        <w:rPr>
          <w:b/>
        </w:rPr>
        <w:t>Section 19.9 — Transitional Accountability Mechanism</w:t>
      </w:r>
    </w:p>
    <w:p>
      <w:pPr>
        <w:spacing w:after="60" w:before="60"/>
        <w:ind w:left="720" w:hanging="360"/>
      </w:pPr>
      <w:r>
        <w:rPr>
          <w:rFonts w:ascii="Arial" w:cs="Arial" w:eastAsia="Arial" w:hAnsi="Arial"/>
          <w:b/>
          <w:bCs/>
          <w:color w:val="4A6FA5"/>
          <w:sz w:val="22"/>
          <w:szCs w:val="22"/>
        </w:rPr>
      </w:r>
      <w:r>
        <w:rPr>
          <w:rFonts w:ascii="Arial" w:cs="Arial" w:eastAsia="Arial" w:hAnsi="Arial"/>
          <w:color w:val="000000"/>
          <w:sz w:val="22"/>
          <w:szCs w:val="22"/>
        </w:rPr>
        <w:t>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ind w:left="720" w:hanging="360"/>
      </w:pPr>
      <w:r>
        <w:rPr>
          <w:rFonts w:ascii="Arial" w:cs="Arial" w:eastAsia="Arial" w:hAnsi="Arial"/>
          <w:b/>
          <w:bCs/>
          <w:color w:val="4A6FA5"/>
          <w:sz w:val="22"/>
          <w:szCs w:val="22"/>
        </w:rPr>
        <w:t xml:space="preserve">19.9.b Amendment and Successor Bar: </w:t>
      </w:r>
      <w:r>
        <w:rPr>
          <w:rFonts w:ascii="Arial" w:cs="Arial" w:eastAsia="Arial" w:hAnsi="Arial"/>
          <w:color w:val="000000"/>
          <w:sz w:val="22"/>
          <w:szCs w:val="22"/>
        </w:rPr>
        <w:t>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ind w:left="720" w:hanging="360"/>
      </w:pPr>
      <w:r>
        <w:rPr>
          <w:rFonts w:ascii="Arial" w:cs="Arial" w:eastAsia="Arial" w:hAnsi="Arial"/>
          <w:b/>
          <w:bCs/>
          <w:color w:val="4A6FA5"/>
          <w:sz w:val="22"/>
          <w:szCs w:val="22"/>
        </w:rPr>
        <w:t xml:space="preserve">19.9.c Jurisdiction and Publication Limits: </w:t>
      </w:r>
      <w:r>
        <w:rPr>
          <w:rFonts w:ascii="Arial" w:cs="Arial" w:eastAsia="Arial" w:hAnsi="Arial"/>
          <w:color w:val="000000"/>
          <w:sz w:val="22"/>
          <w:szCs w:val="22"/>
        </w:rPr>
        <w:t>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ind w:left="720" w:hanging="360"/>
      </w:pPr>
      <w:r>
        <w:rPr>
          <w:rFonts w:ascii="Arial" w:cs="Arial" w:eastAsia="Arial" w:hAnsi="Arial"/>
          <w:b/>
          <w:bCs/>
          <w:color w:val="4A6FA5"/>
          <w:sz w:val="22"/>
          <w:szCs w:val="22"/>
        </w:rPr>
        <w:t xml:space="preserve">19.9.d Sunset and Constitutional Rationale: </w:t>
      </w:r>
      <w:r>
        <w:rPr>
          <w:rFonts w:ascii="Arial" w:cs="Arial" w:eastAsia="Arial" w:hAnsi="Arial"/>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 </w:t>
      </w:r>
    </w:p>
    <w:p>
      <w:pPr>
        <w:spacing w:after="0" w:before="120"/>
      </w:pPr>
      <w:r>
        <w:t xml:space="preserve"/>
      </w:r>
    </w:p>
    <w:p>
      <w:pPr>
        <w:pStyle w:val="Heading1"/>
        <w:spacing w:after="120" w:before="360"/>
      </w:pPr>
      <w:r>
        <w:rPr>
          <w:rFonts w:ascii="Arial" w:cs="Arial" w:eastAsia="Arial" w:hAnsi="Arial"/>
          <w:b/>
          <w:bCs/>
          <w:color w:val="1B2A4A"/>
          <w:sz w:val="32"/>
          <w:szCs w:val="32"/>
        </w:rPr>
        <w:t>ARTICLE XX — ASSOCIATED COMMUNITY RELATIONSHIPS</w:t>
      </w:r>
    </w:p>
    <w:p>
      <w:pPr>
        <w:spacing w:after="60" w:before="60"/>
      </w:pPr>
      <w:r>
        <w:rPr>
          <w:rFonts w:ascii="Arial" w:cs="Arial" w:eastAsia="Arial" w:hAnsi="Arial"/>
          <w:color w:val="000000"/>
          <w:sz w:val="22"/>
          <w:szCs w:val="22"/>
        </w:rPr>
        <w:t>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Style w:val="Heading2"/>
      </w:pPr>
      <w:r>
        <w:t>Section 20.1 — Associated Community Status</w:t>
      </w:r>
    </w:p>
    <w:p>
      <w:pPr>
        <w:spacing w:after="60" w:before="60"/>
        <w:ind w:left="720" w:hanging="360"/>
      </w:pPr>
      <w:r>
        <w:rPr>
          <w:rFonts w:ascii="Arial" w:cs="Arial" w:eastAsia="Arial" w:hAnsi="Arial"/>
          <w:b/>
          <w:bCs/>
          <w:color w:val="4A6FA5"/>
          <w:sz w:val="22"/>
          <w:szCs w:val="22"/>
        </w:rPr>
        <w:t xml:space="preserve">20.1 Associated Community Status: </w:t>
      </w:r>
      <w:r>
        <w:rPr>
          <w:rFonts w:ascii="Arial" w:cs="Arial" w:eastAsia="Arial" w:hAnsi="Arial"/>
          <w:color w:val="000000"/>
          <w:sz w:val="22"/>
          <w:szCs w:val="22"/>
        </w:rPr>
        <w:t>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Style w:val="Heading2"/>
      </w:pPr>
      <w:r>
        <w:t>Section 20.2 — Compact Terms and Equal Sovereignty</w:t>
      </w:r>
    </w:p>
    <w:p>
      <w:pPr>
        <w:spacing w:after="60" w:before="60"/>
        <w:ind w:left="720" w:hanging="360"/>
      </w:pPr>
      <w:r>
        <w:rPr>
          <w:rFonts w:ascii="Arial" w:cs="Arial" w:eastAsia="Arial" w:hAnsi="Arial"/>
          <w:b/>
          <w:bCs/>
          <w:color w:val="4A6FA5"/>
          <w:sz w:val="22"/>
          <w:szCs w:val="22"/>
        </w:rPr>
        <w:t xml:space="preserve">20.2 Compact Terms and Equal Sovereignty: </w:t>
      </w:r>
      <w:r>
        <w:rPr>
          <w:rFonts w:ascii="Arial" w:cs="Arial" w:eastAsia="Arial" w:hAnsi="Arial"/>
          <w:color w:val="000000"/>
          <w:sz w:val="22"/>
          <w:szCs w:val="22"/>
        </w:rPr>
        <w:t>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Style w:val="Heading2"/>
      </w:pPr>
      <w:r>
        <w:t>Section 20.3 — Compact Conditions and Ongoing Compliance</w:t>
      </w:r>
    </w:p>
    <w:p>
      <w:pPr>
        <w:spacing w:after="60" w:before="60"/>
        <w:ind w:left="720" w:hanging="360"/>
      </w:pPr>
      <w:r>
        <w:rPr>
          <w:rFonts w:ascii="Arial" w:cs="Arial" w:eastAsia="Arial" w:hAnsi="Arial"/>
          <w:b/>
          <w:bCs/>
          <w:color w:val="4A6FA5"/>
          <w:sz w:val="22"/>
          <w:szCs w:val="22"/>
        </w:rPr>
        <w:t xml:space="preserve">20.3 Compact Conditions and Ongoing Compliance: </w:t>
      </w:r>
      <w:r>
        <w:rPr>
          <w:rFonts w:ascii="Arial" w:cs="Arial" w:eastAsia="Arial" w:hAnsi="Arial"/>
          <w:color w:val="000000"/>
          <w:sz w:val="22"/>
          <w:szCs w:val="22"/>
        </w:rPr>
        <w:t>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Style w:val="Heading2"/>
      </w:pPr>
      <w:r>
        <w:t>Section 20.4 — Sovereign Mobility</w:t>
      </w:r>
    </w:p>
    <w:p>
      <w:pPr>
        <w:spacing w:after="60" w:before="60"/>
        <w:ind w:left="720" w:hanging="360"/>
      </w:pPr>
      <w:r>
        <w:rPr>
          <w:rFonts w:ascii="Arial" w:cs="Arial" w:eastAsia="Arial" w:hAnsi="Arial"/>
          <w:b/>
          <w:bCs/>
          <w:color w:val="4A6FA5"/>
          <w:sz w:val="22"/>
          <w:szCs w:val="22"/>
        </w:rPr>
        <w:t xml:space="preserve">20.4 Sovereign Mobility: </w:t>
      </w:r>
      <w:r>
        <w:rPr>
          <w:rFonts w:ascii="Arial" w:cs="Arial" w:eastAsia="Arial" w:hAnsi="Arial"/>
          <w:color w:val="000000"/>
          <w:sz w:val="22"/>
          <w:szCs w:val="22"/>
        </w:rPr>
        <w:t>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Style w:val="Heading2"/>
      </w:pPr>
      <w:r>
        <w:t>Section 20.5 — Reciprocal Obligations and Review</w:t>
      </w:r>
    </w:p>
    <w:p>
      <w:pPr>
        <w:spacing w:after="60" w:before="60"/>
        <w:ind w:left="720" w:hanging="360"/>
      </w:pPr>
      <w:r>
        <w:rPr>
          <w:rFonts w:ascii="Arial" w:cs="Arial" w:eastAsia="Arial" w:hAnsi="Arial"/>
          <w:b/>
          <w:bCs/>
          <w:color w:val="4A6FA5"/>
          <w:sz w:val="22"/>
          <w:szCs w:val="22"/>
        </w:rPr>
        <w:t xml:space="preserve">20.5 Reciprocal Obligations and Review: </w:t>
      </w:r>
      <w:r>
        <w:rPr>
          <w:rFonts w:ascii="Arial" w:cs="Arial" w:eastAsia="Arial" w:hAnsi="Arial"/>
          <w:color w:val="000000"/>
          <w:sz w:val="22"/>
          <w:szCs w:val="22"/>
        </w:rPr>
        <w:t>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SCHEDULE A — AUTHORITY REFERENCE MATRIX</w:t>
      </w:r>
    </w:p>
    <w:p>
      <w:pPr>
        <w:spacing w:after="60" w:before="60"/>
      </w:pPr>
      <w:r>
        <w:rPr>
          <w:rFonts w:ascii="Arial" w:cs="Arial" w:eastAsia="Arial" w:hAnsi="Arial"/>
          <w:color w:val="000000"/>
          <w:sz w:val="22"/>
          <w:szCs w:val="22"/>
        </w:rPr>
        <w:t>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Domain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Primary Authority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Role / Limit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Fundamental Rights (Absolute — Article 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Right to Life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state deprivation except unanimous-jury capital sentence; no emergency derogation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Prohibition of Torture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Permanently unamendable; no exception; criminal prosecution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Prohibition of Slavery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Permanently unamendable; jury duty and community service are not forced labor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Habeas Corpus + First Appearance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24-hr First Appearance; continuous Habeas right;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Equality Before the Law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9 protected characteristics; binds all branches and public-funded entities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Executive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Defense &amp; Diplomacy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20-yr citizenship; 6-yr single term; no domestic policy; three-tier military 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1 — Immediate Defense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no prior approval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Defensive only; threat-duration limited; 30-day cumulative threshold triggers Tier 2; 12-hr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2 — Senate Armed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Committee — within 96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Offensive ops; simple majority; covers up to 30 days; PM certifies funds within 96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3 — Legislative Declaration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Extended ops; re-auth every 180 days; 5-yr max; Emergency Defense Allocation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Emergency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or Caretaker PM declares; the Legislature ratifies 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Caretaker PM retains full §2.2.e emergency authority; no Article I suspension; Senate may extend 7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Dissolution Loop Protocol (§2.3.e)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2/3 appoints Senate-Nominated Caretaker PM after 2nd consecutive dissolution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Full PM authority for 90 days; non-partisan candidates; House must then seat permanent PM or new election called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Administration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Prime Minister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10-yr citizenship; serves at House confidence; max 8 consecutive years; 6-month notice at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Legislative Objection (§2.4)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Suspensive Veto + Fiscal Objection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Suspensive: returns bill for one session, absolute majority override; Fiscal: simple majority override; one instrument per bill; PM never has absolute veto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Veto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national security domain + cross-domain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Direct/specific/material nexus required; SCOTUS 48-hr review (scope + justification); 3-void-in-180-days = suspension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Emergency House Continuity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provisional — 30-day max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Only when House physically cannot convene; House ratifies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Succession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Speaker of Senate → PM → Speaker of House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security functions only; Speaker role limit: 3 consecutive sessions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Legislative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2-year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6 consecutive terms (12 years); 1-term cooling-off; eligible again after cooling-off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6-year staggered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2 consecutive terms (12 years); 1-term (6-year) cooling-off; eligible again after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Speaker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3 consecutive sessions (6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1-session cooling-off as non-Speaker Senator; does not limit Senate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Election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Every 2 years — all federal elections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Senate (when due), SCOTUS seat, EC seats, President (every 3rd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Composition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defines formula by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Proportional to citizen population; one seat per State minimum; the Legislature justifies chosen size in first budget cycle; automatic scaling without legislative reauthorization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House + Senate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Single-subject; 14-day exposure; Senate 30-day review; the Legislative Review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Impeachment — House Initiated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1/3 inquiry; simple majority Articles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continues in office pending trial; §2.6 track bypasses House for Rule Violations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Impeachment — Senate Trial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of all seated Senators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Senior SCOTUS justice presides; removal automatic on conviction; future office bar by simple majority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Expulsion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all seated members (3/4 if pending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Ethics committee investigation required; 2-year bar on re-election; State recall operates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Election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States — broad time/place/manner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Early voting, mail voting, extended hours permitted; no financial barrier; EC certifies compliance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Judicial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Appointment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Triad (Senate/PM/President) → JI Vetting → Public Election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vets nominees using Registry records; all certified nominees proceed to national RCV election; Senate has 90 days to nominate for mid-term vacancies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Term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12-year single non-renewable term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One seat every 2 years; mid-term vacancy = special election for remainder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scope and independence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courts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Injury required; no advisory opinions; Constitution as written; Fundamental Rights Floor gap-fill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Oversight &amp; Transparency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Inspectorate (LI)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nominates → Senate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excluded; census + district + regional drawing authority;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Executive Inspectorate (EI)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nominates → Senate (simple)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Domain boundary, classification, Monetary Authority, Treaty Certification audit;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Inspectorate (JI)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Lottery — Qualified Jurist Pool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Registry; referendum screens; EC audit; For-Cause removal only;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Facts only — no constitutional violation conclusions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Elected body acts within a window defined by statute; automatic consequence on inaction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Funding (§8.10)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Adequate funding — the Legislature defines minimum formula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May not reduce below prior year without 2/3 vote; Monetary Authority certifies adequacy; Severe Contraction proportional reduction permitted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Minority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Staff → NRS + Oversight Committee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Specific factual dispute required; Committee categorizes within 14 days; retaliation prohibited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Gatekeeping Decisions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determines; SCOTUS appeal within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Technical grounds only; Court may overturn but not substitute substantive judgment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IG Removal — For-Cause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both chambers + State Designee Panel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Committee publishes verification within 30 days; SCOTUS review on IG petition within 14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IG Removal — No-Cause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3/4 both chambers + 90-day delay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For-Cause only; full public notice on NRS day of vote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Term Staggering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two IGs begin within 18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Holdover in maintenance capacity during gap; no new investigations or gatekeeping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Oversight Committee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Joint parliamentary — proportional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Reviews files, compels testimony, publishes findings; cannot direct content or remove IGs unilaterally</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Elections &amp; Democracy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Voting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Commission (Art. XVI)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elected members; 3/5 majority decisions; For-Cause removal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Election (Model 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RCV + Multi-Region Diversity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65% national first-preference + 35% regional breadth; number of regions the Legislature defines by statute (min 3, max 1 per 10 States); outright majority wins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Regions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LI draws — 10-year cycle or after 20%+ State count change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Number defined by the Legislature (min 3; max 1 per 10 States); 3 criteria: population comparability → contiguity → economic coherence; SCOTUS technical challenge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 Democracy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People — via NVS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petition; max 3 simultaneous; 6-month cooling; rights expansion ineligible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Electoral Finance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Money-as-Speech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Financial electoral contributions are electoral acts, not protected speech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Corporate Personhood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Article I rights belong to natural persons only; legal entities may not participate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Voter-Donor Parity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Citizen Voting Credential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Only citizens eligible to vote in a jurisdiction may contribute to elections in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Full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NRS — all contributions above de minimis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Anonymity in electoral finance prohibited; EC + EI certify threshold adequacy annually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Public Campaign Funding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Commission administers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Qualified candidates receive allocation; threshold must not advantage incumbents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National Defense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Extended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Three-tier authorization (§2.1.a–c, §12.2)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Re-auth every 180 days; 5-yr max; Successive Declaration standard (12-month materially different)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Treaty-Triggered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Emergency Certification — 30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ratifies within 30 days; LI/EI joint review within 14 days published before vote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Finance &amp; Economy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Basic Needs Floor (§10.1)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gross revenue constitutional minimum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Funded first; MA adjusts within band; Severe Contraction Protocol: reverts to 5% of actual revenue; borrowing capped at 2%/yr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Annual Budget Requirement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before each fiscal 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Continuation spending 90-day max if no budget; Basic Needs Floor funded throughout; Monetary Authority publishes trigger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Appropriations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absolute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Veto may not apply to legislation limiting military funding; veto suspension does not create security vacuum or Tier 1 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Taxation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House-originated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executive taxation; Fiscal Objection on solvency grounds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Monetary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Director elected by national RCV; 5 board members PM-nominated, Senate-confirmed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7-yr non-renewable; price stability + fiscal solvency; publishes annual assessments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Deposited within 30 days of departure; removal = Rule Violation; forfeiture of retained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Gifts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Above de minimis: archive/auction/return; retention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Classification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(national defense) or PM (domestic)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10-yr max, 5-yr extension, 25-yr absolute max; classification registry entry required; improper classification = Rule Violation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Federal Property (Art. XVII)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Use Doctrine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government — use rights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territorial sovereignty; NRS-registered; function-tied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Provisional Seat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2/3 if no voluntary host in 24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Compensation required; State retains sovereignty; 5-yr review; State may end with 2-yr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Seat of Government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Willing host State — 2/3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5-yr minimum withdrawal notice; residents are full State citizens with complete voting rights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Conservation Trust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trustee for all Inhabitants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 stewardship; 65% referendum to reclassify; 25% State land cap</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National Expansion &amp; Integrity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Early Warning → Devolution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Years 1–2: Early Warning (§13.3.b), Remediation Plan, LI review, PM window, auto-withholding; Year 3: Senate 3/4 (§13.3.c)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 Audit + Provisional Membership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60% competency; fiscal sync; 730-day standard or accelerated at 365-day minimum upon clean mid-period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Partial Territory Statehood (§13.2.b)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Subdivision may petition independently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Must meet all §13.2.a-b criteria standalone; 60% NVS referendum; LI certifies remaining territory viability and contiguity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Devolution Effects (§13.3.d)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seats lost; LI compliance review; PM domestic oversight; taxes exempt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seats retained; Article I full force; Basic Needs Floor continues (§13.1 exception explicit); State government continues; annual Statehood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Devolution Challenge (§13.3.e)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Supreme Court — 30 days post-vote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Narrow factual review only: did LI findings meet §13.3.a trigger standards? Not political review; 14-day ruling deadline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Gate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Sponsorship — State discretion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Formal certification; time-limited; withdrawable; no federal compulsion on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Gate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Certification — 4 categories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Identity, criminal history, national security, self-sufficiency; no ideological screening; written denial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Appeals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Gate 2: judicial review available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 grounds: wrong category, discrimination, factually unsupported; Gate 1: no federal judicial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Civil Service 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constitutional responsibility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Merit-based appointments; no politicization; Civil Service Commission by statute; violation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Competency Baseline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LI annual audit — combined measure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CLT passage OR §1.23-certified educational completion; native-born citizens not penalized for not taking CLT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Voluntary Devolution (§13.4)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70% resident vote, 10-yr credential holders; Fiscal Incidence Study required 180 days prior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Returns State to Territory status; negotiated pathway available; net-contributor disclosure required; not independence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Secession / Independence (§15.4)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70% national vote via NVS required; 65% participation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unilateral dissolution; §15.5 transition framework required; framework agreement 90+ days before vote; 24-60 month transition; Senate ratification of treaty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Clemency (§2.1.g)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Military/security domain only; no Rule Violations; no co-conspirators; no self-clemency; full NRS publication; judicially reviewable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Clemency (§2.2.f)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criminal domain only; same exclusions as §2.1.g; full NRS publication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Amnesty (§2.9.b)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simple majority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Group amnesty only; no individual cases; no Rule Violations; no official-misconduct offenses; judicially reviewable 60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Vacancy (§4.2.e)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8-justice court during vacancy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4-4 tie affirms lower court without binding precedent; expires when seat filled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 Mid-Term Vacancy (§4.2.b)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Special election within 90 days; President and PM nominate; Senate has 90 days for third nominee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If Senate fails to nominate within 90 days, 2-nominee public election proceeds; replacement serves remainder of original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Finance (§18.1.b)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Natural persons only; independent choice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Paid conduits prohibited; contributions directed by third parties attributed to directing party; bidirectional aggregate attribution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Integrity Fund (§18.3.d)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EC administered; financed by Art. XVIII fines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Compensates for unrecoverable spent unlawful contributions; used only for public campaign funding §18.2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Oath of Office (§10.5.h)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officials before exercising authority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Oath, Military Oath, Naturalization Pledge; NRS recorded within 24 hours; no oath = Rule Violation for each act taken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Pre-Existing Debt (§19.6.a)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Assumed from Day Zero — continuity of 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Debt Continuity Act required in first budget cycle; debt service = existing services throughout transition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Inherited Military Ops (§19.6.b)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Day Zero Tier 1 invocation by caretaker 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180-day Legislative Declaration deadline from Phase 4; no Declaration = cease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Social Programs Continuity (§19.6.c)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interruption during Transition Window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Social Programs Continuity Act required in first budget cycle; 5-year benefit protection floor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Constitutional Amendments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3/4 of both chambers simultaneously OR 70% Popular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executive veto; §1.2, §1.3, §1.13, §1.17, §1.18, §1.27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Interstate Recognition (§4.4)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States and Territories — mandatory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Final court judgments, custody orders, public acts, official records; NRS authentication presumptive; non-recognition grounds exhaustive and parliamentary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CONSTITUTION OF THE FEDERATED REPUBLIC  |  Master v115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4A6FA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2026-05-04T18:28:33.885Z</dcterms:created>
  <dcterms:modified xsi:type="dcterms:W3CDTF">2026-05-04T18:28:33.886Z</dcterms:modified>
</cp:coreProperties>
</file>

<file path=docProps/custom.xml><?xml version="1.0" encoding="utf-8"?>
<Properties xmlns="http://schemas.openxmlformats.org/officeDocument/2006/custom-properties" xmlns:vt="http://schemas.openxmlformats.org/officeDocument/2006/docPropsVTypes"/>
</file>