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recognising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of Access to Courts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 a self-executing right that courts may not make meaninglessly expensive through procedural costs. If the Legislature fails to fund legal aid, courts appoint counsel at public expense until a statutory framework exists — the self-executing default ensures the right is never purely nominal.</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an individual sovereignty that government authority may limit only as this Constitution permits — and may never eliminate. No official, institution, or emergency suspends this floor. The State may deprive a person of life only as the lawful consequence of a sentence imposed by a court following conviction. Any method a legislature permits remains subject to §1.11's prohibition on cruel, degrading, or inhumane treatment. The State's obligations attach from the moment of live birth.</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Absolute prohibition on torture, cruel treatment, and degrading punishment. No exception exists — not for national security, not for emergency, not for military operations. One of six permanently unamendable provisions under §15.3.a.</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forced labor, debt bondage, and compelled service are prohibited absolutely and in all forms. The prohibition extends to all persons within the Republic's jurisdiction, not merely to citizens. Jury service required under §4.5 and lawful sentences of community service imposed by a court do not constitute forced labor under this provision.</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Freedom of Expression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branch, agency, official, or instrumentality of the Republic or any State may abridge the freedom of speech, press, or assembly in any medium — physical or digital.</w:t>
      </w:r>
    </w:p>
    <w:p>
      <w:pPr>
        <w:spacing w:after="60" w:before="200"/>
        <w:ind w:left="431"/>
        <w:jc w:val="left"/>
      </w:pPr>
      <w:r>
        <w:rPr>
          <w:rFonts w:ascii="Courier New" w:cs="Courier New" w:eastAsia="Courier New" w:hAnsi="Courier New"/>
          <w:b/>
          <w:bCs/>
          <w:color w:val="1B2A4A"/>
          <w:sz w:val="18"/>
          <w:szCs w:val="18"/>
        </w:rPr>
        <w:t xml:space="preserve">§1.5.a  </w:t>
      </w:r>
      <w:r>
        <w:rPr>
          <w:rFonts w:ascii="Garamond" w:cs="Garamond" w:eastAsia="Garamond" w:hAnsi="Garamond"/>
          <w:b/>
          <w:bCs/>
          <w:i w:val="false"/>
          <w:iCs w:val="false"/>
          <w:color w:val="1B2A4A"/>
          <w:sz w:val="22"/>
          <w:szCs w:val="22"/>
        </w:rPr>
        <w:t xml:space="preserve">Censorship by Proxy</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actors may not pressure, incentivize, or coerce private platforms or institutions to suppress speech on their behalf. Such an act constitutes the same constitutional violation as direct censorship. This prohibition applies equally to digital and physical media. Government may not impose viewpoint-based conditions on benefits, contracts, or licensing.</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Freedom of Thought, Conscience, and Religion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right to hold, practice, change, or decline any belief and to manifest it through worship, observance, practice, and teaching. No person may be compelled to participate in any religious observance contrary to their beliefs. Free exercise does not authorize harm to others and creates no exemption from laws protecting other enumerated rights.</w:t>
      </w:r>
    </w:p>
    <w:p>
      <w:pPr>
        <w:spacing w:after="60" w:before="200"/>
        <w:ind w:left="431"/>
        <w:jc w:val="left"/>
      </w:pPr>
      <w:r>
        <w:rPr>
          <w:rFonts w:ascii="Courier New" w:cs="Courier New" w:eastAsia="Courier New" w:hAnsi="Courier New"/>
          <w:b/>
          <w:bCs/>
          <w:color w:val="1B2A4A"/>
          <w:sz w:val="18"/>
          <w:szCs w:val="18"/>
        </w:rPr>
        <w:t xml:space="preserve">§1.6.a  </w:t>
      </w:r>
      <w:r>
        <w:rPr>
          <w:rFonts w:ascii="Garamond" w:cs="Garamond" w:eastAsia="Garamond" w:hAnsi="Garamond"/>
          <w:b/>
          <w:bCs/>
          <w:i w:val="false"/>
          <w:iCs w:val="false"/>
          <w:color w:val="1B2A4A"/>
          <w:sz w:val="22"/>
          <w:szCs w:val="22"/>
        </w:rPr>
        <w:t xml:space="preserve">Separation of Church and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religion may be established by law, and public funds directed to religious organizations must comply with the equality requirements of §1.9. The separation of church and state is structural, not merely preferential.</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Freedom of Association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right to freely associate with others for any lawful purpose — including political parties, trade unions, civic organizations, and professional associations. The State may not compel membership as a condition of employment or civic participation, nor prohibit any association solely on ideological grounds unless it advocates violent overthrow of this Constitution or the denial of enumerated rights.</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Right to Petition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has the right to petition any branch of government on any matter of public or personal concern. All petitions must receive a formal response within a Legislature-defined period. The subject and status of petitions are published to the National Record System; petitioner identity is withheld where the petitioner requests anonymity. The right includes the right to file formal complaints against government officials and agencies.</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No person may be discriminated against on the basis of the enumerated characteristics. Distinctions based on race, ethnicity, religion, sex, sexual orientation, gender identity, national origin, or disability are presumptively unconstitutional, requiring a compelling government purpose achievable by no less discriminatory means. Distinctions based on age or economic status require only rational connection to a legitimate purpose.</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Bodily Autonomy and Digital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bodily and digital sovereignty against government intrusion. No government actor may compel medical procedures, appropriate personal data, or obtain cryptographic keys without express constitutional authorization.</w:t>
      </w:r>
    </w:p>
    <w:p>
      <w:pPr>
        <w:spacing w:after="60" w:before="200"/>
        <w:ind w:left="431"/>
        <w:jc w:val="left"/>
      </w:pPr>
      <w:r>
        <w:rPr>
          <w:rFonts w:ascii="Courier New" w:cs="Courier New" w:eastAsia="Courier New" w:hAnsi="Courier New"/>
          <w:b/>
          <w:bCs/>
          <w:color w:val="1B2A4A"/>
          <w:sz w:val="18"/>
          <w:szCs w:val="18"/>
        </w:rPr>
        <w:t xml:space="preserve">§1.10.a  </w:t>
      </w:r>
      <w:r>
        <w:rPr>
          <w:rFonts w:ascii="Garamond" w:cs="Garamond" w:eastAsia="Garamond" w:hAnsi="Garamond"/>
          <w:b/>
          <w:bCs/>
          <w:i w:val="false"/>
          <w:iCs w:val="false"/>
          <w:color w:val="1B2A4A"/>
          <w:sz w:val="22"/>
          <w:szCs w:val="22"/>
        </w:rPr>
        <w:t xml:space="preserve">Physical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absolute right to refuse any medical procedure or biological sampling. No mandate is permissible under any declared emergency unless the individual provides uncoerced, revocable written consent.</w:t>
      </w:r>
    </w:p>
    <w:p>
      <w:pPr>
        <w:spacing w:after="60" w:before="200"/>
        <w:ind w:left="431"/>
        <w:jc w:val="left"/>
      </w:pPr>
      <w:r>
        <w:rPr>
          <w:rFonts w:ascii="Courier New" w:cs="Courier New" w:eastAsia="Courier New" w:hAnsi="Courier New"/>
          <w:b/>
          <w:bCs/>
          <w:color w:val="1B2A4A"/>
          <w:sz w:val="18"/>
          <w:szCs w:val="18"/>
        </w:rPr>
        <w:t xml:space="preserve">§1.10.b  </w:t>
      </w:r>
      <w:r>
        <w:rPr>
          <w:rFonts w:ascii="Garamond" w:cs="Garamond" w:eastAsia="Garamond" w:hAnsi="Garamond"/>
          <w:b/>
          <w:bCs/>
          <w:i w:val="false"/>
          <w:iCs w:val="false"/>
          <w:color w:val="1B2A4A"/>
          <w:sz w:val="22"/>
          <w:szCs w:val="22"/>
        </w:rPr>
        <w:t xml:space="preserve">Data Ownership</w:t>
      </w:r>
    </w:p>
    <w:p>
      <w:pPr>
        <w:spacing w:after="120" w:before="0"/>
        <w:ind w:left="431"/>
        <w:jc w:val="both"/>
      </w:pPr>
      <w:r>
        <w:rPr>
          <w:rFonts w:ascii="Garamond" w:cs="Garamond" w:eastAsia="Garamond" w:hAnsi="Garamond"/>
          <w:b w:val="false"/>
          <w:bCs w:val="false"/>
          <w:i w:val="false"/>
          <w:iCs w:val="false"/>
          <w:color w:val="2a2520"/>
          <w:sz w:val="22"/>
          <w:szCs w:val="22"/>
        </w:rPr>
        <w:t xml:space="preserve">Individuals own their personal data, likeness, and biometric information. Data collected by any government actor is subject to strict necessity limits — it may not be retained beyond the purpose for which it was collected, shared with third parties without...</w:t>
      </w:r>
    </w:p>
    <w:p>
      <w:pPr>
        <w:spacing w:after="60" w:before="200"/>
        <w:ind w:left="431"/>
        <w:jc w:val="left"/>
      </w:pPr>
      <w:r>
        <w:rPr>
          <w:rFonts w:ascii="Courier New" w:cs="Courier New" w:eastAsia="Courier New" w:hAnsi="Courier New"/>
          <w:b/>
          <w:bCs/>
          <w:color w:val="1B2A4A"/>
          <w:sz w:val="18"/>
          <w:szCs w:val="18"/>
        </w:rPr>
        <w:t xml:space="preserve">§1.10.c  </w:t>
      </w:r>
      <w:r>
        <w:rPr>
          <w:rFonts w:ascii="Garamond" w:cs="Garamond" w:eastAsia="Garamond" w:hAnsi="Garamond"/>
          <w:b/>
          <w:bCs/>
          <w:i w:val="false"/>
          <w:iCs w:val="false"/>
          <w:color w:val="1B2A4A"/>
          <w:sz w:val="22"/>
          <w:szCs w:val="22"/>
        </w:rPr>
        <w:t xml:space="preserve">Encryption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Cryptographic keys are private property. No court or agency may compel their disclosure.</w:t>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Inviolability of the Home and Property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person's home is inviolable against government access without judicial warrant. Private property may not be taken except by absolute public necessity under the conditions of §1.11.b. The definition of "home" for purposes of this provision is established in §1.11.a.</w:t>
      </w:r>
    </w:p>
    <w:p>
      <w:pPr>
        <w:spacing w:after="60" w:before="200"/>
        <w:ind w:left="431"/>
        <w:jc w:val="left"/>
      </w:pPr>
      <w:r>
        <w:rPr>
          <w:rFonts w:ascii="Courier New" w:cs="Courier New" w:eastAsia="Courier New" w:hAnsi="Courier New"/>
          <w:b/>
          <w:bCs/>
          <w:color w:val="1B2A4A"/>
          <w:sz w:val="18"/>
          <w:szCs w:val="18"/>
        </w:rPr>
        <w:t xml:space="preserve">§1.11.a  </w:t>
      </w:r>
      <w:r>
        <w:rPr>
          <w:rFonts w:ascii="Garamond" w:cs="Garamond" w:eastAsia="Garamond" w:hAnsi="Garamond"/>
          <w:b/>
          <w:bCs/>
          <w:i w:val="false"/>
          <w:iCs w:val="false"/>
          <w:color w:val="1B2A4A"/>
          <w:sz w:val="22"/>
          <w:szCs w:val="22"/>
        </w:rPr>
        <w:t xml:space="preserve">Home and Digital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'Home' extends to all physical residences and all digital spaces secured by private cryptographic keys. Access requires a warrant specifying the precise data target or physical space, verified on the NRS before execution. General warrants — broad or unspecified authorizations — are absolutely prohibited.</w:t>
      </w:r>
    </w:p>
    <w:p>
      <w:pPr>
        <w:spacing w:after="60" w:before="200"/>
        <w:ind w:left="431"/>
        <w:jc w:val="left"/>
      </w:pPr>
      <w:r>
        <w:rPr>
          <w:rFonts w:ascii="Courier New" w:cs="Courier New" w:eastAsia="Courier New" w:hAnsi="Courier New"/>
          <w:b/>
          <w:bCs/>
          <w:color w:val="1B2A4A"/>
          <w:sz w:val="18"/>
          <w:szCs w:val="18"/>
        </w:rPr>
        <w:t xml:space="preserve">§1.11.b  </w:t>
      </w:r>
      <w:r>
        <w:rPr>
          <w:rFonts w:ascii="Garamond" w:cs="Garamond" w:eastAsia="Garamond" w:hAnsi="Garamond"/>
          <w:b/>
          <w:bCs/>
          <w:i w:val="false"/>
          <w:iCs w:val="false"/>
          <w:color w:val="1B2A4A"/>
          <w:sz w:val="22"/>
          <w:szCs w:val="22"/>
        </w:rPr>
        <w:t xml:space="preserve">Eminent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Seizure of private property requires proof of absolute public necessity, payment of 150% of fair market value, and NRS publication. Private-to-private transfer via eminent domain — using government condemnation to benefit another private party — is constitutionally prohibited.</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Self-Defense and the 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personal defense and hunting must not be infringed. The scope and limits of this right are established in §1.12.a through §1.12.c.</w:t>
      </w:r>
    </w:p>
    <w:p>
      <w:pPr>
        <w:spacing w:after="60" w:before="200"/>
        <w:ind w:left="431"/>
        <w:jc w:val="left"/>
      </w:pPr>
      <w:r>
        <w:rPr>
          <w:rFonts w:ascii="Courier New" w:cs="Courier New" w:eastAsia="Courier New" w:hAnsi="Courier New"/>
          <w:b/>
          <w:bCs/>
          <w:color w:val="1B2A4A"/>
          <w:sz w:val="18"/>
          <w:szCs w:val="18"/>
        </w:rPr>
        <w:t xml:space="preserve">§1.12.a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is a personal right held by each individual. It is not a collective right conditional on militia service or membership, and does not require any governmental authorization for keeping arms in the home.</w:t>
      </w:r>
    </w:p>
    <w:p>
      <w:pPr>
        <w:spacing w:after="60" w:before="200"/>
        <w:ind w:left="431"/>
        <w:jc w:val="left"/>
      </w:pPr>
      <w:r>
        <w:rPr>
          <w:rFonts w:ascii="Courier New" w:cs="Courier New" w:eastAsia="Courier New" w:hAnsi="Courier New"/>
          <w:b/>
          <w:bCs/>
          <w:color w:val="1B2A4A"/>
          <w:sz w:val="18"/>
          <w:szCs w:val="18"/>
        </w:rPr>
        <w:t xml:space="preserve">§1.12.b  </w:t>
      </w:r>
      <w:r>
        <w:rPr>
          <w:rFonts w:ascii="Garamond" w:cs="Garamond" w:eastAsia="Garamond" w:hAnsi="Garamond"/>
          <w:b/>
          <w:bCs/>
          <w:i w:val="false"/>
          <w:iCs w:val="false"/>
          <w:color w:val="1B2A4A"/>
          <w:sz w:val="22"/>
          <w:szCs w:val="22"/>
        </w:rPr>
        <w:t xml:space="preserve">State Licensing Latitude</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may establish licensing and safety training requirements as a condition of carrying or possessing firearms. States may regulate the exercise of the right but may not use regulation as a prohibition by another name.</w:t>
      </w:r>
    </w:p>
    <w:p>
      <w:pPr>
        <w:spacing w:after="60" w:before="200"/>
        <w:ind w:left="431"/>
        <w:jc w:val="left"/>
      </w:pPr>
      <w:r>
        <w:rPr>
          <w:rFonts w:ascii="Courier New" w:cs="Courier New" w:eastAsia="Courier New" w:hAnsi="Courier New"/>
          <w:b/>
          <w:bCs/>
          <w:color w:val="1B2A4A"/>
          <w:sz w:val="18"/>
          <w:szCs w:val="18"/>
        </w:rPr>
        <w:t xml:space="preserve">§1.12.c  </w:t>
      </w:r>
      <w:r>
        <w:rPr>
          <w:rFonts w:ascii="Garamond" w:cs="Garamond" w:eastAsia="Garamond" w:hAnsi="Garamond"/>
          <w:b/>
          <w:bCs/>
          <w:i w:val="false"/>
          <w:iCs w:val="false"/>
          <w:color w:val="1B2A4A"/>
          <w:sz w:val="22"/>
          <w:szCs w:val="22"/>
        </w:rPr>
        <w:t xml:space="preserve">Non-Prohibition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No State requirement may function as an effective prohibition on keeping or bearing arms. A requirement is an effective prohibition if it imposes costs, delays, or conditions that make lawful ownership practically inaccessible to ordinary citizens. The burden of proof lies with the State to demonstrate proportionality.</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Freedom of Movement and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Inhabitants have the right to travel and reside anywhere within the Republic. State professional licensing requirements may not create barriers to labor mobility; licenses issued under State law are recognized throughout the Republic. Every person has the right to form and join trade unions and bargain collectively; the right to strike as a collective work stoppage is protected, subject to reasonable regulation of essential services.</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i w:val="false"/>
          <w:iCs w:val="false"/>
          <w:color w:val="1B2A4A"/>
          <w:sz w:val="22"/>
          <w:szCs w:val="22"/>
        </w:rPr>
        <w:t xml:space="preserve">Detention and Habeas Corpus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taken into custody by the State holds the rights established in this section. These rights are self-executing and may not be suspended by statute or executive order.</w:t>
      </w:r>
    </w:p>
    <w:p>
      <w:pPr>
        <w:spacing w:after="60" w:before="200"/>
        <w:ind w:left="431"/>
        <w:jc w:val="left"/>
      </w:pPr>
      <w:r>
        <w:rPr>
          <w:rFonts w:ascii="Courier New" w:cs="Courier New" w:eastAsia="Courier New" w:hAnsi="Courier New"/>
          <w:b/>
          <w:bCs/>
          <w:color w:val="1B2A4A"/>
          <w:sz w:val="18"/>
          <w:szCs w:val="18"/>
        </w:rPr>
        <w:t xml:space="preserve">§1.14.a  </w:t>
      </w:r>
      <w:r>
        <w:rPr>
          <w:rFonts w:ascii="Garamond" w:cs="Garamond" w:eastAsia="Garamond" w:hAnsi="Garamond"/>
          <w:b/>
          <w:bCs/>
          <w:i w:val="false"/>
          <w:iCs w:val="false"/>
          <w:color w:val="1B2A4A"/>
          <w:sz w:val="22"/>
          <w:szCs w:val="22"/>
        </w:rPr>
        <w:t xml:space="preserve">First Appearance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taken into custody must appear before a judicial officer within 72 hours of arrest. At the First Appearance, the judge must determine whether custody is lawful and whether conditions of release are appropriate.</w:t>
      </w:r>
    </w:p>
    <w:p>
      <w:pPr>
        <w:spacing w:after="60" w:before="200"/>
        <w:ind w:left="431"/>
        <w:jc w:val="left"/>
      </w:pPr>
      <w:r>
        <w:rPr>
          <w:rFonts w:ascii="Courier New" w:cs="Courier New" w:eastAsia="Courier New" w:hAnsi="Courier New"/>
          <w:b/>
          <w:bCs/>
          <w:color w:val="1B2A4A"/>
          <w:sz w:val="18"/>
          <w:szCs w:val="18"/>
        </w:rPr>
        <w:t xml:space="preserve">§1.14.b  </w:t>
      </w:r>
      <w:r>
        <w:rPr>
          <w:rFonts w:ascii="Garamond" w:cs="Garamond" w:eastAsia="Garamond" w:hAnsi="Garamond"/>
          <w:b/>
          <w:bCs/>
          <w:i w:val="false"/>
          <w:iCs w:val="false"/>
          <w:color w:val="1B2A4A"/>
          <w:sz w:val="22"/>
          <w:szCs w:val="22"/>
        </w:rPr>
        <w:t xml:space="preserve">Habeas Corpus Response Deadline</w:t>
      </w:r>
    </w:p>
    <w:p>
      <w:pPr>
        <w:spacing w:after="120" w:before="0"/>
        <w:ind w:left="431"/>
        <w:jc w:val="both"/>
      </w:pPr>
      <w:r>
        <w:rPr>
          <w:rFonts w:ascii="Garamond" w:cs="Garamond" w:eastAsia="Garamond" w:hAnsi="Garamond"/>
          <w:b w:val="false"/>
          <w:bCs w:val="false"/>
          <w:i w:val="false"/>
          <w:iCs w:val="false"/>
          <w:color w:val="2a2520"/>
          <w:sz w:val="22"/>
          <w:szCs w:val="22"/>
        </w:rPr>
        <w:t xml:space="preserve">A court receiving a habeas corpus petition must rule within 48 hours of filing. No procedural rule may extend this deadline. A court that fails to rule within 48 hours is deemed to have found the detention unlawful — the detained person must be released or brought before a judicial officer immediately.</w:t>
      </w:r>
    </w:p>
    <w:p>
      <w:pPr>
        <w:spacing w:after="60" w:before="200"/>
        <w:ind w:left="431"/>
        <w:jc w:val="left"/>
      </w:pPr>
      <w:r>
        <w:rPr>
          <w:rFonts w:ascii="Courier New" w:cs="Courier New" w:eastAsia="Courier New" w:hAnsi="Courier New"/>
          <w:b/>
          <w:bCs/>
          <w:color w:val="1B2A4A"/>
          <w:sz w:val="18"/>
          <w:szCs w:val="18"/>
        </w:rPr>
        <w:t xml:space="preserve">§1.14.c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detained by the State has the absolute right to challenge the lawfulness of their confinement before a judge at any time. The right cannot be suspended by emergency declaration — it appears in §1.26.b's list of absolutely non-derogable rights.</w:t>
      </w:r>
    </w:p>
    <w:p>
      <w:pPr>
        <w:spacing w:after="60" w:before="200"/>
        <w:ind w:left="431"/>
        <w:jc w:val="left"/>
      </w:pPr>
      <w:r>
        <w:rPr>
          <w:rFonts w:ascii="Courier New" w:cs="Courier New" w:eastAsia="Courier New" w:hAnsi="Courier New"/>
          <w:b/>
          <w:bCs/>
          <w:color w:val="1B2A4A"/>
          <w:sz w:val="18"/>
          <w:szCs w:val="18"/>
        </w:rPr>
        <w:t xml:space="preserve">§1.15  </w:t>
      </w:r>
      <w:r>
        <w:rPr>
          <w:rFonts w:ascii="Garamond" w:cs="Garamond" w:eastAsia="Garamond" w:hAnsi="Garamond"/>
          <w:b/>
          <w:bCs/>
          <w:i w:val="false"/>
          <w:iCs w:val="false"/>
          <w:color w:val="1B2A4A"/>
          <w:sz w:val="22"/>
          <w:szCs w:val="22"/>
        </w:rPr>
        <w:t xml:space="preserve">Rights of the Accused</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crime or subject to criminal proceedings holds the rights established in this section from the moment of accusation through final disposition.</w:t>
      </w:r>
    </w:p>
    <w:p>
      <w:pPr>
        <w:spacing w:after="60" w:before="200"/>
        <w:ind w:left="431"/>
        <w:jc w:val="left"/>
      </w:pPr>
      <w:r>
        <w:rPr>
          <w:rFonts w:ascii="Courier New" w:cs="Courier New" w:eastAsia="Courier New" w:hAnsi="Courier New"/>
          <w:b/>
          <w:bCs/>
          <w:color w:val="1B2A4A"/>
          <w:sz w:val="18"/>
          <w:szCs w:val="18"/>
        </w:rPr>
        <w:t xml:space="preserve">§1.15.a  </w:t>
      </w:r>
      <w:r>
        <w:rPr>
          <w:rFonts w:ascii="Garamond" w:cs="Garamond" w:eastAsia="Garamond" w:hAnsi="Garamond"/>
          <w:b/>
          <w:bCs/>
          <w:i w:val="false"/>
          <w:iCs w:val="false"/>
          <w:color w:val="1B2A4A"/>
          <w:sz w:val="22"/>
          <w:szCs w:val="22"/>
        </w:rPr>
        <w:t xml:space="preserve">Right to Counsel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accused of a crime or subject to detention has the right to retain and consult with a lawyer before questioning. If they cannot afford counsel, the Republic provides it. The right attaches from the moment of accusation or detention, not from formal charging.</w:t>
      </w:r>
    </w:p>
    <w:p>
      <w:pPr>
        <w:spacing w:after="60" w:before="200"/>
        <w:ind w:left="431"/>
        <w:jc w:val="left"/>
      </w:pPr>
      <w:r>
        <w:rPr>
          <w:rFonts w:ascii="Courier New" w:cs="Courier New" w:eastAsia="Courier New" w:hAnsi="Courier New"/>
          <w:b/>
          <w:bCs/>
          <w:color w:val="1B2A4A"/>
          <w:sz w:val="18"/>
          <w:szCs w:val="18"/>
        </w:rPr>
        <w:t xml:space="preserve">§1.15.b  </w:t>
      </w:r>
      <w:r>
        <w:rPr>
          <w:rFonts w:ascii="Garamond" w:cs="Garamond" w:eastAsia="Garamond" w:hAnsi="Garamond"/>
          <w:b/>
          <w:bCs/>
          <w:i w:val="false"/>
          <w:iCs w:val="false"/>
          <w:color w:val="1B2A4A"/>
          <w:sz w:val="22"/>
          <w:szCs w:val="22"/>
        </w:rPr>
        <w:t xml:space="preserve">Caseload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maximum caseload limits for publicly funded defense — ensuring that the right to counsel means genuine preparation, not nominal presence. Public defenders must be resourced equivalently to prosecutorial offices handling comparable cases.</w:t>
      </w:r>
    </w:p>
    <w:p>
      <w:pPr>
        <w:spacing w:after="60" w:before="200"/>
        <w:ind w:left="431"/>
        <w:jc w:val="left"/>
      </w:pPr>
      <w:r>
        <w:rPr>
          <w:rFonts w:ascii="Courier New" w:cs="Courier New" w:eastAsia="Courier New" w:hAnsi="Courier New"/>
          <w:b/>
          <w:bCs/>
          <w:color w:val="1B2A4A"/>
          <w:sz w:val="18"/>
          <w:szCs w:val="18"/>
        </w:rPr>
        <w:t xml:space="preserve">§1.15.c  </w:t>
      </w:r>
      <w:r>
        <w:rPr>
          <w:rFonts w:ascii="Garamond" w:cs="Garamond" w:eastAsia="Garamond" w:hAnsi="Garamond"/>
          <w:b/>
          <w:bCs/>
          <w:i w:val="false"/>
          <w:iCs w:val="false"/>
          <w:color w:val="1B2A4A"/>
          <w:sz w:val="22"/>
          <w:szCs w:val="22"/>
        </w:rPr>
        <w:t xml:space="preserve">Right to Be Informed of Charges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detained or accused must be informed promptly, in plain language they understand, of the specific grounds for their detention and the charges being considered. Detention without meaningful explanation of its basis is unconstitutional from its first moment.</w:t>
      </w:r>
    </w:p>
    <w:p>
      <w:pPr>
        <w:spacing w:after="60" w:before="200"/>
        <w:ind w:left="431"/>
        <w:jc w:val="left"/>
      </w:pPr>
      <w:r>
        <w:rPr>
          <w:rFonts w:ascii="Courier New" w:cs="Courier New" w:eastAsia="Courier New" w:hAnsi="Courier New"/>
          <w:b/>
          <w:bCs/>
          <w:color w:val="1B2A4A"/>
          <w:sz w:val="18"/>
          <w:szCs w:val="18"/>
        </w:rPr>
        <w:t xml:space="preserve">§1.15.d  </w:t>
      </w:r>
      <w:r>
        <w:rPr>
          <w:rFonts w:ascii="Garamond" w:cs="Garamond" w:eastAsia="Garamond" w:hAnsi="Garamond"/>
          <w:b/>
          <w:bCs/>
          <w:i w:val="false"/>
          <w:iCs w:val="false"/>
          <w:color w:val="1B2A4A"/>
          <w:sz w:val="22"/>
          <w:szCs w:val="22"/>
        </w:rPr>
        <w:t xml:space="preserve">Right to Full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accused person has the right to full disclosure of all State evidence — including evidence the prosecution does not intend to use — before trial. Any withholding of exculpatory evidence is a constitutional violation, not a procedural irregularity.</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Fair Trial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subject to criminal proceedings has the right to a fair and timely trial. These rights may not be waived by prosecutorial pressure, plea incentive, or judicial scheduling convenience.</w:t>
      </w:r>
    </w:p>
    <w:p>
      <w:pPr>
        <w:spacing w:after="60" w:before="200"/>
        <w:ind w:left="431"/>
        <w:jc w:val="left"/>
      </w:pPr>
      <w:r>
        <w:rPr>
          <w:rFonts w:ascii="Courier New" w:cs="Courier New" w:eastAsia="Courier New" w:hAnsi="Courier New"/>
          <w:b/>
          <w:bCs/>
          <w:color w:val="1B2A4A"/>
          <w:sz w:val="18"/>
          <w:szCs w:val="18"/>
        </w:rPr>
        <w:t xml:space="preserve">§1.16.a  </w:t>
      </w:r>
      <w:r>
        <w:rPr>
          <w:rFonts w:ascii="Garamond" w:cs="Garamond" w:eastAsia="Garamond" w:hAnsi="Garamond"/>
          <w:b/>
          <w:bCs/>
          <w:i w:val="false"/>
          <w:iCs w:val="false"/>
          <w:color w:val="1B2A4A"/>
          <w:sz w:val="22"/>
          <w:szCs w:val="22"/>
        </w:rPr>
        <w:t xml:space="preserve">Speedy Trial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accused person has the right to trial without unreasonable delay. Delay caused by the State is not a neutral fact — prolonged pre-trial detention is itself a punishment imposed without verdict. What constitutes unreasonable delay is defined by the Legislature in statute, subject to judicial review.</w:t>
      </w:r>
    </w:p>
    <w:p>
      <w:pPr>
        <w:spacing w:after="60" w:before="200"/>
        <w:ind w:left="431"/>
        <w:jc w:val="left"/>
      </w:pPr>
      <w:r>
        <w:rPr>
          <w:rFonts w:ascii="Courier New" w:cs="Courier New" w:eastAsia="Courier New" w:hAnsi="Courier New"/>
          <w:b/>
          <w:bCs/>
          <w:color w:val="1B2A4A"/>
          <w:sz w:val="18"/>
          <w:szCs w:val="18"/>
        </w:rPr>
        <w:t xml:space="preserve">§1.16.b  </w:t>
      </w:r>
      <w:r>
        <w:rPr>
          <w:rFonts w:ascii="Garamond" w:cs="Garamond" w:eastAsia="Garamond" w:hAnsi="Garamond"/>
          <w:b/>
          <w:bCs/>
          <w:i w:val="false"/>
          <w:iCs w:val="false"/>
          <w:color w:val="1B2A4A"/>
          <w:sz w:val="22"/>
          <w:szCs w:val="22"/>
        </w:rPr>
        <w:t xml:space="preserve">Bail Proportionality</w:t>
      </w:r>
    </w:p>
    <w:p>
      <w:pPr>
        <w:spacing w:after="120" w:before="0"/>
        <w:ind w:left="431"/>
        <w:jc w:val="both"/>
      </w:pPr>
      <w:r>
        <w:rPr>
          <w:rFonts w:ascii="Garamond" w:cs="Garamond" w:eastAsia="Garamond" w:hAnsi="Garamond"/>
          <w:b w:val="false"/>
          <w:bCs w:val="false"/>
          <w:i w:val="false"/>
          <w:iCs w:val="false"/>
          <w:color w:val="2a2520"/>
          <w:sz w:val="22"/>
          <w:szCs w:val="22"/>
        </w:rPr>
        <w:t xml:space="preserve">Pre-trial detention may only be ordered where the court makes a specific, individualized finding that the accused poses a genuine flight risk or documented danger to an identifiable person. Financial inability to post bail does not justify detention — bail conditions must be proportionate to what the accused can actually pay.</w:t>
      </w:r>
    </w:p>
    <w:p>
      <w:pPr>
        <w:spacing w:after="60" w:before="200"/>
        <w:ind w:left="431"/>
        <w:jc w:val="left"/>
      </w:pPr>
      <w:r>
        <w:rPr>
          <w:rFonts w:ascii="Courier New" w:cs="Courier New" w:eastAsia="Courier New" w:hAnsi="Courier New"/>
          <w:b/>
          <w:bCs/>
          <w:color w:val="1B2A4A"/>
          <w:sz w:val="18"/>
          <w:szCs w:val="18"/>
        </w:rPr>
        <w:t xml:space="preserve">§1.16.c  </w:t>
      </w:r>
      <w:r>
        <w:rPr>
          <w:rFonts w:ascii="Garamond" w:cs="Garamond" w:eastAsia="Garamond" w:hAnsi="Garamond"/>
          <w:b/>
          <w:bCs/>
          <w:i w:val="false"/>
          <w:iCs w:val="false"/>
          <w:color w:val="1B2A4A"/>
          <w:sz w:val="22"/>
          <w:szCs w:val="22"/>
        </w:rPr>
        <w:t xml:space="preserve">Protection from Trial Penalties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trial may not be penalized. A defendant who exercises their right to trial may not receive a harsher sentence than they would have received by entering a guilty plea for the same offense. Sentencing 'trial penalties' are constitutionally prohibited.</w:t>
      </w:r>
    </w:p>
    <w:p>
      <w:pPr>
        <w:spacing w:after="60" w:before="200"/>
        <w:ind w:left="431"/>
        <w:jc w:val="left"/>
      </w:pPr>
      <w:r>
        <w:rPr>
          <w:rFonts w:ascii="Courier New" w:cs="Courier New" w:eastAsia="Courier New" w:hAnsi="Courier New"/>
          <w:b/>
          <w:bCs/>
          <w:color w:val="1B2A4A"/>
          <w:sz w:val="18"/>
          <w:szCs w:val="18"/>
        </w:rPr>
        <w:t xml:space="preserve">§1.16.d  </w:t>
      </w:r>
      <w:r>
        <w:rPr>
          <w:rFonts w:ascii="Garamond" w:cs="Garamond" w:eastAsia="Garamond" w:hAnsi="Garamond"/>
          <w:b/>
          <w:bCs/>
          <w:i w:val="false"/>
          <w:iCs w:val="false"/>
          <w:color w:val="1B2A4A"/>
          <w:sz w:val="22"/>
          <w:szCs w:val="22"/>
        </w:rPr>
        <w:t xml:space="preserve">Source Code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accused person has the right to inspect, challenge, and rebut any algorithm, automated system, statistical model, or raw dataset used as evidence or to generate a score influencing their case. Technology-opaque evidence against which no defense can be mounted is constitutionally inadmissible.</w:t>
      </w:r>
    </w:p>
    <w:p>
      <w:pPr>
        <w:spacing w:after="60" w:before="200"/>
        <w:ind w:left="431"/>
        <w:jc w:val="left"/>
      </w:pPr>
      <w:r>
        <w:rPr>
          <w:rFonts w:ascii="Courier New" w:cs="Courier New" w:eastAsia="Courier New" w:hAnsi="Courier New"/>
          <w:b/>
          <w:bCs/>
          <w:color w:val="1B2A4A"/>
          <w:sz w:val="18"/>
          <w:szCs w:val="18"/>
        </w:rPr>
        <w:t xml:space="preserve">§1.17  </w:t>
      </w:r>
      <w:r>
        <w:rPr>
          <w:rFonts w:ascii="Garamond" w:cs="Garamond" w:eastAsia="Garamond" w:hAnsi="Garamond"/>
          <w:b/>
          <w:bCs/>
          <w:i w:val="false"/>
          <w:iCs w:val="false"/>
          <w:color w:val="1B2A4A"/>
          <w:sz w:val="22"/>
          <w:szCs w:val="22"/>
        </w:rPr>
        <w:t xml:space="preserve">Right to Silence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compelled to testify against themselves or to produce self-incriminating evidence. The right of silence is complete — silence may not be commented upon or used to draw adverse inferences. Consistent with §1.10.c, this extends to cryptographic keys.</w:t>
      </w:r>
    </w:p>
    <w:p>
      <w:pPr>
        <w:spacing w:after="60" w:before="200"/>
        <w:ind w:left="431"/>
        <w:jc w:val="left"/>
      </w:pPr>
      <w:r>
        <w:rPr>
          <w:rFonts w:ascii="Courier New" w:cs="Courier New" w:eastAsia="Courier New" w:hAnsi="Courier New"/>
          <w:b/>
          <w:bCs/>
          <w:color w:val="1B2A4A"/>
          <w:sz w:val="18"/>
          <w:szCs w:val="18"/>
        </w:rPr>
        <w:t xml:space="preserve">§1.18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accused person has the right to a public trial before a judge and, in criminal matters, a jury of peers. Secret or closed proceedings are constitutionally prohibited except for the minimal portion where a specific witness's safety requires it — and even then the verdict must be public. Also permanently unamendable.</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Criminal Law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criminal law may not be applied retroactively or used to punish a person more than once for the same conduct. These prohibitions apply equally to the federal government and to every State.</w:t>
      </w:r>
    </w:p>
    <w:p>
      <w:pPr>
        <w:spacing w:after="60" w:before="200"/>
        <w:ind w:left="431"/>
        <w:jc w:val="left"/>
      </w:pPr>
      <w:r>
        <w:rPr>
          <w:rFonts w:ascii="Courier New" w:cs="Courier New" w:eastAsia="Courier New" w:hAnsi="Courier New"/>
          <w:b/>
          <w:bCs/>
          <w:color w:val="1B2A4A"/>
          <w:sz w:val="18"/>
          <w:szCs w:val="18"/>
        </w:rPr>
        <w:t xml:space="preserve">§1.19.a  </w:t>
      </w:r>
      <w:r>
        <w:rPr>
          <w:rFonts w:ascii="Garamond" w:cs="Garamond" w:eastAsia="Garamond" w:hAnsi="Garamond"/>
          <w:b/>
          <w:bCs/>
          <w:i w:val="false"/>
          <w:iCs w:val="false"/>
          <w:color w:val="1B2A4A"/>
          <w:sz w:val="22"/>
          <w:szCs w:val="22"/>
        </w:rPr>
        <w:t xml:space="preserve">No Retroactive Criminal Laws</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defined as a criminal offense at the time it was committed. No sentence may exceed the maximum available at the time of the offense. The prohibition on retroactive criminal law is absolute and permanently unamendable.</w:t>
      </w:r>
    </w:p>
    <w:p>
      <w:pPr>
        <w:spacing w:after="60" w:before="200"/>
        <w:ind w:left="431"/>
        <w:jc w:val="left"/>
      </w:pPr>
      <w:r>
        <w:rPr>
          <w:rFonts w:ascii="Courier New" w:cs="Courier New" w:eastAsia="Courier New" w:hAnsi="Courier New"/>
          <w:b/>
          <w:bCs/>
          <w:color w:val="1B2A4A"/>
          <w:sz w:val="18"/>
          <w:szCs w:val="18"/>
        </w:rPr>
        <w:t xml:space="preserve">§1.19.b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more than once for the same offense arising from the same factual events. Acquittal is final. This applies across all levels of the Republic's court system — a State court acquittal cannot be retried in a federal court on the same facts.</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Right to Democratic Participation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action may make voting materially more difficult for any eligible citizen. This covers not only formal disenfranchisement but practical barriers: polling place closures, identification requirements that function as wealth or document-access tests, registration obstacles designed to suppress participation, and reductions in early or mail voting access. This right is self-executing: a citizen facing a material barrier may bring a constitutional claim directly in court. Eligibility to vote is established in §16.4.</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Right to Marry and Found a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marry or form a legally recognized partnership belongs to any two consenting adults regardless of sex, gender, or sexual orientation. The Republic must recognize such partnerships for all legal purposes. The Legislature and States may not create hierarchies of partnership recognition based on the characteristics of the parties.</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Rights of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protection from exploitation, abuse, and neglect. In all State actions affecting minors, the welfare and best interests of the child are the primary consideration — not merely one factor to be weighed.</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Environmental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holds an enforceable constitutional obligation to protect communities from government-caused environmental harm and to maintain the long-term ecological integrity of the Republic's natural environment. Both obligations are subject to annual Inspectorate reporting under §8.1.</w:t>
      </w:r>
    </w:p>
    <w:p>
      <w:pPr>
        <w:spacing w:after="60" w:before="200"/>
        <w:ind w:left="431"/>
        <w:jc w:val="left"/>
      </w:pPr>
      <w:r>
        <w:rPr>
          <w:rFonts w:ascii="Courier New" w:cs="Courier New" w:eastAsia="Courier New" w:hAnsi="Courier New"/>
          <w:b/>
          <w:bCs/>
          <w:color w:val="1B2A4A"/>
          <w:sz w:val="18"/>
          <w:szCs w:val="18"/>
        </w:rPr>
        <w:t xml:space="preserve">§1.23.a  </w:t>
      </w:r>
      <w:r>
        <w:rPr>
          <w:rFonts w:ascii="Garamond" w:cs="Garamond" w:eastAsia="Garamond" w:hAnsi="Garamond"/>
          <w:b/>
          <w:bCs/>
          <w:i w:val="false"/>
          <w:iCs w:val="false"/>
          <w:color w:val="1B2A4A"/>
          <w:sz w:val="22"/>
          <w:szCs w:val="22"/>
        </w:rPr>
        <w:t xml:space="preserve">Government Non-Harm</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authority may knowingly expose any community of Inhabitants to environmental hazards without full disclosure, meaningful consultation, and proportionate mitigation. The Government Non-Harm principle makes environmental poisoning of communities a constitutional violation, not merely a policy failure.</w:t>
      </w:r>
    </w:p>
    <w:p>
      <w:pPr>
        <w:spacing w:after="60" w:before="200"/>
        <w:ind w:left="431"/>
        <w:jc w:val="left"/>
      </w:pPr>
      <w:r>
        <w:rPr>
          <w:rFonts w:ascii="Courier New" w:cs="Courier New" w:eastAsia="Courier New" w:hAnsi="Courier New"/>
          <w:b/>
          <w:bCs/>
          <w:color w:val="1B2A4A"/>
          <w:sz w:val="18"/>
          <w:szCs w:val="18"/>
        </w:rPr>
        <w:t xml:space="preserve">§1.23.b  </w:t>
      </w:r>
      <w:r>
        <w:rPr>
          <w:rFonts w:ascii="Garamond" w:cs="Garamond" w:eastAsia="Garamond" w:hAnsi="Garamond"/>
          <w:b/>
          <w:bCs/>
          <w:i w:val="false"/>
          <w:iCs w:val="false"/>
          <w:color w:val="1B2A4A"/>
          <w:sz w:val="22"/>
          <w:szCs w:val="22"/>
        </w:rPr>
        <w:t xml:space="preserve">Environmental Stewardship</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long-term stewardship of the Republic's natural environment is a constitutional obligation of the federal government — not aspirational language. It creates an enforceable duty to maintain ecological integrity that the Inspectorates are mandated to report on annually.</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Education and Literacy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holds a constitutional right to education adequate to participate fully in civic life. The Republic's obligation under this section is both corrective — addressing wealth-based inequality in educational opportunity — and foundational — ensuring public education equips every student to meet the constitutional literacy standard. Parents retain the right to educate through alternative means that meet that standard.</w:t>
      </w:r>
    </w:p>
    <w:p>
      <w:pPr>
        <w:spacing w:after="60" w:before="200"/>
        <w:ind w:left="431"/>
        <w:jc w:val="left"/>
      </w:pPr>
      <w:r>
        <w:rPr>
          <w:rFonts w:ascii="Courier New" w:cs="Courier New" w:eastAsia="Courier New" w:hAnsi="Courier New"/>
          <w:b/>
          <w:bCs/>
          <w:color w:val="1B2A4A"/>
          <w:sz w:val="18"/>
          <w:szCs w:val="18"/>
        </w:rPr>
        <w:t xml:space="preserve">§1.24.a  </w:t>
      </w:r>
      <w:r>
        <w:rPr>
          <w:rFonts w:ascii="Garamond" w:cs="Garamond" w:eastAsia="Garamond" w:hAnsi="Garamond"/>
          <w:b/>
          <w:bCs/>
          <w:i w:val="false"/>
          <w:iCs w:val="false"/>
          <w:color w:val="1B2A4A"/>
          <w:sz w:val="22"/>
          <w:szCs w:val="22"/>
        </w:rPr>
        <w:t xml:space="preserve">Federal Education Assistance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must provide adequate education assistance to States and Territories so that no child's educational opportunity is determined primarily by the wealth of their territory. Federal assistance must address the gap between what a jurisdiction can fund locally and what the constitutional literacy standard requires.</w:t>
      </w:r>
    </w:p>
    <w:p>
      <w:pPr>
        <w:spacing w:after="60" w:before="200"/>
        <w:ind w:left="431"/>
        <w:jc w:val="left"/>
      </w:pPr>
      <w:r>
        <w:rPr>
          <w:rFonts w:ascii="Courier New" w:cs="Courier New" w:eastAsia="Courier New" w:hAnsi="Courier New"/>
          <w:b/>
          <w:bCs/>
          <w:color w:val="1B2A4A"/>
          <w:sz w:val="18"/>
          <w:szCs w:val="18"/>
        </w:rPr>
        <w:t xml:space="preserve">§1.24.b  </w:t>
      </w:r>
      <w:r>
        <w:rPr>
          <w:rFonts w:ascii="Garamond" w:cs="Garamond" w:eastAsia="Garamond" w:hAnsi="Garamond"/>
          <w:b/>
          <w:bCs/>
          <w:i w:val="false"/>
          <w:iCs w:val="false"/>
          <w:color w:val="1B2A4A"/>
          <w:sz w:val="22"/>
          <w:szCs w:val="22"/>
        </w:rPr>
        <w:t xml:space="preserve">Constitutional Literacy</w:t>
      </w:r>
    </w:p>
    <w:p>
      <w:pPr>
        <w:spacing w:after="120" w:before="0"/>
        <w:ind w:left="431"/>
        <w:jc w:val="both"/>
      </w:pPr>
      <w:r>
        <w:rPr>
          <w:rFonts w:ascii="Garamond" w:cs="Garamond" w:eastAsia="Garamond" w:hAnsi="Garamond"/>
          <w:b w:val="false"/>
          <w:bCs w:val="false"/>
          <w:i w:val="false"/>
          <w:iCs w:val="false"/>
          <w:color w:val="2a2520"/>
          <w:sz w:val="22"/>
          <w:szCs w:val="22"/>
        </w:rPr>
        <w:t xml:space="preserve">Public education must equip every student to understand the structure, rights, and civic obligations established by this constitution. This is a substantive floor — not a test requirement, but an educational outcome. The constitutional literacy standard for citizenship naturalization purposes is separately established by the CLT under §5.4.</w:t>
      </w:r>
    </w:p>
    <w:p>
      <w:pPr>
        <w:spacing w:after="60" w:before="200"/>
        <w:ind w:left="431"/>
        <w:jc w:val="left"/>
      </w:pPr>
      <w:r>
        <w:rPr>
          <w:rFonts w:ascii="Courier New" w:cs="Courier New" w:eastAsia="Courier New" w:hAnsi="Courier New"/>
          <w:b/>
          <w:bCs/>
          <w:color w:val="1B2A4A"/>
          <w:sz w:val="18"/>
          <w:szCs w:val="18"/>
        </w:rPr>
        <w:t xml:space="preserve">§1.24.c  </w:t>
      </w:r>
      <w:r>
        <w:rPr>
          <w:rFonts w:ascii="Garamond" w:cs="Garamond" w:eastAsia="Garamond" w:hAnsi="Garamond"/>
          <w:b/>
          <w:bCs/>
          <w:i w:val="false"/>
          <w:iCs w:val="false"/>
          <w:color w:val="1B2A4A"/>
          <w:sz w:val="22"/>
          <w:szCs w:val="22"/>
        </w:rPr>
        <w:t xml:space="preserve">Parental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Parents retain the right to educate children through alternative means — homeschooling, faith-based schools, alternative institutions — provided those alternatives meet the constitutional literacy standard. The Republic may set the floor; it may not mandate the method.</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Housing Non-Exclusion</w:t>
      </w:r>
    </w:p>
    <w:p>
      <w:pPr>
        <w:spacing w:after="120" w:before="0"/>
        <w:ind w:left="431"/>
        <w:jc w:val="both"/>
      </w:pPr>
      <w:r>
        <w:rPr>
          <w:rFonts w:ascii="Garamond" w:cs="Garamond" w:eastAsia="Garamond" w:hAnsi="Garamond"/>
          <w:b w:val="false"/>
          <w:bCs w:val="false"/>
          <w:i w:val="false"/>
          <w:iCs w:val="false"/>
          <w:color w:val="2a2520"/>
          <w:sz w:val="22"/>
          <w:szCs w:val="22"/>
        </w:rPr>
        <w:t xml:space="preserve">Housing access is a constitutional right — no government authority may use its powers to exclude persons from housing on discriminatory grounds or to deny housing to those who cannot independently secure it. The non-exclusion principle is established in §1.25.a and the social assistance housing obligation in §1.25.b.</w:t>
      </w:r>
    </w:p>
    <w:p>
      <w:pPr>
        <w:spacing w:after="60" w:before="200"/>
        <w:ind w:left="431"/>
        <w:jc w:val="left"/>
      </w:pPr>
      <w:r>
        <w:rPr>
          <w:rFonts w:ascii="Courier New" w:cs="Courier New" w:eastAsia="Courier New" w:hAnsi="Courier New"/>
          <w:b/>
          <w:bCs/>
          <w:color w:val="1B2A4A"/>
          <w:sz w:val="18"/>
          <w:szCs w:val="18"/>
        </w:rPr>
        <w:t xml:space="preserve">§1.25.a  </w:t>
      </w:r>
      <w:r>
        <w:rPr>
          <w:rFonts w:ascii="Garamond" w:cs="Garamond" w:eastAsia="Garamond" w:hAnsi="Garamond"/>
          <w:b/>
          <w:bCs/>
          <w:i w:val="false"/>
          <w:iCs w:val="false"/>
          <w:color w:val="1B2A4A"/>
          <w:sz w:val="22"/>
          <w:szCs w:val="22"/>
        </w:rPr>
        <w:t xml:space="preserve">Non-Exclusion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authority — federal, State, or local — may use regulatory or land-use powers to exclude any person from access to housing on the basis of any characteristic enumerated in §1.9. Exclusionary zoning designed to keep certain populations out of a community is constitutionally prohibited.</w:t>
      </w:r>
    </w:p>
    <w:p>
      <w:pPr>
        <w:spacing w:after="60" w:before="200"/>
        <w:ind w:left="431"/>
        <w:jc w:val="left"/>
      </w:pPr>
      <w:r>
        <w:rPr>
          <w:rFonts w:ascii="Courier New" w:cs="Courier New" w:eastAsia="Courier New" w:hAnsi="Courier New"/>
          <w:b/>
          <w:bCs/>
          <w:color w:val="1B2A4A"/>
          <w:sz w:val="18"/>
          <w:szCs w:val="18"/>
        </w:rPr>
        <w:t xml:space="preserve">§1.25.b  </w:t>
      </w:r>
      <w:r>
        <w:rPr>
          <w:rFonts w:ascii="Garamond" w:cs="Garamond" w:eastAsia="Garamond" w:hAnsi="Garamond"/>
          <w:b/>
          <w:bCs/>
          <w:i w:val="false"/>
          <w:iCs w:val="false"/>
          <w:color w:val="1B2A4A"/>
          <w:sz w:val="22"/>
          <w:szCs w:val="22"/>
        </w:rPr>
        <w:t xml:space="preserve">Social Assistance Housing Obligation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Housing access for persons who cannot independently secure it is a social assistance obligation under §10.1.b. Housing exclusion is an enforceable constitutional violation.</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§1.26.b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§1.26.a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(§1.26.d) without renewal.</w:t>
      </w:r>
    </w:p>
    <w:p>
      <w:pPr>
        <w:spacing w:after="60" w:before="200"/>
        <w:ind w:left="431"/>
        <w:jc w:val="left"/>
      </w:pPr>
      <w:r>
        <w:rPr>
          <w:rFonts w:ascii="Courier New" w:cs="Courier New" w:eastAsia="Courier New" w:hAnsi="Courier New"/>
          <w:b/>
          <w:bCs/>
          <w:color w:val="1B2A4A"/>
          <w:sz w:val="18"/>
          <w:szCs w:val="18"/>
        </w:rPr>
        <w:t xml:space="preserve">§1.26.b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(§1.14); the right to a public trial (§1.18); no retroactive punishment (§1.19); and non-refoulement (§1.28).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00"/>
        <w:ind w:left="431"/>
        <w:jc w:val="left"/>
      </w:pPr>
      <w:r>
        <w:rPr>
          <w:rFonts w:ascii="Courier New" w:cs="Courier New" w:eastAsia="Courier New" w:hAnsi="Courier New"/>
          <w:b/>
          <w:bCs/>
          <w:color w:val="1B2A4A"/>
          <w:sz w:val="18"/>
          <w:szCs w:val="18"/>
        </w:rPr>
        <w:t xml:space="preserve">§1.26.c  </w:t>
      </w:r>
      <w:r>
        <w:rPr>
          <w:rFonts w:ascii="Garamond" w:cs="Garamond" w:eastAsia="Garamond" w:hAnsi="Garamond"/>
          <w:b/>
          <w:bCs/>
          <w:i w:val="false"/>
          <w:iCs w:val="false"/>
          <w:color w:val="1B2A4A"/>
          <w:sz w:val="22"/>
          <w:szCs w:val="22"/>
        </w:rPr>
        <w:t xml:space="preserve">Inspectorate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431"/>
        <w:jc w:val="left"/>
      </w:pPr>
      <w:r>
        <w:rPr>
          <w:rFonts w:ascii="Courier New" w:cs="Courier New" w:eastAsia="Courier New" w:hAnsi="Courier New"/>
          <w:b/>
          <w:bCs/>
          <w:color w:val="1B2A4A"/>
          <w:sz w:val="18"/>
          <w:szCs w:val="18"/>
        </w:rPr>
        <w:t xml:space="preserve">§1.26.d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§1.26.e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extend an emergency measure by re-declaration within 60 days of its expiry, or at all unless a 2/3 majority certifies continued necessity.</w:t>
      </w:r>
    </w:p>
    <w:p>
      <w:pPr>
        <w:spacing w:after="60" w:before="200"/>
        <w:ind w:left="431"/>
        <w:jc w:val="left"/>
      </w:pPr>
      <w:r>
        <w:rPr>
          <w:rFonts w:ascii="Courier New" w:cs="Courier New" w:eastAsia="Courier New" w:hAnsi="Courier New"/>
          <w:b/>
          <w:bCs/>
          <w:color w:val="1B2A4A"/>
          <w:sz w:val="18"/>
          <w:szCs w:val="18"/>
        </w:rPr>
        <w:t xml:space="preserve">§1.27  </w:t>
      </w:r>
      <w:r>
        <w:rPr>
          <w:rFonts w:ascii="Garamond" w:cs="Garamond" w:eastAsia="Garamond" w:hAnsi="Garamond"/>
          <w:b/>
          <w:bCs/>
          <w:i w:val="false"/>
          <w:iCs w:val="false"/>
          <w:color w:val="1B2A4A"/>
          <w:sz w:val="22"/>
          <w:szCs w:val="22"/>
        </w:rPr>
        <w:t xml:space="preserve">Associated Community Residents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residing within any Associated Community operating under a compact with the Republic holds the full protections of Article I, enforceable directly by federal courts regardless of the Associated Community's internal governance structure. No compact provision may limit or qualify any Article I right for any resident of Associated Community territory.</w:t>
      </w:r>
    </w:p>
    <w:p>
      <w:pPr>
        <w:spacing w:after="60" w:before="200"/>
        <w:ind w:left="431"/>
        <w:jc w:val="left"/>
      </w:pPr>
      <w:r>
        <w:rPr>
          <w:rFonts w:ascii="Courier New" w:cs="Courier New" w:eastAsia="Courier New" w:hAnsi="Courier New"/>
          <w:b/>
          <w:bCs/>
          <w:color w:val="1B2A4A"/>
          <w:sz w:val="18"/>
          <w:szCs w:val="18"/>
        </w:rPr>
        <w:t xml:space="preserve">§1.28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based on race, religion, nationality, political opinion, or group membership. No exception applies for immigration status, mode of entry, or any emergency declaration. A pending §6.4 asylum application stays removal.</w:t>
      </w:r>
    </w:p>
    <w:p>
      <w:pPr>
        <w:spacing w:after="60" w:before="200"/>
        <w:ind w:left="431"/>
        <w:jc w:val="left"/>
      </w:pPr>
      <w:r>
        <w:rPr>
          <w:rFonts w:ascii="Courier New" w:cs="Courier New" w:eastAsia="Courier New" w:hAnsi="Courier New"/>
          <w:b/>
          <w:bCs/>
          <w:color w:val="1B2A4A"/>
          <w:sz w:val="18"/>
          <w:szCs w:val="18"/>
        </w:rPr>
        <w:t xml:space="preserve">§1.29  </w:t>
      </w:r>
      <w:r>
        <w:rPr>
          <w:rFonts w:ascii="Garamond" w:cs="Garamond" w:eastAsia="Garamond" w:hAnsi="Garamond"/>
          <w:b/>
          <w:bCs/>
          <w:i w:val="false"/>
          <w:iCs w:val="false"/>
          <w:color w:val="1B2A4A"/>
          <w:sz w:val="22"/>
          <w:szCs w:val="22"/>
        </w:rPr>
        <w:t xml:space="preserve">Medical Autonomy</w:t>
      </w:r>
    </w:p>
    <w:p>
      <w:pPr>
        <w:spacing w:after="120" w:before="0"/>
        <w:ind w:left="431"/>
        <w:jc w:val="both"/>
      </w:pPr>
      <w:r>
        <w:rPr>
          <w:rFonts w:ascii="Garamond" w:cs="Garamond" w:eastAsia="Garamond" w:hAnsi="Garamond"/>
          <w:b w:val="false"/>
          <w:bCs w:val="false"/>
          <w:i w:val="false"/>
          <w:iCs w:val="false"/>
          <w:color w:val="2a2520"/>
          <w:sz w:val="22"/>
          <w:szCs w:val="22"/>
        </w:rPr>
        <w:t xml:space="preserve">Medical decisions belong to the patient and their licensed provider. The State's legitimate role is safety and standards: licensing, scope of practice, and quality regulation. State governments may regulate which services licensed professionals offer within their jurisdiction. No State may impose civil or criminal liability on a person for receiving lawful medical care outside that State's jurisdiction, on a person who assists another in travelling to receive such care, on a provider within the State who refers a patient to out-of-state care or provides information about it, or on an out-of-state provider who performs care lawful where it is performed.</w:t>
      </w:r>
    </w:p>
    <w:p>
      <w:pPr>
        <w:spacing w:after="60" w:before="200"/>
        <w:ind w:left="431"/>
        <w:jc w:val="left"/>
      </w:pPr>
      <w:r>
        <w:rPr>
          <w:rFonts w:ascii="Courier New" w:cs="Courier New" w:eastAsia="Courier New" w:hAnsi="Courier New"/>
          <w:b/>
          <w:bCs/>
          <w:color w:val="1B2A4A"/>
          <w:sz w:val="18"/>
          <w:szCs w:val="18"/>
        </w:rPr>
        <w:t xml:space="preserve">§1.30  </w:t>
      </w:r>
      <w:r>
        <w:rPr>
          <w:rFonts w:ascii="Garamond" w:cs="Garamond" w:eastAsia="Garamond" w:hAnsi="Garamond"/>
          <w:b/>
          <w:bCs/>
          <w:i w:val="false"/>
          <w:iCs w:val="false"/>
          <w:color w:val="1B2A4A"/>
          <w:sz w:val="22"/>
          <w:szCs w:val="22"/>
        </w:rPr>
        <w:t xml:space="preserve">Right to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a right to privacy in their person, home, communications, associations, health, and personal data. The government may abridge this right only on a showing of specific, articulable necessity and only to the minimum extent that necessity requires. The general right governs wherever no specific sub-provision addresses the question; the more specific provision controls where one exists.</w:t>
      </w:r>
    </w:p>
    <w:p>
      <w:pPr>
        <w:spacing w:after="60" w:before="200"/>
        <w:ind w:left="431"/>
        <w:jc w:val="left"/>
      </w:pPr>
      <w:r>
        <w:rPr>
          <w:rFonts w:ascii="Courier New" w:cs="Courier New" w:eastAsia="Courier New" w:hAnsi="Courier New"/>
          <w:b/>
          <w:bCs/>
          <w:color w:val="1B2A4A"/>
          <w:sz w:val="18"/>
          <w:szCs w:val="18"/>
        </w:rPr>
        <w:t xml:space="preserve">§1.30.a  </w:t>
      </w:r>
      <w:r>
        <w:rPr>
          <w:rFonts w:ascii="Garamond" w:cs="Garamond" w:eastAsia="Garamond" w:hAnsi="Garamond"/>
          <w:b/>
          <w:bCs/>
          <w:i w:val="false"/>
          <w:iCs w:val="false"/>
          <w:color w:val="1B2A4A"/>
          <w:sz w:val="22"/>
          <w:szCs w:val="22"/>
        </w:rPr>
        <w:t xml:space="preserve">Searches and Seizures</w:t>
      </w:r>
    </w:p>
    <w:p>
      <w:pPr>
        <w:spacing w:after="120" w:before="0"/>
        <w:ind w:left="431"/>
        <w:jc w:val="both"/>
      </w:pPr>
      <w:r>
        <w:rPr>
          <w:rFonts w:ascii="Garamond" w:cs="Garamond" w:eastAsia="Garamond" w:hAnsi="Garamond"/>
          <w:b w:val="false"/>
          <w:bCs w:val="false"/>
          <w:i w:val="false"/>
          <w:iCs w:val="false"/>
          <w:color w:val="2a2520"/>
          <w:sz w:val="22"/>
          <w:szCs w:val="22"/>
        </w:rPr>
        <w:t xml:space="preserve">No unreasonable search or seizure of person, home, property, communications, or data. Any authorized search must be narrowly scoped, judicially approved before execution, and recorded on the NRS. General warrants — broad or unspecified authorizations — are absolutely prohibited. Digital spaces secured by private cryptographic keys are treated as equivalent to a physical home.</w:t>
      </w:r>
    </w:p>
    <w:p>
      <w:pPr>
        <w:spacing w:after="60" w:before="200"/>
        <w:ind w:left="431"/>
        <w:jc w:val="left"/>
      </w:pPr>
      <w:r>
        <w:rPr>
          <w:rFonts w:ascii="Courier New" w:cs="Courier New" w:eastAsia="Courier New" w:hAnsi="Courier New"/>
          <w:b/>
          <w:bCs/>
          <w:color w:val="1B2A4A"/>
          <w:sz w:val="18"/>
          <w:szCs w:val="18"/>
        </w:rPr>
        <w:t xml:space="preserve">§1.30.b  </w:t>
      </w:r>
      <w:r>
        <w:rPr>
          <w:rFonts w:ascii="Garamond" w:cs="Garamond" w:eastAsia="Garamond" w:hAnsi="Garamond"/>
          <w:b/>
          <w:bCs/>
          <w:i w:val="false"/>
          <w:iCs w:val="false"/>
          <w:color w:val="1B2A4A"/>
          <w:sz w:val="22"/>
          <w:szCs w:val="22"/>
        </w:rPr>
        <w:t xml:space="preserve">Medical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Medical information, health records, genetic data, and bodily condition are private. Government compulsion requires a specific judicial order in active legal proceedings, limited to what those proceedings directly require. Public health law disclosures must be proportionate, time-limited, and NRS-recorded.</w:t>
      </w:r>
    </w:p>
    <w:p>
      <w:pPr>
        <w:spacing w:after="60" w:before="200"/>
        <w:ind w:left="431"/>
        <w:jc w:val="left"/>
      </w:pPr>
      <w:r>
        <w:rPr>
          <w:rFonts w:ascii="Courier New" w:cs="Courier New" w:eastAsia="Courier New" w:hAnsi="Courier New"/>
          <w:b/>
          <w:bCs/>
          <w:color w:val="1B2A4A"/>
          <w:sz w:val="18"/>
          <w:szCs w:val="18"/>
        </w:rPr>
        <w:t xml:space="preserve">§1.30.c  </w:t>
      </w:r>
      <w:r>
        <w:rPr>
          <w:rFonts w:ascii="Garamond" w:cs="Garamond" w:eastAsia="Garamond" w:hAnsi="Garamond"/>
          <w:b/>
          <w:bCs/>
          <w:i w:val="false"/>
          <w:iCs w:val="false"/>
          <w:color w:val="1B2A4A"/>
          <w:sz w:val="22"/>
          <w:szCs w:val="22"/>
        </w:rPr>
        <w:t xml:space="preserve">Communications and Data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collection of private communications or personal data requires specific judicial authorization identifying the person, the data sought, and the collection period. Bulk collection without individual identification is prohibited outright. Private-sector entities cannot be compelled to collect or disclose on the government's behalf beyond what independent judicial authorization would permit. The Legislature may establish data minimization and retention limits for government-held data.</w:t>
      </w:r>
    </w:p>
    <w:p>
      <w:pPr>
        <w:spacing w:after="60" w:before="200"/>
        <w:ind w:left="431"/>
        <w:jc w:val="left"/>
      </w:pPr>
      <w:r>
        <w:rPr>
          <w:rFonts w:ascii="Courier New" w:cs="Courier New" w:eastAsia="Courier New" w:hAnsi="Courier New"/>
          <w:b/>
          <w:bCs/>
          <w:color w:val="1B2A4A"/>
          <w:sz w:val="18"/>
          <w:szCs w:val="18"/>
        </w:rPr>
        <w:t xml:space="preserve">§1.30.d  </w:t>
      </w:r>
      <w:r>
        <w:rPr>
          <w:rFonts w:ascii="Garamond" w:cs="Garamond" w:eastAsia="Garamond" w:hAnsi="Garamond"/>
          <w:b/>
          <w:bCs/>
          <w:i w:val="false"/>
          <w:iCs w:val="false"/>
          <w:color w:val="1B2A4A"/>
          <w:sz w:val="22"/>
          <w:szCs w:val="22"/>
        </w:rPr>
        <w:t xml:space="preserve">Intelligence Firewall</w:t>
      </w:r>
    </w:p>
    <w:p>
      <w:pPr>
        <w:spacing w:after="120" w:before="0"/>
        <w:ind w:left="431"/>
        <w:jc w:val="both"/>
      </w:pPr>
      <w:r>
        <w:rPr>
          <w:rFonts w:ascii="Garamond" w:cs="Garamond" w:eastAsia="Garamond" w:hAnsi="Garamond"/>
          <w:b w:val="false"/>
          <w:bCs w:val="false"/>
          <w:i w:val="false"/>
          <w:iCs w:val="false"/>
          <w:color w:val="2a2520"/>
          <w:sz w:val="22"/>
          <w:szCs w:val="22"/>
        </w:rPr>
        <w:t xml:space="preserve">All domestic intelligence operations against Republic citizens are prohibited and constitutionally void. Any such order is reported to the NRS by the EI. This prohibition is non-derogable — no emergency, treaty, or statute can suspend it.</w:t>
      </w:r>
    </w:p>
    <w:p>
      <w:pPr>
        <w:spacing w:after="60" w:before="200"/>
        <w:ind w:left="431"/>
        <w:jc w:val="left"/>
      </w:pPr>
      <w:r>
        <w:rPr>
          <w:rFonts w:ascii="Courier New" w:cs="Courier New" w:eastAsia="Courier New" w:hAnsi="Courier New"/>
          <w:b/>
          <w:bCs/>
          <w:color w:val="1B2A4A"/>
          <w:sz w:val="18"/>
          <w:szCs w:val="18"/>
        </w:rPr>
        <w:t xml:space="preserve">§1.30.e  </w:t>
      </w:r>
      <w:r>
        <w:rPr>
          <w:rFonts w:ascii="Garamond" w:cs="Garamond" w:eastAsia="Garamond" w:hAnsi="Garamond"/>
          <w:b/>
          <w:bCs/>
          <w:i w:val="false"/>
          <w:iCs w:val="false"/>
          <w:color w:val="1B2A4A"/>
          <w:sz w:val="22"/>
          <w:szCs w:val="22"/>
        </w:rPr>
        <w:t xml:space="preserve">Associational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mapping of associations — who a person knows, meets, communicates with, or joins — requires the same specific judicial authorization as communications collection under §1.30.c. Bulk mapping of associational activity is prohibited on the same terms as bulk collection. The privacy of associational membership is protected separately from the right to associate under §1.7 — a government may not compel disclosure of membership even where it refrains from prohibiting association.</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President — Term and Transfer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holds enumerated executive authority over: military command, foreign affairs, intelligence, treaty negotiation, trade agreements, and domain officer appointments. Presidential authority is enumerated; PM authority is residual. Upon expiration of the presidential term, all authority transfers immediately to the incoming President. No holdover power, acting authority, or transitional executive capacity remains with the outgoing President after the moment of transfer. The outgoing President retains no access to classified information, government systems, or official residence beyond the day of transfer.</w:t>
      </w:r>
    </w:p>
    <w:p>
      <w:pPr>
        <w:spacing w:after="60" w:before="200"/>
        <w:ind w:left="431"/>
        <w:jc w:val="left"/>
      </w:pPr>
      <w:r>
        <w:rPr>
          <w:rFonts w:ascii="Courier New" w:cs="Courier New" w:eastAsia="Courier New" w:hAnsi="Courier New"/>
          <w:b/>
          <w:bCs/>
          <w:color w:val="1B2A4A"/>
          <w:sz w:val="18"/>
          <w:szCs w:val="18"/>
        </w:rPr>
        <w:t xml:space="preserve">§2.1.a  </w:t>
      </w:r>
      <w:r>
        <w:rPr>
          <w:rFonts w:ascii="Garamond" w:cs="Garamond" w:eastAsia="Garamond" w:hAnsi="Garamond"/>
          <w:b/>
          <w:bCs/>
          <w:i w:val="false"/>
          <w:iCs w:val="false"/>
          <w:color w:val="1B2A4A"/>
          <w:sz w:val="22"/>
          <w:szCs w:val="22"/>
        </w:rPr>
        <w:t xml:space="preserve">Tier 1 — Immediate Defensive Response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respond immediately to an active, imminent, or ongoing attack on Republic territory, Republic citizens abroad, or treaty allies without prior legislative authorization. The only presidential power that can be exercised without legislative consent. Strictly bounded: defensive operations only, expires when the immediate threat is neutralized, 12-hour notification to both chambers and the PM. Cannot initiate a conflict or extend operations — those require Tier 2 authorization within 96 hours.</w:t>
      </w:r>
    </w:p>
    <w:p>
      <w:pPr>
        <w:spacing w:after="60" w:before="200"/>
        <w:ind w:left="431"/>
        <w:jc w:val="left"/>
      </w:pPr>
      <w:r>
        <w:rPr>
          <w:rFonts w:ascii="Courier New" w:cs="Courier New" w:eastAsia="Courier New" w:hAnsi="Courier New"/>
          <w:b/>
          <w:bCs/>
          <w:color w:val="1B2A4A"/>
          <w:sz w:val="18"/>
          <w:szCs w:val="18"/>
        </w:rPr>
        <w:t xml:space="preserve">§2.1.b  </w:t>
      </w:r>
      <w:r>
        <w:rPr>
          <w:rFonts w:ascii="Garamond" w:cs="Garamond" w:eastAsia="Garamond" w:hAnsi="Garamond"/>
          <w:b/>
          <w:bCs/>
          <w:i w:val="false"/>
          <w:iCs w:val="false"/>
          <w:color w:val="1B2A4A"/>
          <w:sz w:val="22"/>
          <w:szCs w:val="22"/>
        </w:rPr>
        <w:t xml:space="preserve">Tier 2 — Senate Armed Services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Required within 96 hours for any offensive operation or sustained defensive deployment. Simple majority of the Committee following a classified presidential briefing. Covers 30 days. If the full Legislature does not pass a Tier 3 Declaration within 30 days, all operations except immediate territorial defense must cease automatically. No presidential override.</w:t>
      </w:r>
    </w:p>
    <w:p>
      <w:pPr>
        <w:spacing w:after="60" w:before="200"/>
        <w:ind w:left="431"/>
        <w:jc w:val="left"/>
      </w:pPr>
      <w:r>
        <w:rPr>
          <w:rFonts w:ascii="Courier New" w:cs="Courier New" w:eastAsia="Courier New" w:hAnsi="Courier New"/>
          <w:b/>
          <w:bCs/>
          <w:color w:val="1B2A4A"/>
          <w:sz w:val="18"/>
          <w:szCs w:val="18"/>
        </w:rPr>
        <w:t xml:space="preserve">§2.1.c  </w:t>
      </w:r>
      <w:r>
        <w:rPr>
          <w:rFonts w:ascii="Garamond" w:cs="Garamond" w:eastAsia="Garamond" w:hAnsi="Garamond"/>
          <w:b/>
          <w:bCs/>
          <w:i w:val="false"/>
          <w:iCs w:val="false"/>
          <w:color w:val="1B2A4A"/>
          <w:sz w:val="22"/>
          <w:szCs w:val="22"/>
        </w:rPr>
        <w:t xml:space="preserve">Tier 3 — Legislative Declaration of Defense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democratic authorization. 2/3 concurrent majority of both chambers. Must state the §12.1 authorized purpose. Renewable every 180 days — failure to renew terminates all operations and expenditure with no presidential override. Maximum 5 years then mandatory 90-day cessation.</w:t>
      </w:r>
    </w:p>
    <w:p>
      <w:pPr>
        <w:spacing w:after="60" w:before="200"/>
        <w:ind w:left="431"/>
        <w:jc w:val="left"/>
      </w:pPr>
      <w:r>
        <w:rPr>
          <w:rFonts w:ascii="Courier New" w:cs="Courier New" w:eastAsia="Courier New" w:hAnsi="Courier New"/>
          <w:b/>
          <w:bCs/>
          <w:color w:val="1B2A4A"/>
          <w:sz w:val="18"/>
          <w:szCs w:val="18"/>
        </w:rPr>
        <w:t xml:space="preserve">§2.1.d  </w:t>
      </w:r>
      <w:r>
        <w:rPr>
          <w:rFonts w:ascii="Garamond" w:cs="Garamond" w:eastAsia="Garamond" w:hAnsi="Garamond"/>
          <w:b/>
          <w:bCs/>
          <w:i w:val="false"/>
          <w:iCs w:val="false"/>
          <w:color w:val="1B2A4A"/>
          <w:sz w:val="22"/>
          <w:szCs w:val="22"/>
        </w:rPr>
        <w:t xml:space="preserve">Funding Lock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has no authority to spend domestic funds. All military expenditure requires PM certification. Tier 1 defensive operations carry an automatic 96-hour Emergency Defense Allocation — self-executing, not subject to PM Fiscal Objection. Beyond 96 hours, PM must certify or uncertified spending is void, triggering an immediate pay freeze on military personnel and federal civilian employees directly supporting military operations. Separates the decision to use force from the decision to fund it.</w:t>
      </w:r>
    </w:p>
    <w:p>
      <w:pPr>
        <w:spacing w:after="60" w:before="200"/>
        <w:ind w:left="431"/>
        <w:jc w:val="left"/>
      </w:pPr>
      <w:r>
        <w:rPr>
          <w:rFonts w:ascii="Courier New" w:cs="Courier New" w:eastAsia="Courier New" w:hAnsi="Courier New"/>
          <w:b/>
          <w:bCs/>
          <w:color w:val="1B2A4A"/>
          <w:sz w:val="18"/>
          <w:szCs w:val="18"/>
        </w:rPr>
        <w:t xml:space="preserve">§2.1.e  </w:t>
      </w:r>
      <w:r>
        <w:rPr>
          <w:rFonts w:ascii="Garamond" w:cs="Garamond" w:eastAsia="Garamond" w:hAnsi="Garamond"/>
          <w:b/>
          <w:bCs/>
          <w:i w:val="false"/>
          <w:iCs w:val="false"/>
          <w:color w:val="1B2A4A"/>
          <w:sz w:val="22"/>
          <w:szCs w:val="22"/>
        </w:rPr>
        <w:t xml:space="preserve">Presidential Intelligence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prohibition on domestic intelligence operations against Republic citizens is non-derogable and permanent under §1.30.d. Any order authorizing domestic intelligence operations against Republic citizens is constitutionally void. The EI reports any such order to the NRS.</w:t>
      </w:r>
    </w:p>
    <w:p>
      <w:pPr>
        <w:spacing w:after="60" w:before="200"/>
        <w:ind w:left="431"/>
        <w:jc w:val="left"/>
      </w:pPr>
      <w:r>
        <w:rPr>
          <w:rFonts w:ascii="Courier New" w:cs="Courier New" w:eastAsia="Courier New" w:hAnsi="Courier New"/>
          <w:b/>
          <w:bCs/>
          <w:color w:val="1B2A4A"/>
          <w:sz w:val="18"/>
          <w:szCs w:val="18"/>
        </w:rPr>
        <w:t xml:space="preserve">§2.1.f  </w:t>
      </w:r>
      <w:r>
        <w:rPr>
          <w:rFonts w:ascii="Garamond" w:cs="Garamond" w:eastAsia="Garamond" w:hAnsi="Garamond"/>
          <w:b/>
          <w:bCs/>
          <w:i w:val="false"/>
          <w:iCs w:val="false"/>
          <w:color w:val="1B2A4A"/>
          <w:sz w:val="22"/>
          <w:szCs w:val="22"/>
        </w:rPr>
        <w:t xml:space="preserve">Presidential Veto —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veto only bills that raise a genuine constitutional concern within the security domain: military operations, intelligence, treaty obligations, or border security. A general or speculative security connection is not sufficient. The SC reviews any Presidential veto within 48 hours on petition from either Speaker.</w:t>
      </w:r>
    </w:p>
    <w:p>
      <w:pPr>
        <w:spacing w:after="60" w:before="200"/>
        <w:ind w:left="431"/>
        <w:jc w:val="left"/>
      </w:pPr>
      <w:r>
        <w:rPr>
          <w:rFonts w:ascii="Courier New" w:cs="Courier New" w:eastAsia="Courier New" w:hAnsi="Courier New"/>
          <w:b/>
          <w:bCs/>
          <w:color w:val="1B2A4A"/>
          <w:sz w:val="18"/>
          <w:szCs w:val="18"/>
        </w:rPr>
        <w:t xml:space="preserve">§2.1.f.i  </w:t>
      </w:r>
      <w:r>
        <w:rPr>
          <w:rFonts w:ascii="Garamond" w:cs="Garamond" w:eastAsia="Garamond" w:hAnsi="Garamond"/>
          <w:b/>
          <w:bCs/>
          <w:i w:val="false"/>
          <w:iCs w:val="false"/>
          <w:color w:val="1B2A4A"/>
          <w:sz w:val="22"/>
          <w:szCs w:val="22"/>
        </w:rPr>
        <w:t xml:space="preserve">Judicial Review and Override</w:t>
      </w:r>
    </w:p>
    <w:p>
      <w:pPr>
        <w:spacing w:after="120" w:before="0"/>
        <w:ind w:left="431"/>
        <w:jc w:val="both"/>
      </w:pPr>
      <w:r>
        <w:rPr>
          <w:rFonts w:ascii="Garamond" w:cs="Garamond" w:eastAsia="Garamond" w:hAnsi="Garamond"/>
          <w:b w:val="false"/>
          <w:bCs w:val="false"/>
          <w:i w:val="false"/>
          <w:iCs w:val="false"/>
          <w:color w:val="2a2520"/>
          <w:sz w:val="22"/>
          <w:szCs w:val="22"/>
        </w:rPr>
        <w:t xml:space="preserve">Automatic expedited SC review within 48 hours of petition by either Speaker. The Court determines only whether the bill genuinely raises a constitutional concern within the President's defined domain — not whether the President's security judgment is correct. If the bill does not raise a genuine domain concern, the veto fails.</w:t>
      </w:r>
    </w:p>
    <w:p>
      <w:pPr>
        <w:spacing w:after="60" w:before="200"/>
        <w:ind w:left="431"/>
        <w:jc w:val="left"/>
      </w:pPr>
      <w:r>
        <w:rPr>
          <w:rFonts w:ascii="Courier New" w:cs="Courier New" w:eastAsia="Courier New" w:hAnsi="Courier New"/>
          <w:b/>
          <w:bCs/>
          <w:color w:val="1B2A4A"/>
          <w:sz w:val="18"/>
          <w:szCs w:val="18"/>
        </w:rPr>
        <w:t xml:space="preserve">§2.1.f.ii  </w:t>
      </w:r>
      <w:r>
        <w:rPr>
          <w:rFonts w:ascii="Garamond" w:cs="Garamond" w:eastAsia="Garamond" w:hAnsi="Garamond"/>
          <w:b/>
          <w:bCs/>
          <w:i w:val="false"/>
          <w:iCs w:val="false"/>
          <w:color w:val="1B2A4A"/>
          <w:sz w:val="22"/>
          <w:szCs w:val="22"/>
        </w:rPr>
        <w:t xml:space="preserve">Veto Suspension for Repeated Void Vetoes</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Supreme Court voids three Presidential vetoes on scope or justification grounds within any 180-day period, the President's veto authority is suspended for the remainder of that period. The Legislative Inspectorate publishes a finding to the NRS upon suspension. Suspension affects only the veto power — all other presidential authority, including Tier 1 through Tier 3 military authorization, remains fully operative.</w:t>
      </w:r>
    </w:p>
    <w:p>
      <w:pPr>
        <w:spacing w:after="60" w:before="200"/>
        <w:ind w:left="431"/>
        <w:jc w:val="left"/>
      </w:pPr>
      <w:r>
        <w:rPr>
          <w:rFonts w:ascii="Courier New" w:cs="Courier New" w:eastAsia="Courier New" w:hAnsi="Courier New"/>
          <w:b/>
          <w:bCs/>
          <w:color w:val="1B2A4A"/>
          <w:sz w:val="18"/>
          <w:szCs w:val="18"/>
        </w:rPr>
        <w:t xml:space="preserve">§2.1.g  </w:t>
      </w:r>
      <w:r>
        <w:rPr>
          <w:rFonts w:ascii="Garamond" w:cs="Garamond" w:eastAsia="Garamond" w:hAnsi="Garamond"/>
          <w:b/>
          <w:bCs/>
          <w:i w:val="false"/>
          <w:iCs w:val="false"/>
          <w:color w:val="1B2A4A"/>
          <w:sz w:val="22"/>
          <w:szCs w:val="22"/>
        </w:rPr>
        <w:t xml:space="preserve">Presidential 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clemency is domain-scoped: military law and national security offenses only. Before any grant, the EI publishes a factual background report to the NRS. Clemency may not be granted for: any offense in which the President was a participant, co-conspirator, or direct beneficiary; any offense committed by a current or former official abusing their official position; or any offense for which the convicted person is simultaneously subject to constitutional violation proceedings. Self-clemency is prohibited under §2.9.b. Every petition, every EI report, and every grant or decline is published to the NRS permanently. Every grant is subject to cross-chamber legislative review under §2.9.c.</w:t>
      </w:r>
    </w:p>
    <w:p>
      <w:pPr>
        <w:spacing w:after="60" w:before="200"/>
        <w:ind w:left="431"/>
        <w:jc w:val="left"/>
      </w:pPr>
      <w:r>
        <w:rPr>
          <w:rFonts w:ascii="Courier New" w:cs="Courier New" w:eastAsia="Courier New" w:hAnsi="Courier New"/>
          <w:b/>
          <w:bCs/>
          <w:color w:val="1B2A4A"/>
          <w:sz w:val="18"/>
          <w:szCs w:val="18"/>
        </w:rPr>
        <w:t xml:space="preserve">§2.1.h  </w:t>
      </w:r>
      <w:r>
        <w:rPr>
          <w:rFonts w:ascii="Garamond" w:cs="Garamond" w:eastAsia="Garamond" w:hAnsi="Garamond"/>
          <w:b/>
          <w:bCs/>
          <w:i w:val="false"/>
          <w:iCs w:val="false"/>
          <w:color w:val="1B2A4A"/>
          <w:sz w:val="22"/>
          <w:szCs w:val="22"/>
        </w:rPr>
        <w:t xml:space="preserve">Dual Executive Conflict Resolution During Active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disagree on whether a military operation falls within the Presidential military domain during active operations, either executive may file a written NRS objection within 6 hours. The executives have 12 hours to resolve the dispute by negotiation. Where no resolution is reached, either executive may petition the Supreme Court for an emergency domain determination; the Court must rule within 24 hours of petition. Pending an SC ruling, the Presidential order governs only operations directly connected to the active military situation while all other government functions follow the PM. Where an SC emergency domain determination under this provision is pending, Tier 1 defensive operations continue on the authority of the Presidential order and are deemed certified for funding purposes until the ruling is published, provided the SC petition was filed before the Emergency Defense Allocation window expired.</w:t>
      </w:r>
    </w:p>
    <w:p>
      <w:pPr>
        <w:spacing w:after="60" w:before="200"/>
        <w:ind w:left="431"/>
        <w:jc w:val="left"/>
      </w:pPr>
      <w:r>
        <w:rPr>
          <w:rFonts w:ascii="Courier New" w:cs="Courier New" w:eastAsia="Courier New" w:hAnsi="Courier New"/>
          <w:b/>
          <w:bCs/>
          <w:color w:val="1B2A4A"/>
          <w:sz w:val="18"/>
          <w:szCs w:val="18"/>
        </w:rPr>
        <w:t xml:space="preserve">§2.1.i  </w:t>
      </w:r>
      <w:r>
        <w:rPr>
          <w:rFonts w:ascii="Garamond" w:cs="Garamond" w:eastAsia="Garamond" w:hAnsi="Garamond"/>
          <w:b/>
          <w:bCs/>
          <w:i w:val="false"/>
          <w:iCs w:val="false"/>
          <w:color w:val="1B2A4A"/>
          <w:sz w:val="22"/>
          <w:szCs w:val="22"/>
        </w:rPr>
        <w:t xml:space="preserve">International Trade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negotiates and concludes trade agreements; PM written concurrence is required where the agreement materially affects the domestic economy. National treatment obligations within Republic territory require PM concurrence, as they directly govern how domestic industry is regulated. Where PM concurrence is withheld, domestic provisions may be transmitted to the House Speaker as ordinary legislation. Ratification requires a 2/3 Senate majority under §3.2.e.</w:t>
      </w:r>
    </w:p>
    <w:p>
      <w:pPr>
        <w:spacing w:after="60" w:before="200"/>
        <w:ind w:left="431"/>
        <w:jc w:val="left"/>
      </w:pPr>
      <w:r>
        <w:rPr>
          <w:rFonts w:ascii="Courier New" w:cs="Courier New" w:eastAsia="Courier New" w:hAnsi="Courier New"/>
          <w:b/>
          <w:bCs/>
          <w:color w:val="1B2A4A"/>
          <w:sz w:val="18"/>
          <w:szCs w:val="18"/>
        </w:rPr>
        <w:t xml:space="preserve">§2.1.j  </w:t>
      </w:r>
      <w:r>
        <w:rPr>
          <w:rFonts w:ascii="Garamond" w:cs="Garamond" w:eastAsia="Garamond" w:hAnsi="Garamond"/>
          <w:b/>
          <w:bCs/>
          <w:i w:val="false"/>
          <w:iCs w:val="false"/>
          <w:color w:val="1B2A4A"/>
          <w:sz w:val="22"/>
          <w:szCs w:val="22"/>
        </w:rPr>
        <w:t xml:space="preserve">Presidential Officer Appointments and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nominates the Director of Intelligence, Secretary for Foreign Affairs, and Secretary for Defense. The Senate confirms each nomination by simple majority within a period the Legislature defines by statute. If the Senate has not voted within that period, the President may name an Acting officer from among civil service employees or existing confirmed executive branch officers. All nominations, confirmations, and Acting appointments are published to the NRS within 24 hours. Acting status runs for up to 6 months from the date of appointment. After 6 months, the Acting officer must either be confirmed by the Senate under the standard process or be re-appointed by the President for one further 30-day extension. After that extension expires without Senate confirmation, the most senior career officer in the relevant department holds the role until a nomination is confirmed. The one-extension limit prevents indefinite Acting appointments circumventing Senate confirmation. An officer subject to an active §3.8 impeachment proceeding may not be removed by the President until those proceedings conclude.</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The Prime Minister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residual executive authority over all functions not enumerated as Presidential. To be eligible, a person must have held citizenship for at least 10 years. The PM answers to the House through the confidence mechanism and does not require presidential confirmation for the exercise of the domestic domain.</w:t>
      </w:r>
    </w:p>
    <w:p>
      <w:pPr>
        <w:spacing w:after="60" w:before="200"/>
        <w:ind w:left="431"/>
        <w:jc w:val="left"/>
      </w:pPr>
      <w:r>
        <w:rPr>
          <w:rFonts w:ascii="Courier New" w:cs="Courier New" w:eastAsia="Courier New" w:hAnsi="Courier New"/>
          <w:b/>
          <w:bCs/>
          <w:color w:val="1B2A4A"/>
          <w:sz w:val="18"/>
          <w:szCs w:val="18"/>
        </w:rPr>
        <w:t xml:space="preserve">§2.2.a  </w:t>
      </w:r>
      <w:r>
        <w:rPr>
          <w:rFonts w:ascii="Garamond" w:cs="Garamond" w:eastAsia="Garamond" w:hAnsi="Garamond"/>
          <w:b/>
          <w:bCs/>
          <w:i w:val="false"/>
          <w:iCs w:val="false"/>
          <w:color w:val="1B2A4A"/>
          <w:sz w:val="22"/>
          <w:szCs w:val="22"/>
        </w:rPr>
        <w:t xml:space="preserve">Domestic Policy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Prime Minister holds authority over all domestic policy — healthcare, education, infrastructure, housing, labour, environment, and all domestic regulatory frameworks. This authority is residual: it covers every function not expressly enumerated as Presidential under §2.1.</w:t>
      </w:r>
    </w:p>
    <w:p>
      <w:pPr>
        <w:spacing w:after="60" w:before="200"/>
        <w:ind w:left="431"/>
        <w:jc w:val="left"/>
      </w:pPr>
      <w:r>
        <w:rPr>
          <w:rFonts w:ascii="Courier New" w:cs="Courier New" w:eastAsia="Courier New" w:hAnsi="Courier New"/>
          <w:b/>
          <w:bCs/>
          <w:color w:val="1B2A4A"/>
          <w:sz w:val="18"/>
          <w:szCs w:val="18"/>
        </w:rPr>
        <w:t xml:space="preserve">§2.2.b  </w:t>
      </w:r>
      <w:r>
        <w:rPr>
          <w:rFonts w:ascii="Garamond" w:cs="Garamond" w:eastAsia="Garamond" w:hAnsi="Garamond"/>
          <w:b/>
          <w:bCs/>
          <w:i w:val="false"/>
          <w:iCs w:val="false"/>
          <w:color w:val="1B2A4A"/>
          <w:sz w:val="22"/>
          <w:szCs w:val="22"/>
        </w:rPr>
        <w:t xml:space="preserve">Ministerial Appointments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PM appoints senior domestic officers from candidates whose qualifications have been certified by the JI against criteria established by statute. The registry requirement prevents purely political appointments. Senate confirmation provides a further check. PM removal of appointed officers requires published NRS reasons — arbitrary or politically motivated removal is constitutionally visible.</w:t>
      </w:r>
    </w:p>
    <w:p>
      <w:pPr>
        <w:spacing w:after="60" w:before="200"/>
        <w:ind w:left="431"/>
        <w:jc w:val="left"/>
      </w:pPr>
      <w:r>
        <w:rPr>
          <w:rFonts w:ascii="Courier New" w:cs="Courier New" w:eastAsia="Courier New" w:hAnsi="Courier New"/>
          <w:b/>
          <w:bCs/>
          <w:color w:val="1B2A4A"/>
          <w:sz w:val="18"/>
          <w:szCs w:val="18"/>
        </w:rPr>
        <w:t xml:space="preserve">§2.2.c  </w:t>
      </w:r>
      <w:r>
        <w:rPr>
          <w:rFonts w:ascii="Garamond" w:cs="Garamond" w:eastAsia="Garamond" w:hAnsi="Garamond"/>
          <w:b/>
          <w:bCs/>
          <w:i w:val="false"/>
          <w:iCs w:val="false"/>
          <w:color w:val="1B2A4A"/>
          <w:sz w:val="22"/>
          <w:szCs w:val="22"/>
        </w:rPr>
        <w:t xml:space="preserve">PM Fiscal and Budget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budget originates with the PM and requires House passage. The PM's certification function for military expenditure is the financial check on the President's domain: no military operation runs without PM-certified funds.</w:t>
      </w:r>
    </w:p>
    <w:p>
      <w:pPr>
        <w:spacing w:after="60" w:before="200"/>
        <w:ind w:left="431"/>
        <w:jc w:val="left"/>
      </w:pPr>
      <w:r>
        <w:rPr>
          <w:rFonts w:ascii="Courier New" w:cs="Courier New" w:eastAsia="Courier New" w:hAnsi="Courier New"/>
          <w:b/>
          <w:bCs/>
          <w:color w:val="1B2A4A"/>
          <w:sz w:val="18"/>
          <w:szCs w:val="18"/>
        </w:rPr>
        <w:t xml:space="preserve">§2.2.d  </w:t>
      </w:r>
      <w:r>
        <w:rPr>
          <w:rFonts w:ascii="Garamond" w:cs="Garamond" w:eastAsia="Garamond" w:hAnsi="Garamond"/>
          <w:b/>
          <w:bCs/>
          <w:i w:val="false"/>
          <w:iCs w:val="false"/>
          <w:color w:val="1B2A4A"/>
          <w:sz w:val="22"/>
          <w:szCs w:val="22"/>
        </w:rPr>
        <w:t xml:space="preserve">Legislative Review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reviews all enacted legislation and may sign, apply a Fiscal Objection, or apply a Suspensive Veto. Silence within the Legislative Review Period triggers Deemed Enactment — there is no veto by inaction. The Suspensive Veto returns the bill to the Legislature, which may override by 2/3 of both chambers simultaneously.</w:t>
      </w:r>
    </w:p>
    <w:p>
      <w:pPr>
        <w:spacing w:after="60" w:before="200"/>
        <w:ind w:left="431"/>
        <w:jc w:val="left"/>
      </w:pPr>
      <w:r>
        <w:rPr>
          <w:rFonts w:ascii="Courier New" w:cs="Courier New" w:eastAsia="Courier New" w:hAnsi="Courier New"/>
          <w:b/>
          <w:bCs/>
          <w:color w:val="1B2A4A"/>
          <w:sz w:val="18"/>
          <w:szCs w:val="18"/>
        </w:rPr>
        <w:t xml:space="preserve">§2.2.e  </w:t>
      </w:r>
      <w:r>
        <w:rPr>
          <w:rFonts w:ascii="Garamond" w:cs="Garamond" w:eastAsia="Garamond" w:hAnsi="Garamond"/>
          <w:b/>
          <w:bCs/>
          <w:i w:val="false"/>
          <w:iCs w:val="false"/>
          <w:color w:val="1B2A4A"/>
          <w:sz w:val="22"/>
          <w:szCs w:val="22"/>
        </w:rPr>
        <w:t xml:space="preserve">Domestic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declare a domestic emergency in response to natural disaster, public health crisis, or civil infrastructure failure. Strictly bounded: no suspension of Article I rights, 30-day initial period renewable by House approval, all emergency orders published to the NRS within 6 hours. The President has no role in domestic emergencies.</w:t>
      </w:r>
    </w:p>
    <w:p>
      <w:pPr>
        <w:spacing w:after="60" w:before="200"/>
        <w:ind w:left="431"/>
        <w:jc w:val="left"/>
      </w:pPr>
      <w:r>
        <w:rPr>
          <w:rFonts w:ascii="Courier New" w:cs="Courier New" w:eastAsia="Courier New" w:hAnsi="Courier New"/>
          <w:b/>
          <w:bCs/>
          <w:color w:val="1B2A4A"/>
          <w:sz w:val="18"/>
          <w:szCs w:val="18"/>
        </w:rPr>
        <w:t xml:space="preserve">§2.2.f  </w:t>
      </w:r>
      <w:r>
        <w:rPr>
          <w:rFonts w:ascii="Garamond" w:cs="Garamond" w:eastAsia="Garamond" w:hAnsi="Garamond"/>
          <w:b/>
          <w:bCs/>
          <w:i w:val="false"/>
          <w:iCs w:val="false"/>
          <w:color w:val="1B2A4A"/>
          <w:sz w:val="22"/>
          <w:szCs w:val="22"/>
        </w:rPr>
        <w:t xml:space="preserve">PM 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Same procedural structure as Presidential clemency: EI factual report published to NRS before any grant. Self-clemency prohibited under §2.9.b. The PM may not pardon Presidential domain offenses under §2.9.c. Broad amnesty for groups requires legislative action under §2.9.a.</w:t>
      </w:r>
    </w:p>
    <w:p>
      <w:pPr>
        <w:spacing w:after="60" w:before="200"/>
        <w:ind w:left="431"/>
        <w:jc w:val="left"/>
      </w:pPr>
      <w:r>
        <w:rPr>
          <w:rFonts w:ascii="Courier New" w:cs="Courier New" w:eastAsia="Courier New" w:hAnsi="Courier New"/>
          <w:b/>
          <w:bCs/>
          <w:color w:val="1B2A4A"/>
          <w:sz w:val="18"/>
          <w:szCs w:val="18"/>
        </w:rPr>
        <w:t xml:space="preserve">§2.2.g  </w:t>
      </w:r>
      <w:r>
        <w:rPr>
          <w:rFonts w:ascii="Garamond" w:cs="Garamond" w:eastAsia="Garamond" w:hAnsi="Garamond"/>
          <w:b/>
          <w:bCs/>
          <w:i w:val="false"/>
          <w:iCs w:val="false"/>
          <w:color w:val="1B2A4A"/>
          <w:sz w:val="22"/>
          <w:szCs w:val="22"/>
        </w:rPr>
        <w:t xml:space="preserve">PM Information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has a constitutional right to full and timely briefing on all national security matters affecting domestic interests. The President may not withhold information from the PM on grounds of security classification where those matters bear on the PM's domestic responsibilities. The Intelligence Firewall under §1.30.d applies equally to both executives.</w:t>
      </w:r>
    </w:p>
    <w:p>
      <w:pPr>
        <w:spacing w:after="60" w:before="200"/>
        <w:ind w:left="431"/>
        <w:jc w:val="left"/>
      </w:pPr>
      <w:r>
        <w:rPr>
          <w:rFonts w:ascii="Courier New" w:cs="Courier New" w:eastAsia="Courier New" w:hAnsi="Courier New"/>
          <w:b/>
          <w:bCs/>
          <w:color w:val="1B2A4A"/>
          <w:sz w:val="18"/>
          <w:szCs w:val="18"/>
        </w:rPr>
        <w:t xml:space="preserve">§2.2.h  </w:t>
      </w:r>
      <w:r>
        <w:rPr>
          <w:rFonts w:ascii="Garamond" w:cs="Garamond" w:eastAsia="Garamond" w:hAnsi="Garamond"/>
          <w:b/>
          <w:bCs/>
          <w:i w:val="false"/>
          <w:iCs w:val="false"/>
          <w:color w:val="1B2A4A"/>
          <w:sz w:val="22"/>
          <w:szCs w:val="22"/>
        </w:rPr>
        <w:t xml:space="preserve">Caretaker PM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PM is temporarily unable to exercise authority, the most senior confirmed Cabinet Minister by continuous length of service, as certified by the JI, serves as Caretaker PM. The Caretaker PM's authority is limited to maintaining existing policy and emergency functions. Caretaker status expires when a new PM is confirmed by the House or the PM resumes their duties, whichever occurs first.</w:t>
      </w:r>
    </w:p>
    <w:p>
      <w:pPr>
        <w:spacing w:after="60" w:before="200"/>
        <w:ind w:left="431"/>
        <w:jc w:val="left"/>
      </w:pPr>
      <w:r>
        <w:rPr>
          <w:rFonts w:ascii="Courier New" w:cs="Courier New" w:eastAsia="Courier New" w:hAnsi="Courier New"/>
          <w:b/>
          <w:bCs/>
          <w:color w:val="1B2A4A"/>
          <w:sz w:val="18"/>
          <w:szCs w:val="18"/>
        </w:rPr>
        <w:t xml:space="preserve">§2.2.i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Civil servants must refuse and report any order that lacks required PM fund certification, violates any Article I right, or has not been recorded on the National Record System. A civil servant who refuses an unconstitutional order may not be dismissed, demoted, or penalized for that refusal. The EI reports any attempt to penalize a refusing civil servant to the NRS.</w:t>
      </w:r>
    </w:p>
    <w:p>
      <w:pPr>
        <w:spacing w:after="60" w:before="200"/>
        <w:ind w:left="431"/>
        <w:jc w:val="left"/>
      </w:pPr>
      <w:r>
        <w:rPr>
          <w:rFonts w:ascii="Courier New" w:cs="Courier New" w:eastAsia="Courier New" w:hAnsi="Courier New"/>
          <w:b/>
          <w:bCs/>
          <w:color w:val="1B2A4A"/>
          <w:sz w:val="18"/>
          <w:szCs w:val="18"/>
        </w:rPr>
        <w:t xml:space="preserve">§2.2.j  </w:t>
      </w:r>
      <w:r>
        <w:rPr>
          <w:rFonts w:ascii="Garamond" w:cs="Garamond" w:eastAsia="Garamond" w:hAnsi="Garamond"/>
          <w:b/>
          <w:bCs/>
          <w:i w:val="false"/>
          <w:iCs w:val="false"/>
          <w:color w:val="1B2A4A"/>
          <w:sz w:val="22"/>
          <w:szCs w:val="22"/>
        </w:rPr>
        <w:t xml:space="preserve">Civil Service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has constitutional responsibility for the integrity of the civil service. Civil service appointments, promotions, and assignments must be made on the basis of merit and qualification, not political affiliation. Civil servants are protected from retaliation for exercising their duty of refusal under §2.2.i. The Legislature must by statute establish a Civil Service Commission with independent oversight of hiring, promotion, and disciplinary processes within the civil service.</w:t>
      </w:r>
    </w:p>
    <w:p>
      <w:pPr>
        <w:spacing w:after="60" w:before="200"/>
        <w:ind w:left="431"/>
        <w:jc w:val="left"/>
      </w:pPr>
      <w:r>
        <w:rPr>
          <w:rFonts w:ascii="Courier New" w:cs="Courier New" w:eastAsia="Courier New" w:hAnsi="Courier New"/>
          <w:b/>
          <w:bCs/>
          <w:color w:val="1B2A4A"/>
          <w:sz w:val="18"/>
          <w:szCs w:val="18"/>
        </w:rPr>
        <w:t xml:space="preserve">§2.2.k  </w:t>
      </w:r>
      <w:r>
        <w:rPr>
          <w:rFonts w:ascii="Garamond" w:cs="Garamond" w:eastAsia="Garamond" w:hAnsi="Garamond"/>
          <w:b/>
          <w:bCs/>
          <w:i w:val="false"/>
          <w:iCs w:val="false"/>
          <w:color w:val="1B2A4A"/>
          <w:sz w:val="22"/>
          <w:szCs w:val="22"/>
        </w:rPr>
        <w:t xml:space="preserve">Domestic Affairs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administers domestic executive functions through the Domestic Affairs Council — the coordinating body of senior Cabinet Ministers responsible for the delivery of social state obligations under §10.1, oversight of devolved Territories, co-management of National Trust lands, and other domestic functions assigned by statute. The Domestic Affairs Council is chaired by the PM. Its membership, structure, and operational mandate are defined by statute. The Council operates under the PM's constitutional domestic authority and is not an independent constitutional body.</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Prime Minister —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Prime Minister is accountable to the House through the mechanisms of this section. The House's power to remove the PM is matched by its constitutional obligation to maintain a functioning government.</w:t>
      </w:r>
    </w:p>
    <w:p>
      <w:pPr>
        <w:spacing w:after="60" w:before="200"/>
        <w:ind w:left="431"/>
        <w:jc w:val="left"/>
      </w:pPr>
      <w:r>
        <w:rPr>
          <w:rFonts w:ascii="Courier New" w:cs="Courier New" w:eastAsia="Courier New" w:hAnsi="Courier New"/>
          <w:b/>
          <w:bCs/>
          <w:color w:val="1B2A4A"/>
          <w:sz w:val="18"/>
          <w:szCs w:val="18"/>
        </w:rPr>
        <w:t xml:space="preserve">§2.3.a  </w:t>
      </w:r>
      <w:r>
        <w:rPr>
          <w:rFonts w:ascii="Garamond" w:cs="Garamond" w:eastAsia="Garamond" w:hAnsi="Garamond"/>
          <w:b/>
          <w:bCs/>
          <w:i w:val="false"/>
          <w:iCs w:val="false"/>
          <w:color w:val="1B2A4A"/>
          <w:sz w:val="22"/>
          <w:szCs w:val="22"/>
        </w:rPr>
        <w:t xml:space="preserve">Constructive Vote of No Confidence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cannot simply vote 'no confidence' and leave a vacuum; it must simultaneously elect a replacement by absolute majority of full seated House membership. Both the removal and successor election occur in the same vote.</w:t>
      </w:r>
    </w:p>
    <w:p>
      <w:pPr>
        <w:spacing w:after="60" w:before="200"/>
        <w:ind w:left="431"/>
        <w:jc w:val="left"/>
      </w:pPr>
      <w:r>
        <w:rPr>
          <w:rFonts w:ascii="Courier New" w:cs="Courier New" w:eastAsia="Courier New" w:hAnsi="Courier New"/>
          <w:b/>
          <w:bCs/>
          <w:color w:val="1B2A4A"/>
          <w:sz w:val="18"/>
          <w:szCs w:val="18"/>
        </w:rPr>
        <w:t xml:space="preserve">§2.3.b  </w:t>
      </w:r>
      <w:r>
        <w:rPr>
          <w:rFonts w:ascii="Garamond" w:cs="Garamond" w:eastAsia="Garamond" w:hAnsi="Garamond"/>
          <w:b/>
          <w:bCs/>
          <w:i w:val="false"/>
          <w:iCs w:val="false"/>
          <w:color w:val="1B2A4A"/>
          <w:sz w:val="22"/>
          <w:szCs w:val="22"/>
        </w:rPr>
        <w:t xml:space="preserve">PM Maximum Consecutive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8-year maximum — no PM may serve more than 8 consecutive years. After 8 years, the PM must stand down even if the House would re-elect them. The 8-year maximum and the constructive vote operate independently — a PM reaching 8 years is replaced through a House election of a successor.</w:t>
      </w:r>
    </w:p>
    <w:p>
      <w:pPr>
        <w:spacing w:after="60" w:before="200"/>
        <w:ind w:left="431"/>
        <w:jc w:val="left"/>
      </w:pPr>
      <w:r>
        <w:rPr>
          <w:rFonts w:ascii="Courier New" w:cs="Courier New" w:eastAsia="Courier New" w:hAnsi="Courier New"/>
          <w:b/>
          <w:bCs/>
          <w:color w:val="1B2A4A"/>
          <w:sz w:val="18"/>
          <w:szCs w:val="18"/>
        </w:rPr>
        <w:t xml:space="preserve">§2.3.c  </w:t>
      </w:r>
      <w:r>
        <w:rPr>
          <w:rFonts w:ascii="Garamond" w:cs="Garamond" w:eastAsia="Garamond" w:hAnsi="Garamond"/>
          <w:b/>
          <w:bCs/>
          <w:i w:val="false"/>
          <w:iCs w:val="false"/>
          <w:color w:val="1B2A4A"/>
          <w:sz w:val="22"/>
          <w:szCs w:val="22"/>
        </w:rPr>
        <w:t xml:space="preserve">PM Formation and Senate Designation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elects the PM by absolute majority of full seated membership within 30 days of any general election. The House may attempt to elect a PM at any time. If the House has not elected a PM within 30 days, the most senior confirmed Cabinet Minister by continuous length of service continues as Caretaker PM under §2.2.h. Where the House has not elected a PM within 30 days, the Senate may, by 2/3 supermajority of full seated membership, designate a serving House member as PM. A PM designated under this provision holds full constitutional PM authority and is subject to the same obligations, term limits, and removal procedures as a PM elected by the House, including constructive no-confidence under §2.3.a and the 8-year maximum under §2.3.b. If the House subsequently elects a PM by absolute majority, that election terminates the Senate designation. Where the House has not elected a PM within 30 days, the Legislative Inspectorate publishes a weekly report to the NRS naming each member's participation record — votes taken, candidates proposed, and each member's individual participation — forming the permanent constitutional accountability record for that term.</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Prime Minister —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two instruments for engaging the Legislature on enacted bills: the Suspensive Veto and the Fiscal Objection.</w:t>
      </w:r>
    </w:p>
    <w:p>
      <w:pPr>
        <w:spacing w:after="60" w:before="200"/>
        <w:ind w:left="431"/>
        <w:jc w:val="left"/>
      </w:pPr>
      <w:r>
        <w:rPr>
          <w:rFonts w:ascii="Courier New" w:cs="Courier New" w:eastAsia="Courier New" w:hAnsi="Courier New"/>
          <w:b/>
          <w:bCs/>
          <w:color w:val="1B2A4A"/>
          <w:sz w:val="18"/>
          <w:szCs w:val="18"/>
        </w:rPr>
        <w:t xml:space="preserve">§2.4.a  </w:t>
      </w:r>
      <w:r>
        <w:rPr>
          <w:rFonts w:ascii="Garamond" w:cs="Garamond" w:eastAsia="Garamond" w:hAnsi="Garamond"/>
          <w:b/>
          <w:bCs/>
          <w:i w:val="false"/>
          <w:iCs w:val="false"/>
          <w:color w:val="1B2A4A"/>
          <w:sz w:val="22"/>
          <w:szCs w:val="22"/>
        </w:rPr>
        <w:t xml:space="preserve">Suspensive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return any bill to the Legislature with a written Statement of Objection specifying the constitutional, fiscal, or operational grounds. The statement is recorded permanently on the NRS. The Legislature may override by 2/3 of both chambers simultaneously. The suspensive veto may not be used on: the annual budget; any bill the Legislature has certified as directly implementing a constitutional obligation; or any bill passed under the §2.8 Emergency Governance Protocol. If the Legislature does not hold an override vote within 90 days of the bill being returned, the bill lapses. The PM may apply the suspensive veto to any single bill only once.</w:t>
      </w:r>
    </w:p>
    <w:p>
      <w:pPr>
        <w:spacing w:after="60" w:before="200"/>
        <w:ind w:left="431"/>
        <w:jc w:val="left"/>
      </w:pPr>
      <w:r>
        <w:rPr>
          <w:rFonts w:ascii="Courier New" w:cs="Courier New" w:eastAsia="Courier New" w:hAnsi="Courier New"/>
          <w:b/>
          <w:bCs/>
          <w:color w:val="1B2A4A"/>
          <w:sz w:val="18"/>
          <w:szCs w:val="18"/>
        </w:rPr>
        <w:t xml:space="preserve">§2.4.b  </w:t>
      </w:r>
      <w:r>
        <w:rPr>
          <w:rFonts w:ascii="Garamond" w:cs="Garamond" w:eastAsia="Garamond" w:hAnsi="Garamond"/>
          <w:b/>
          <w:bCs/>
          <w:i w:val="false"/>
          <w:iCs w:val="false"/>
          <w:color w:val="1B2A4A"/>
          <w:sz w:val="22"/>
          <w:szCs w:val="22"/>
        </w:rPr>
        <w:t xml:space="preserve">Fiscal Objection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narrower tool than the Suspensive Veto. The PM may object to legislation on specific solvency grounds: the bill, if enacted, would cause or materially worsen a structural deficit beyond constitutional thresholds. Requires MA assessment within 21 days. House may override by simple majority after receiving the assessment.</w:t>
      </w:r>
    </w:p>
    <w:p>
      <w:pPr>
        <w:spacing w:after="60" w:before="200"/>
        <w:ind w:left="431"/>
        <w:jc w:val="left"/>
      </w:pPr>
      <w:r>
        <w:rPr>
          <w:rFonts w:ascii="Courier New" w:cs="Courier New" w:eastAsia="Courier New" w:hAnsi="Courier New"/>
          <w:b/>
          <w:bCs/>
          <w:color w:val="1B2A4A"/>
          <w:sz w:val="18"/>
          <w:szCs w:val="18"/>
        </w:rPr>
        <w:t xml:space="preserve">§2.4.c  </w:t>
      </w:r>
      <w:r>
        <w:rPr>
          <w:rFonts w:ascii="Garamond" w:cs="Garamond" w:eastAsia="Garamond" w:hAnsi="Garamond"/>
          <w:b/>
          <w:bCs/>
          <w:i w:val="false"/>
          <w:iCs w:val="false"/>
          <w:color w:val="1B2A4A"/>
          <w:sz w:val="22"/>
          <w:szCs w:val="22"/>
        </w:rPr>
        <w:t xml:space="preserve">Deemed Enactment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PM neither signs nor objects within the Legislative Review Period, the bill is automatically enacted. Silence is not a veto.</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Legislative Review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hold a concurrent review period following final passage of any bill.</w:t>
      </w:r>
    </w:p>
    <w:p>
      <w:pPr>
        <w:spacing w:after="60" w:before="200"/>
        <w:ind w:left="431"/>
        <w:jc w:val="left"/>
      </w:pPr>
      <w:r>
        <w:rPr>
          <w:rFonts w:ascii="Courier New" w:cs="Courier New" w:eastAsia="Courier New" w:hAnsi="Courier New"/>
          <w:b/>
          <w:bCs/>
          <w:color w:val="1B2A4A"/>
          <w:sz w:val="18"/>
          <w:szCs w:val="18"/>
        </w:rPr>
        <w:t xml:space="preserve">§2.5.a  </w:t>
      </w:r>
      <w:r>
        <w:rPr>
          <w:rFonts w:ascii="Garamond" w:cs="Garamond" w:eastAsia="Garamond" w:hAnsi="Garamond"/>
          <w:b/>
          <w:bCs/>
          <w:i w:val="false"/>
          <w:iCs w:val="false"/>
          <w:color w:val="1B2A4A"/>
          <w:sz w:val="22"/>
          <w:szCs w:val="22"/>
        </w:rPr>
        <w:t xml:space="preserve">Legislative Review Period — Duration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presidential veto period may not exceed 20 days; the PM objection period may not exceed 45 days. The periods run concurrently from the date of final passage in both chambers. If neither executive acts within their respective period, the bill is deemed enacted. The President and PM may jointly agree to shorten a review period but may not extend it beyond the statutory maximum. Where both executives act on the same bill, the instruments operate in parallel. A legislative override of a Presidential veto restores the bill; any pending PM objection period continues from where it stands. Resolution of one executive's instrument does not moot the other's.</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Presidential Succession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President's succession and acting authority framework is established in §2.6.a through §2.6.c.</w:t>
      </w:r>
    </w:p>
    <w:p>
      <w:pPr>
        <w:spacing w:after="60" w:before="200"/>
        <w:ind w:left="431"/>
        <w:jc w:val="left"/>
      </w:pPr>
      <w:r>
        <w:rPr>
          <w:rFonts w:ascii="Courier New" w:cs="Courier New" w:eastAsia="Courier New" w:hAnsi="Courier New"/>
          <w:b/>
          <w:bCs/>
          <w:color w:val="1B2A4A"/>
          <w:sz w:val="18"/>
          <w:szCs w:val="18"/>
        </w:rPr>
        <w:t xml:space="preserve">§2.6.a  </w:t>
      </w:r>
      <w:r>
        <w:rPr>
          <w:rFonts w:ascii="Garamond" w:cs="Garamond" w:eastAsia="Garamond" w:hAnsi="Garamond"/>
          <w:b/>
          <w:bCs/>
          <w:i w:val="false"/>
          <w:iCs w:val="false"/>
          <w:color w:val="1B2A4A"/>
          <w:sz w:val="22"/>
          <w:szCs w:val="22"/>
        </w:rPr>
        <w:t xml:space="preserve">Presidential Succession Line</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Presidential death, resignation, removal, or certified permanent incapacity under §2.6.b. Authority transfers in order: (1) the Senate Speaker; (2) the Senate Deputy Speaker; (3) the most senior member of the Senate Armed Services Committee by years of Senate service. Where the Senate Speaker assumes the presidency — a permanent succession event — their Senate seat is immediately vacated and the Deputy Speaker assumes the Speaker role. A special presidential election must be held within 90 days of the vacancy. This seat vacation applies only to §2.6.a permanent succession; it does not apply to Temporary Acting Presidential Authority under §2.6.b.</w:t>
      </w:r>
    </w:p>
    <w:p>
      <w:pPr>
        <w:spacing w:after="60" w:before="200"/>
        <w:ind w:left="431"/>
        <w:jc w:val="left"/>
      </w:pPr>
      <w:r>
        <w:rPr>
          <w:rFonts w:ascii="Courier New" w:cs="Courier New" w:eastAsia="Courier New" w:hAnsi="Courier New"/>
          <w:b/>
          <w:bCs/>
          <w:color w:val="1B2A4A"/>
          <w:sz w:val="18"/>
          <w:szCs w:val="18"/>
        </w:rPr>
        <w:t xml:space="preserve">§2.6.b  </w:t>
      </w:r>
      <w:r>
        <w:rPr>
          <w:rFonts w:ascii="Garamond" w:cs="Garamond" w:eastAsia="Garamond" w:hAnsi="Garamond"/>
          <w:b/>
          <w:bCs/>
          <w:i w:val="false"/>
          <w:iCs w:val="false"/>
          <w:color w:val="1B2A4A"/>
          <w:sz w:val="22"/>
          <w:szCs w:val="22"/>
        </w:rPr>
        <w:t xml:space="preserve">Temporary Acting Presidential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Temporary Acting Presidential Authority activates through one of two mechanisms. (a) Voluntary transfer: the President publishes a declaration of temporary transfer to the NRS specifying the reason and expected duration; Acting Presidential Authority activates at the moment of NRS publication. (b) Involuntary certification: where the President is suddenly incapacitated and cannot make a voluntary declaration, the Executive Inspectorate and Legislative Inspectorate jointly assess the President's capacity to perform presidential functions. If both Inspectorates reach the same conclusion, they publish a joint assessment to the NRS within 6 hours. The Prime Minister must affirm or formally decline the joint assessment within 3 hours of its NRS publication. If the PM affirms, the Senate Speaker activates Acting Presidential Authority immediately upon NRS publication of the PM's affirmation. If the PM formally declines or fails to respond within 3 hours, either Inspectorate may refer the matter to the most senior available Supreme Court justice. If the justice agrees with the joint Inspectorate assessment, the Senate Speaker acts as Acting President on a provisional basis until an emergency Supreme Court panel delivers a definitive ruling, or the President resumes presidential duties, whichever occurs first. If the justice does not agree, no provisional activation occurs; the matter proceeds to the court panel with the President remaining in office. If the EI and LI reach different conclusions in their assessments, no certification is possible and there is no further recourse under this provision; the President remains in office. A PM who formally declines a joint Inspectorate incapacity assessment without stating constitutional grounds is in constitutional compliance failure; the EI publishes a finding of that failure to the NRS. During any period of Temporary Acting Presidential Authority: (1) the Senate Speaker exercises all constitutional powers of the presidential office, including Tier 1 through Tier 3 military authority, treaty functions, and intelligence oversight; (2) the Senate Speaker retains their Senate seat, which is not vacated; (3) the Deputy Speaker assumes the Senate's presiding functions and the Speaker's position in the presidential succession line for the duration; (4) no special presidential election is triggered; (5) the acting period does not constitute a succession event under §2.6.a and does not expend or initiate any presidential term. Temporary Acting Presidential Authority ends upon: (i) the President publishing a restoration declaration to the NRS, at which point the President immediately resumes full authority; or (ii) the EI and LI jointly certifying and publishing to the NRS that the incapacity has ended, with PM affirmation within 3 hours, at which point the President immediately resumes full authority. Where Temporary Acting Presidential Authority extends beyond 90 consecutive days without restoration, the EI and LI must jointly assess whether the incapacity has become permanent and publish their assessment to the NRS within 7 days of the 90-day mark, with PM affirmation required within 3 hours. The PM refusal mechanism applies identically to this reassessment. If permanent incapacity is certified, §2.6.a succession activates immediately — Acting Presidential Authority converts to full succession, the Speaker's Senate seat is vacated, and the Deputy Speaker assumes the Speaker role permanently. If continued temporary incapacity is certified, Acting Presidential Authority continues and the assessment repeats every 30 days until restoration or permanent certification.</w:t>
      </w:r>
    </w:p>
    <w:p>
      <w:pPr>
        <w:spacing w:after="60" w:before="200"/>
        <w:ind w:left="431"/>
        <w:jc w:val="left"/>
      </w:pPr>
      <w:r>
        <w:rPr>
          <w:rFonts w:ascii="Courier New" w:cs="Courier New" w:eastAsia="Courier New" w:hAnsi="Courier New"/>
          <w:b/>
          <w:bCs/>
          <w:color w:val="1B2A4A"/>
          <w:sz w:val="18"/>
          <w:szCs w:val="18"/>
        </w:rPr>
        <w:t xml:space="preserve">§2.6.c  </w:t>
      </w:r>
      <w:r>
        <w:rPr>
          <w:rFonts w:ascii="Garamond" w:cs="Garamond" w:eastAsia="Garamond" w:hAnsi="Garamond"/>
          <w:b/>
          <w:bCs/>
          <w:i w:val="false"/>
          <w:iCs w:val="false"/>
          <w:color w:val="1B2A4A"/>
          <w:sz w:val="22"/>
          <w:szCs w:val="22"/>
        </w:rPr>
        <w:t xml:space="preserve">Succession-Based Presidential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A person who assumes the presidency by succession under §2.6.a does not thereby expend their single non-renewable term. They must stand for election at the next regular National Election Day presidential cycle, or at a special presidential election called by the Legislature within 90 days of succession, to continue serving beyond the succession period. If elected, that term constitutes their single non-renewable term. If not elected, the next person in the succession line assumes the office or a new election is called.</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Executive Transparency and NRS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 to the NRS within 48 hours of issuance. No executive may classify, delay, or suppress publication of an act this constitution requires to be published. Failure to publish within 48 hours is a constitutional compliance breach; a late-published act is not void.</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Emergency Governance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Caretaker PM period extends beyond 90 days without a seated House — accounting for a 60-day election period and a 30-day seating grace period — the Senate automatically assumes joint emergency legislative authority by simple majority for three functions only: election administration, Basic Needs funding continuity, and active national security obligations. All Senate emergency actions under this provision require co-signature of the Caretaker PM and are published to the NRS. This authority expires automatically the moment a new House is seated.</w:t>
      </w:r>
    </w:p>
    <w:p>
      <w:pPr>
        <w:spacing w:after="60" w:before="200"/>
        <w:ind w:left="431"/>
        <w:jc w:val="left"/>
      </w:pPr>
      <w:r>
        <w:rPr>
          <w:rFonts w:ascii="Courier New" w:cs="Courier New" w:eastAsia="Courier New" w:hAnsi="Courier New"/>
          <w:b/>
          <w:bCs/>
          <w:color w:val="1B2A4A"/>
          <w:sz w:val="18"/>
          <w:szCs w:val="18"/>
        </w:rPr>
        <w:t xml:space="preserve">§2.8.a  </w:t>
      </w:r>
      <w:r>
        <w:rPr>
          <w:rFonts w:ascii="Garamond" w:cs="Garamond" w:eastAsia="Garamond" w:hAnsi="Garamond"/>
          <w:b/>
          <w:bCs/>
          <w:i w:val="false"/>
          <w:iCs w:val="false"/>
          <w:color w:val="1B2A4A"/>
          <w:sz w:val="22"/>
          <w:szCs w:val="22"/>
        </w:rPr>
        <w:t xml:space="preserve">Expedited Activation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Legislature has been physically unable to convene due to an attack on the seat of government or other catastrophic external event, the 90-day waiting period of §2.8 is waived. Expedited activation requires joint certification by the Caretaker PM and the most senior available Supreme Court justice, published to the NRS, stating that the Legislature cannot convene due to catastrophic external circumstances. Upon such certification, the Senate may immediately assume the three emergency functions of §2.8 by majority of surviving members. Expedited activation expires automatically upon the House maintaining quorum and electing a Speaker.</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Clemency and Amnesty</w:t>
      </w:r>
    </w:p>
    <w:p>
      <w:pPr>
        <w:spacing w:after="120" w:before="0"/>
        <w:ind w:left="431"/>
        <w:jc w:val="both"/>
      </w:pPr>
      <w:r>
        <w:rPr>
          <w:rFonts w:ascii="Garamond" w:cs="Garamond" w:eastAsia="Garamond" w:hAnsi="Garamond"/>
          <w:b w:val="false"/>
          <w:bCs w:val="false"/>
          <w:i w:val="false"/>
          <w:iCs w:val="false"/>
          <w:color w:val="2a2520"/>
          <w:sz w:val="22"/>
          <w:szCs w:val="22"/>
        </w:rPr>
        <w:t xml:space="preserve">Clemency may only be granted within each executive's domain, with full transparency, and subject to cross-chamber review. Presidential clemency is subject to cross-chamber review under §2.9.c. Self-clemency is absolutely prohibited for all constitutional officers.</w:t>
      </w:r>
    </w:p>
    <w:p>
      <w:pPr>
        <w:spacing w:after="60" w:before="200"/>
        <w:ind w:left="431"/>
        <w:jc w:val="left"/>
      </w:pPr>
      <w:r>
        <w:rPr>
          <w:rFonts w:ascii="Courier New" w:cs="Courier New" w:eastAsia="Courier New" w:hAnsi="Courier New"/>
          <w:b/>
          <w:bCs/>
          <w:color w:val="1B2A4A"/>
          <w:sz w:val="18"/>
          <w:szCs w:val="18"/>
        </w:rPr>
        <w:t xml:space="preserve">§2.9.a  </w:t>
      </w:r>
      <w:r>
        <w:rPr>
          <w:rFonts w:ascii="Garamond" w:cs="Garamond" w:eastAsia="Garamond" w:hAnsi="Garamond"/>
          <w:b/>
          <w:bCs/>
          <w:i w:val="false"/>
          <w:iCs w:val="false"/>
          <w:color w:val="1B2A4A"/>
          <w:sz w:val="22"/>
          <w:szCs w:val="22"/>
        </w:rPr>
        <w:t xml:space="preserve">Legislative Amnesty</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Legislature may grant group amnesty, by simple majority of both chambers. No executive may grant group amnesty. Cannot extend to constitutional violations, official misconduct offenses, or crimes against the fundamental rights of §1.3 and §1.4. Subject to judicial review within 60 days of enactment.</w:t>
      </w:r>
    </w:p>
    <w:p>
      <w:pPr>
        <w:spacing w:after="60" w:before="200"/>
        <w:ind w:left="431"/>
        <w:jc w:val="left"/>
      </w:pPr>
      <w:r>
        <w:rPr>
          <w:rFonts w:ascii="Courier New" w:cs="Courier New" w:eastAsia="Courier New" w:hAnsi="Courier New"/>
          <w:b/>
          <w:bCs/>
          <w:color w:val="1B2A4A"/>
          <w:sz w:val="18"/>
          <w:szCs w:val="18"/>
        </w:rPr>
        <w:t xml:space="preserve">§2.9.b  </w:t>
      </w:r>
      <w:r>
        <w:rPr>
          <w:rFonts w:ascii="Garamond" w:cs="Garamond" w:eastAsia="Garamond" w:hAnsi="Garamond"/>
          <w:b/>
          <w:bCs/>
          <w:i w:val="false"/>
          <w:iCs w:val="false"/>
          <w:color w:val="1B2A4A"/>
          <w:sz w:val="22"/>
          <w:szCs w:val="22"/>
        </w:rPr>
        <w:t xml:space="preserve">Self-Clemency Absolute Prohibition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Self-clemency is absolutely prohibited. No elected or appointed official may grant clemency to themselves or to any person whose conviction, if enforced, would directly benefit the official financially, politically, or personally. An attempted self-clemency act is constitutionally void and itself a constitutional violation.</w:t>
      </w:r>
    </w:p>
    <w:p>
      <w:pPr>
        <w:spacing w:after="60" w:before="200"/>
        <w:ind w:left="431"/>
        <w:jc w:val="left"/>
      </w:pPr>
      <w:r>
        <w:rPr>
          <w:rFonts w:ascii="Courier New" w:cs="Courier New" w:eastAsia="Courier New" w:hAnsi="Courier New"/>
          <w:b/>
          <w:bCs/>
          <w:color w:val="1B2A4A"/>
          <w:sz w:val="18"/>
          <w:szCs w:val="18"/>
        </w:rPr>
        <w:t xml:space="preserve">§2.9.c  </w:t>
      </w:r>
      <w:r>
        <w:rPr>
          <w:rFonts w:ascii="Garamond" w:cs="Garamond" w:eastAsia="Garamond" w:hAnsi="Garamond"/>
          <w:b/>
          <w:bCs/>
          <w:i w:val="false"/>
          <w:iCs w:val="false"/>
          <w:color w:val="1B2A4A"/>
          <w:sz w:val="22"/>
          <w:szCs w:val="22"/>
        </w:rPr>
        <w:t xml:space="preserve">Cross-Chamber Clemency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clemency grant — whether by the President under §2.1.g or by the PM under §2.2.f — is subject to cross-chamber legislative review. The Senate reviews PM clemency grants. The House reviews Presidential clemency grants. Within 7 days of any grant, the granting executive files a written explanatory report with the Executive Inspectorate stating: the identity of the recipient, the nature of the offense pardoned, the grounds for the grant, and any relevant circumstances the executive considered. The EI reviews the report for factual accuracy and completeness within 14 days and publishes its findings to the NRS. The reviewing chamber then has 45 days from the date of EI publication to vote to disapprove the grant by simple majority of those present and voting. If no disapproval vote is held within the 45-day period, the grant is deemed approved and takes full effect. If the reviewing chamber votes to disapprove, the grant is void and the original sentence or legal status is reinstated. Where a grant is voided by disapproval, the executive may not resubmit clemency for the same recipient for one year from the date of the disapproval vote. The EI pre-grant factual background report required under §2.1.g and §2.2.f is distinct from the executive's post-grant explanatory report required by this provision — both are published to the NRS and together form the complete clemency record for any grant. The reviewing chamber's 45-day period begins from the date of EI publication. Neither executive may grant clemency for offenses committed within the other executive's domain; any such grant is void without requiring a disapproval vote.</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Presidential Removal — Two Political Tracks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be removed on two independent tracks. The legislative track requires 2/3 of both chambers simultaneously following Inspectorate-certified findings. The popular track requires a Senate majority referral to a national recall referendum under §2.10.b.</w:t>
      </w:r>
    </w:p>
    <w:p>
      <w:pPr>
        <w:spacing w:after="60" w:before="200"/>
        <w:ind w:left="431"/>
        <w:jc w:val="left"/>
      </w:pPr>
      <w:r>
        <w:rPr>
          <w:rFonts w:ascii="Courier New" w:cs="Courier New" w:eastAsia="Courier New" w:hAnsi="Courier New"/>
          <w:b/>
          <w:bCs/>
          <w:color w:val="1B2A4A"/>
          <w:sz w:val="18"/>
          <w:szCs w:val="18"/>
        </w:rPr>
        <w:t xml:space="preserve">§2.10.a  </w:t>
      </w:r>
      <w:r>
        <w:rPr>
          <w:rFonts w:ascii="Garamond" w:cs="Garamond" w:eastAsia="Garamond" w:hAnsi="Garamond"/>
          <w:b/>
          <w:bCs/>
          <w:i w:val="false"/>
          <w:iCs w:val="false"/>
          <w:color w:val="1B2A4A"/>
          <w:sz w:val="22"/>
          <w:szCs w:val="22"/>
        </w:rPr>
        <w:t xml:space="preserve">Legislative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removal grounds: verified constitutional breach, demonstrated permanent incapacity, or conviction for a disqualifying criminal offense. The LI and EI must jointly certify the grounds before a removal vote can proceed.</w:t>
      </w:r>
    </w:p>
    <w:p>
      <w:pPr>
        <w:spacing w:after="60" w:before="200"/>
        <w:ind w:left="431"/>
        <w:jc w:val="left"/>
      </w:pPr>
      <w:r>
        <w:rPr>
          <w:rFonts w:ascii="Courier New" w:cs="Courier New" w:eastAsia="Courier New" w:hAnsi="Courier New"/>
          <w:b/>
          <w:bCs/>
          <w:color w:val="1B2A4A"/>
          <w:sz w:val="18"/>
          <w:szCs w:val="18"/>
        </w:rPr>
        <w:t xml:space="preserve">§2.10.b  </w:t>
      </w:r>
      <w:r>
        <w:rPr>
          <w:rFonts w:ascii="Garamond" w:cs="Garamond" w:eastAsia="Garamond" w:hAnsi="Garamond"/>
          <w:b/>
          <w:bCs/>
          <w:i w:val="false"/>
          <w:iCs w:val="false"/>
          <w:color w:val="1B2A4A"/>
          <w:sz w:val="22"/>
          <w:szCs w:val="22"/>
        </w:rPr>
        <w:t xml:space="preserve">Senate Referral to Popular Recall</w:t>
      </w:r>
    </w:p>
    <w:p>
      <w:pPr>
        <w:spacing w:after="120" w:before="0"/>
        <w:ind w:left="431"/>
        <w:jc w:val="both"/>
      </w:pPr>
      <w:r>
        <w:rPr>
          <w:rFonts w:ascii="Garamond" w:cs="Garamond" w:eastAsia="Garamond" w:hAnsi="Garamond"/>
          <w:b w:val="false"/>
          <w:bCs w:val="false"/>
          <w:i w:val="false"/>
          <w:iCs w:val="false"/>
          <w:color w:val="2a2520"/>
          <w:sz w:val="22"/>
          <w:szCs w:val="22"/>
        </w:rPr>
        <w:t xml:space="preserve">A simple majority of the full Senate membership may refer the question of presidential removal to a national recall referendum. The EC administers the referendum within 90 days of the Senate vote. The President is removed if 60% of votes cast are affirmative with at least 55% citizen participation. A failed referendum cannot be re-initiated within the same presidential term. The Senate Speaker assumes Acting Presidential Authority under §2.6.b from the date the Senate votes to refer until the referendum result is certified — the Speaker's Senate seat is not vacated during this period. If the referendum fails, the President resumes full authority immediately upon certification. If the referendum succeeds, §2.6.a permanent succession activates at the moment of result certification.</w:t>
      </w:r>
    </w:p>
    <w:p>
      <w:pPr>
        <w:spacing w:after="60" w:before="200"/>
        <w:ind w:left="431"/>
        <w:jc w:val="left"/>
      </w:pPr>
      <w:r>
        <w:rPr>
          <w:rFonts w:ascii="Courier New" w:cs="Courier New" w:eastAsia="Courier New" w:hAnsi="Courier New"/>
          <w:b/>
          <w:bCs/>
          <w:color w:val="1B2A4A"/>
          <w:sz w:val="18"/>
          <w:szCs w:val="18"/>
        </w:rPr>
        <w:t xml:space="preserve">§2.10.c  </w:t>
      </w:r>
      <w:r>
        <w:rPr>
          <w:rFonts w:ascii="Garamond" w:cs="Garamond" w:eastAsia="Garamond" w:hAnsi="Garamond"/>
          <w:b/>
          <w:bCs/>
          <w:i w:val="false"/>
          <w:iCs w:val="false"/>
          <w:color w:val="1B2A4A"/>
          <w:sz w:val="22"/>
          <w:szCs w:val="22"/>
        </w:rPr>
        <w:t xml:space="preserve">One Referral Per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No second Senate referral to popular recall within the same presidential term. One-shot rule prevents a hostile Senate from using repeated recall elections as attrition. After a failed recall, the President serves out their term with the NRS record intact.</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House of Representatives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of Representatives is the proportional chamber of the Legislature — directly elected by citizens on the basis of population. All legislation originates in the House and the PM is elected and accountable to it. Both States and Territories send voting members to the House. Territorial members hold full voting rights on all House business, including legislation, confidence motions, and committee assignments. There are no second-class members of the House.</w:t>
      </w:r>
    </w:p>
    <w:p>
      <w:pPr>
        <w:spacing w:after="60" w:before="200"/>
        <w:ind w:left="431"/>
        <w:jc w:val="left"/>
      </w:pPr>
      <w:r>
        <w:rPr>
          <w:rFonts w:ascii="Courier New" w:cs="Courier New" w:eastAsia="Courier New" w:hAnsi="Courier New"/>
          <w:b/>
          <w:bCs/>
          <w:color w:val="1B2A4A"/>
          <w:sz w:val="18"/>
          <w:szCs w:val="18"/>
        </w:rPr>
        <w:t xml:space="preserve">§3.1.a  </w:t>
      </w:r>
      <w:r>
        <w:rPr>
          <w:rFonts w:ascii="Garamond" w:cs="Garamond" w:eastAsia="Garamond" w:hAnsi="Garamond"/>
          <w:b/>
          <w:bCs/>
          <w:i w:val="false"/>
          <w:iCs w:val="false"/>
          <w:color w:val="1B2A4A"/>
          <w:sz w:val="22"/>
          <w:szCs w:val="22"/>
        </w:rPr>
        <w:t xml:space="preserve">House Seat Allocation — Webster Method</w:t>
      </w:r>
    </w:p>
    <w:p>
      <w:pPr>
        <w:spacing w:after="120" w:before="0"/>
        <w:ind w:left="431"/>
        <w:jc w:val="both"/>
      </w:pPr>
      <w:r>
        <w:rPr>
          <w:rFonts w:ascii="Garamond" w:cs="Garamond" w:eastAsia="Garamond" w:hAnsi="Garamond"/>
          <w:b w:val="false"/>
          <w:bCs w:val="false"/>
          <w:i w:val="false"/>
          <w:iCs w:val="false"/>
          <w:color w:val="2a2520"/>
          <w:sz w:val="22"/>
          <w:szCs w:val="22"/>
        </w:rPr>
        <w:t xml:space="preserve">House seats are allocated by the Webster method: each State and Territory receives the number of seats nearest to its population divided by the Republic's standard constituency divisor, with a minimum of one seat per State or Territory regardless of population. The constituency divisor is set at 750,000 citizens per seat and may be adjusted by the Legislature by statute, provided no adjustment reduces any State or Territory below its one-seat minimum and no adjustment takes effect until the census following its enactment. The LI administers the allocation following each census and publishes the certified seat counts to the NRS within 30 days of census completion. No adjustment to the constituency divisor may be made in the 12 months preceding or during a census year.</w:t>
      </w:r>
    </w:p>
    <w:p>
      <w:pPr>
        <w:spacing w:after="60" w:before="200"/>
        <w:ind w:left="431"/>
        <w:jc w:val="left"/>
      </w:pPr>
      <w:r>
        <w:rPr>
          <w:rFonts w:ascii="Courier New" w:cs="Courier New" w:eastAsia="Courier New" w:hAnsi="Courier New"/>
          <w:b/>
          <w:bCs/>
          <w:color w:val="1B2A4A"/>
          <w:sz w:val="18"/>
          <w:szCs w:val="18"/>
        </w:rPr>
        <w:t xml:space="preserve">§3.1.b  </w:t>
      </w:r>
      <w:r>
        <w:rPr>
          <w:rFonts w:ascii="Garamond" w:cs="Garamond" w:eastAsia="Garamond" w:hAnsi="Garamond"/>
          <w:b/>
          <w:bCs/>
          <w:i w:val="false"/>
          <w:iCs w:val="false"/>
          <w:color w:val="1B2A4A"/>
          <w:sz w:val="22"/>
          <w:szCs w:val="22"/>
        </w:rPr>
        <w:t xml:space="preserve">Census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population census is conducted by the Legislative Inspectorate every ten years and whenever the Legislature requires reapportionment. Census methodology is published to the NRS before each census. Results are published to the NRS within 90 days of completion and used as the basis for House seat allocation.</w:t>
      </w:r>
    </w:p>
    <w:p>
      <w:pPr>
        <w:spacing w:after="60" w:before="200"/>
        <w:ind w:left="431"/>
        <w:jc w:val="left"/>
      </w:pPr>
      <w:r>
        <w:rPr>
          <w:rFonts w:ascii="Courier New" w:cs="Courier New" w:eastAsia="Courier New" w:hAnsi="Courier New"/>
          <w:b/>
          <w:bCs/>
          <w:color w:val="1B2A4A"/>
          <w:sz w:val="18"/>
          <w:szCs w:val="18"/>
        </w:rPr>
        <w:t xml:space="preserve">§3.1.c  </w:t>
      </w:r>
      <w:r>
        <w:rPr>
          <w:rFonts w:ascii="Garamond" w:cs="Garamond" w:eastAsia="Garamond" w:hAnsi="Garamond"/>
          <w:b/>
          <w:bCs/>
          <w:i w:val="false"/>
          <w:iCs w:val="false"/>
          <w:color w:val="1B2A4A"/>
          <w:sz w:val="22"/>
          <w:szCs w:val="22"/>
        </w:rPr>
        <w:t xml:space="preserve">Single-Subject Rule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Self-executing: a court finding that a bill addresses multiple unrelated subjects voids the entire act. The LI publishes a germaneness analysis for any amended bill returned to the House. No riders, no logrolling through combined legislation. The rule applies to the final text — a bill that begins as single-subject but picks up unrelated amendments in the Senate can still be voided.</w:t>
      </w:r>
    </w:p>
    <w:p>
      <w:pPr>
        <w:spacing w:after="60" w:before="200"/>
        <w:ind w:left="431"/>
        <w:jc w:val="left"/>
      </w:pPr>
      <w:r>
        <w:rPr>
          <w:rFonts w:ascii="Courier New" w:cs="Courier New" w:eastAsia="Courier New" w:hAnsi="Courier New"/>
          <w:b/>
          <w:bCs/>
          <w:color w:val="1B2A4A"/>
          <w:sz w:val="18"/>
          <w:szCs w:val="18"/>
        </w:rPr>
        <w:t xml:space="preserve">§3.1.d  </w:t>
      </w:r>
      <w:r>
        <w:rPr>
          <w:rFonts w:ascii="Garamond" w:cs="Garamond" w:eastAsia="Garamond" w:hAnsi="Garamond"/>
          <w:b/>
          <w:bCs/>
          <w:i w:val="false"/>
          <w:iCs w:val="false"/>
          <w:color w:val="1B2A4A"/>
          <w:sz w:val="22"/>
          <w:szCs w:val="22"/>
        </w:rPr>
        <w:t xml:space="preserve">Bill Exposure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text of every bill must be published to the NRS for the minimum exposure period (Legislature defines by statute, not less than 7 days) before any final passage vote. A substantially amended bill resets the exposure clock.</w:t>
      </w:r>
    </w:p>
    <w:p>
      <w:pPr>
        <w:spacing w:after="60" w:before="200"/>
        <w:ind w:left="431"/>
        <w:jc w:val="left"/>
      </w:pPr>
      <w:r>
        <w:rPr>
          <w:rFonts w:ascii="Courier New" w:cs="Courier New" w:eastAsia="Courier New" w:hAnsi="Courier New"/>
          <w:b/>
          <w:bCs/>
          <w:color w:val="1B2A4A"/>
          <w:sz w:val="18"/>
          <w:szCs w:val="18"/>
        </w:rPr>
        <w:t xml:space="preserve">§3.1.e  </w:t>
      </w:r>
      <w:r>
        <w:rPr>
          <w:rFonts w:ascii="Garamond" w:cs="Garamond" w:eastAsia="Garamond" w:hAnsi="Garamond"/>
          <w:b/>
          <w:bCs/>
          <w:i w:val="false"/>
          <w:iCs w:val="false"/>
          <w:color w:val="1B2A4A"/>
          <w:sz w:val="22"/>
          <w:szCs w:val="22"/>
        </w:rPr>
        <w:t xml:space="preserve">Legislative Calendar and Session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sit for a minimum number of days per year defined by statute. Emergency sessions may be called by the PM or by petition of 1/3 of either chamber. Prevents pocket-session governance — the Legislature cannot be prorogued into ineffectiveness.</w:t>
      </w:r>
    </w:p>
    <w:p>
      <w:pPr>
        <w:spacing w:after="60" w:before="200"/>
        <w:ind w:left="431"/>
        <w:jc w:val="left"/>
      </w:pPr>
      <w:r>
        <w:rPr>
          <w:rFonts w:ascii="Courier New" w:cs="Courier New" w:eastAsia="Courier New" w:hAnsi="Courier New"/>
          <w:b/>
          <w:bCs/>
          <w:color w:val="1B2A4A"/>
          <w:sz w:val="18"/>
          <w:szCs w:val="18"/>
        </w:rPr>
        <w:t xml:space="preserve">§3.1.f  </w:t>
      </w:r>
      <w:r>
        <w:rPr>
          <w:rFonts w:ascii="Garamond" w:cs="Garamond" w:eastAsia="Garamond" w:hAnsi="Garamond"/>
          <w:b/>
          <w:bCs/>
          <w:i w:val="false"/>
          <w:iCs w:val="false"/>
          <w:color w:val="1B2A4A"/>
          <w:sz w:val="22"/>
          <w:szCs w:val="22"/>
        </w:rPr>
        <w:t xml:space="preserve">Legislative Compensation and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compensation is set by the LI on a formula tied to median citizen income, not by the Legislature itself. All financial interests of members must be disclosed to the EI and published to the NRS. The compensation formula prevents legislators from voting themselves raises.</w:t>
      </w:r>
    </w:p>
    <w:p>
      <w:pPr>
        <w:spacing w:after="60" w:before="200"/>
        <w:ind w:left="431"/>
        <w:jc w:val="left"/>
      </w:pPr>
      <w:r>
        <w:rPr>
          <w:rFonts w:ascii="Courier New" w:cs="Courier New" w:eastAsia="Courier New" w:hAnsi="Courier New"/>
          <w:b/>
          <w:bCs/>
          <w:color w:val="1B2A4A"/>
          <w:sz w:val="18"/>
          <w:szCs w:val="18"/>
        </w:rPr>
        <w:t xml:space="preserve">§3.1.g  </w:t>
      </w:r>
      <w:r>
        <w:rPr>
          <w:rFonts w:ascii="Garamond" w:cs="Garamond" w:eastAsia="Garamond" w:hAnsi="Garamond"/>
          <w:b/>
          <w:bCs/>
          <w:i w:val="false"/>
          <w:iCs w:val="false"/>
          <w:color w:val="1B2A4A"/>
          <w:sz w:val="22"/>
          <w:szCs w:val="22"/>
        </w:rPr>
        <w:t xml:space="preserve">House Term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serve more than six consecutive 2-year terms in the House — a maximum of 12 consecutive years. After six consecutive terms, the member must sit out one full House electoral cycle (2 years) before standing again. After the cooling-off period, the member is again eligible with no further cumulative lifetime restriction. A partial term served following a mid-term vacancy counts as a full consecutive term.</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Senate — States as Constitutional Actors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6-year staggered terms. The Senate serves as the checking chamber: it must act on every House-passed bill within the Legislature-defined period, may amend within the bounds of germaneness, and holds exclusive authority over judicial confirmations and treaty ratification.</w:t>
      </w:r>
    </w:p>
    <w:p>
      <w:pPr>
        <w:spacing w:after="60" w:before="200"/>
        <w:ind w:left="431"/>
        <w:jc w:val="left"/>
      </w:pPr>
      <w:r>
        <w:rPr>
          <w:rFonts w:ascii="Courier New" w:cs="Courier New" w:eastAsia="Courier New" w:hAnsi="Courier New"/>
          <w:b/>
          <w:bCs/>
          <w:color w:val="1B2A4A"/>
          <w:sz w:val="18"/>
          <w:szCs w:val="18"/>
        </w:rPr>
        <w:t xml:space="preserve">§3.2.a  </w:t>
      </w:r>
      <w:r>
        <w:rPr>
          <w:rFonts w:ascii="Garamond" w:cs="Garamond" w:eastAsia="Garamond" w:hAnsi="Garamond"/>
          <w:b/>
          <w:bCs/>
          <w:i w:val="false"/>
          <w:iCs w:val="false"/>
          <w:color w:val="1B2A4A"/>
          <w:sz w:val="22"/>
          <w:szCs w:val="22"/>
        </w:rPr>
        <w:t xml:space="preserve">Senate Composition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Two senators per State regardless of population, elected by citizens of that State for 6-year staggered terms. No Senator may serve more than two consecutive terms (12 consecutive years). After two consecutive terms, a Senator must sit out one full term (6 years) before standing for Senate election again. After the cooling-off period, the Senator is again eligible with no further cumulative lifetime restriction.</w:t>
      </w:r>
    </w:p>
    <w:p>
      <w:pPr>
        <w:spacing w:after="60" w:before="200"/>
        <w:ind w:left="431"/>
        <w:jc w:val="left"/>
      </w:pPr>
      <w:r>
        <w:rPr>
          <w:rFonts w:ascii="Courier New" w:cs="Courier New" w:eastAsia="Courier New" w:hAnsi="Courier New"/>
          <w:b/>
          <w:bCs/>
          <w:color w:val="1B2A4A"/>
          <w:sz w:val="18"/>
          <w:szCs w:val="18"/>
        </w:rPr>
        <w:t xml:space="preserve">§3.2.b  </w:t>
      </w:r>
      <w:r>
        <w:rPr>
          <w:rFonts w:ascii="Garamond" w:cs="Garamond" w:eastAsia="Garamond" w:hAnsi="Garamond"/>
          <w:b/>
          <w:bCs/>
          <w:i w:val="false"/>
          <w:iCs w:val="false"/>
          <w:color w:val="1B2A4A"/>
          <w:sz w:val="22"/>
          <w:szCs w:val="22"/>
        </w:rPr>
        <w:t xml:space="preserve">Legislative Origination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All legislation must originate in the House. The Senate reviews, may amend within the bounds of germaneness, and may pass or decline — but may not initiate any bill. All revenue measures, appropriations, and debt ceiling changes must additionally originate in the House; the Senate may amend fiscal legislation but cannot initiate it.</w:t>
      </w:r>
    </w:p>
    <w:p>
      <w:pPr>
        <w:spacing w:after="60" w:before="200"/>
        <w:ind w:left="431"/>
        <w:jc w:val="left"/>
      </w:pPr>
      <w:r>
        <w:rPr>
          <w:rFonts w:ascii="Courier New" w:cs="Courier New" w:eastAsia="Courier New" w:hAnsi="Courier New"/>
          <w:b/>
          <w:bCs/>
          <w:color w:val="1B2A4A"/>
          <w:sz w:val="18"/>
          <w:szCs w:val="18"/>
        </w:rPr>
        <w:t xml:space="preserve">§3.2.c  </w:t>
      </w:r>
      <w:r>
        <w:rPr>
          <w:rFonts w:ascii="Garamond" w:cs="Garamond" w:eastAsia="Garamond" w:hAnsi="Garamond"/>
          <w:b/>
          <w:bCs/>
          <w:i w:val="false"/>
          <w:iCs w:val="false"/>
          <w:color w:val="1B2A4A"/>
          <w:sz w:val="22"/>
          <w:szCs w:val="22"/>
        </w:rPr>
        <w:t xml:space="preserve">Senate Must Act on Every House Bill</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Must Act — the Senate cannot table or indefinitely delay House-passed legislation. Must vote within the Legislature-defined period. If it does not act, Deemed Approval triggers automatically. The Senate may, by simple majority vote before the original review period expires, extend its review period once by a duration defined by statute where a bill's complexity warrants expert testimony or additional committee review; the extension vote and its duration are published to the NRS. The Senate has three options: pass, amend (returned to House), or decline (bill dies). Inaction is not an option.</w:t>
      </w:r>
    </w:p>
    <w:p>
      <w:pPr>
        <w:spacing w:after="60" w:before="200"/>
        <w:ind w:left="431"/>
        <w:jc w:val="left"/>
      </w:pPr>
      <w:r>
        <w:rPr>
          <w:rFonts w:ascii="Courier New" w:cs="Courier New" w:eastAsia="Courier New" w:hAnsi="Courier New"/>
          <w:b/>
          <w:bCs/>
          <w:color w:val="1B2A4A"/>
          <w:sz w:val="18"/>
          <w:szCs w:val="18"/>
        </w:rPr>
        <w:t xml:space="preserve">§3.2.d  </w:t>
      </w:r>
      <w:r>
        <w:rPr>
          <w:rFonts w:ascii="Garamond" w:cs="Garamond" w:eastAsia="Garamond" w:hAnsi="Garamond"/>
          <w:b/>
          <w:bCs/>
          <w:i w:val="false"/>
          <w:iCs w:val="false"/>
          <w:color w:val="1B2A4A"/>
          <w:sz w:val="22"/>
          <w:szCs w:val="22"/>
        </w:rPr>
        <w:t xml:space="preserve">Judicial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confirms all judicial appointments by a supermajority defined by statute (not less than 55%, not more than 67% of full Senate membership). Failure to vote within the confirmation period triggers Deemed Confirmation. The supermajority requirement ensures judicial appointments require cross-party support.</w:t>
      </w:r>
    </w:p>
    <w:p>
      <w:pPr>
        <w:spacing w:after="60" w:before="200"/>
        <w:ind w:left="431"/>
        <w:jc w:val="left"/>
      </w:pPr>
      <w:r>
        <w:rPr>
          <w:rFonts w:ascii="Courier New" w:cs="Courier New" w:eastAsia="Courier New" w:hAnsi="Courier New"/>
          <w:b/>
          <w:bCs/>
          <w:color w:val="1B2A4A"/>
          <w:sz w:val="18"/>
          <w:szCs w:val="18"/>
        </w:rPr>
        <w:t xml:space="preserve">§3.2.e  </w:t>
      </w:r>
      <w:r>
        <w:rPr>
          <w:rFonts w:ascii="Garamond" w:cs="Garamond" w:eastAsia="Garamond" w:hAnsi="Garamond"/>
          <w:b/>
          <w:bCs/>
          <w:i w:val="false"/>
          <w:iCs w:val="false"/>
          <w:color w:val="1B2A4A"/>
          <w:sz w:val="22"/>
          <w:szCs w:val="22"/>
        </w:rPr>
        <w:t xml:space="preserve">Treaty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a 2/3 majority of the full seated Senate.</w:t>
      </w:r>
    </w:p>
    <w:p>
      <w:pPr>
        <w:spacing w:after="60" w:before="200"/>
        <w:ind w:left="431"/>
        <w:jc w:val="left"/>
      </w:pPr>
      <w:r>
        <w:rPr>
          <w:rFonts w:ascii="Courier New" w:cs="Courier New" w:eastAsia="Courier New" w:hAnsi="Courier New"/>
          <w:b/>
          <w:bCs/>
          <w:color w:val="1B2A4A"/>
          <w:sz w:val="18"/>
          <w:szCs w:val="18"/>
        </w:rPr>
        <w:t xml:space="preserve">§3.2.e.i  </w:t>
      </w:r>
      <w:r>
        <w:rPr>
          <w:rFonts w:ascii="Garamond" w:cs="Garamond" w:eastAsia="Garamond" w:hAnsi="Garamond"/>
          <w:b/>
          <w:bCs/>
          <w:i w:val="false"/>
          <w:iCs w:val="false"/>
          <w:color w:val="1B2A4A"/>
          <w:sz w:val="22"/>
          <w:szCs w:val="22"/>
        </w:rPr>
        <w:t xml:space="preserve">Treaty Domestic Application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Senate fails to ratify a treaty, if portions of the treaty's domestic provisions have standalone value independent of the international obligations, the President may transmit those portions to the House Speaker for consideration as ordinary domestic legislation. Prevents failed treaty ratification from defeating domestically beneficial measures when the failure was due to international concerns.</w:t>
      </w:r>
    </w:p>
    <w:p>
      <w:pPr>
        <w:spacing w:after="60" w:before="200"/>
        <w:ind w:left="431"/>
        <w:jc w:val="left"/>
      </w:pPr>
      <w:r>
        <w:rPr>
          <w:rFonts w:ascii="Courier New" w:cs="Courier New" w:eastAsia="Courier New" w:hAnsi="Courier New"/>
          <w:b/>
          <w:bCs/>
          <w:color w:val="1B2A4A"/>
          <w:sz w:val="18"/>
          <w:szCs w:val="18"/>
        </w:rPr>
        <w:t xml:space="preserve">§3.2.e.ii  </w:t>
      </w:r>
      <w:r>
        <w:rPr>
          <w:rFonts w:ascii="Garamond" w:cs="Garamond" w:eastAsia="Garamond" w:hAnsi="Garamond"/>
          <w:b/>
          <w:bCs/>
          <w:i w:val="false"/>
          <w:iCs w:val="false"/>
          <w:color w:val="1B2A4A"/>
          <w:sz w:val="22"/>
          <w:szCs w:val="22"/>
        </w:rPr>
        <w:t xml:space="preserve">Non-Disaggregable Treaties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treaty is bilateral and designed as an integrated whole — with reciprocal obligations that are interdependent — the President may not disaggregate and transmit domestic provisions separately. The treaty must be renegotiated or abandoned in its entirety.</w:t>
      </w:r>
    </w:p>
    <w:p>
      <w:pPr>
        <w:spacing w:after="60" w:before="200"/>
        <w:ind w:left="431"/>
        <w:jc w:val="left"/>
      </w:pPr>
      <w:r>
        <w:rPr>
          <w:rFonts w:ascii="Courier New" w:cs="Courier New" w:eastAsia="Courier New" w:hAnsi="Courier New"/>
          <w:b/>
          <w:bCs/>
          <w:color w:val="1B2A4A"/>
          <w:sz w:val="18"/>
          <w:szCs w:val="18"/>
        </w:rPr>
        <w:t xml:space="preserve">§3.2.e.iii  </w:t>
      </w:r>
      <w:r>
        <w:rPr>
          <w:rFonts w:ascii="Garamond" w:cs="Garamond" w:eastAsia="Garamond" w:hAnsi="Garamond"/>
          <w:b/>
          <w:bCs/>
          <w:i w:val="false"/>
          <w:iCs w:val="false"/>
          <w:color w:val="1B2A4A"/>
          <w:sz w:val="22"/>
          <w:szCs w:val="22"/>
        </w:rPr>
        <w:t xml:space="preserve">Treaty Withdrawal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initiate withdrawal from any ratified treaty by publishing a formal notice of withdrawal to the NRS specifying the treaty, the effective withdrawal date (not less than 6 months from NRS publication), and the grounds. Withdrawal operates differently by treaty type: (a) General treaties — the Senate may block withdrawal by simple majority within the 6-month notice period; if the Senate does not vote to block, withdrawal takes effect automatically on the effective date; (b) Mutual defense treaties — the Senate must affirmatively confirm withdrawal by simple majority within the 6-month period; if the Senate does not confirm, the treaty remains in force; withdrawal from a mutual defense treaty may not be initiated while the Republic is engaged in active Tier 2 or Tier 3 operations under that treaty; (c) Indigenous treaties — no treaty with an indigenous nation recognized under Article XIV may be withdrawn or unilaterally modified; Article XIV governs. All withdrawal notices, blocking votes, confirmation votes, and withdrawal completion dates are published to the NRS as permanent records.</w:t>
      </w:r>
    </w:p>
    <w:p>
      <w:pPr>
        <w:spacing w:after="60" w:before="200"/>
        <w:ind w:left="431"/>
        <w:jc w:val="left"/>
      </w:pPr>
      <w:r>
        <w:rPr>
          <w:rFonts w:ascii="Courier New" w:cs="Courier New" w:eastAsia="Courier New" w:hAnsi="Courier New"/>
          <w:b/>
          <w:bCs/>
          <w:color w:val="1B2A4A"/>
          <w:sz w:val="18"/>
          <w:szCs w:val="18"/>
        </w:rPr>
        <w:t xml:space="preserve">§3.2.f  </w:t>
      </w:r>
      <w:r>
        <w:rPr>
          <w:rFonts w:ascii="Garamond" w:cs="Garamond" w:eastAsia="Garamond" w:hAnsi="Garamond"/>
          <w:b/>
          <w:bCs/>
          <w:i w:val="false"/>
          <w:iCs w:val="false"/>
          <w:color w:val="1B2A4A"/>
          <w:sz w:val="22"/>
          <w:szCs w:val="22"/>
        </w:rPr>
        <w:t xml:space="preserve">Senate Electoral Functions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administers the Presidential election in the absence of a functioning Electoral Commission — as certified by the JI following a finding that the EC cannot administer a constitutionally valid election — presides over contested electoral proceedings, and certifies Presidential election results. A direct role in executive accountability that does not depend on the House.</w:t>
      </w:r>
    </w:p>
    <w:p>
      <w:pPr>
        <w:spacing w:after="60" w:before="200"/>
        <w:ind w:left="431"/>
        <w:jc w:val="left"/>
      </w:pPr>
      <w:r>
        <w:rPr>
          <w:rFonts w:ascii="Courier New" w:cs="Courier New" w:eastAsia="Courier New" w:hAnsi="Courier New"/>
          <w:b/>
          <w:bCs/>
          <w:color w:val="1B2A4A"/>
          <w:sz w:val="18"/>
          <w:szCs w:val="18"/>
        </w:rPr>
        <w:t xml:space="preserve">§3.2.g  </w:t>
      </w:r>
      <w:r>
        <w:rPr>
          <w:rFonts w:ascii="Garamond" w:cs="Garamond" w:eastAsia="Garamond" w:hAnsi="Garamond"/>
          <w:b/>
          <w:bCs/>
          <w:i w:val="false"/>
          <w:iCs w:val="false"/>
          <w:color w:val="1B2A4A"/>
          <w:sz w:val="22"/>
          <w:szCs w:val="22"/>
        </w:rPr>
        <w:t xml:space="preserve">Senate Internal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defines its own internal procedures by standing order, subject to constitutional constraints. The presiding officer is the Speaker of the Senate, elected by Senate members. The Senate's procedural autonomy prevents the House from using procedural leverage to control Senate deliberation.</w:t>
      </w:r>
    </w:p>
    <w:p>
      <w:pPr>
        <w:spacing w:after="60" w:before="200"/>
        <w:ind w:left="431"/>
        <w:jc w:val="left"/>
      </w:pPr>
      <w:r>
        <w:rPr>
          <w:rFonts w:ascii="Courier New" w:cs="Courier New" w:eastAsia="Courier New" w:hAnsi="Courier New"/>
          <w:b/>
          <w:bCs/>
          <w:color w:val="1B2A4A"/>
          <w:sz w:val="18"/>
          <w:szCs w:val="18"/>
        </w:rPr>
        <w:t xml:space="preserve">§3.2.h  </w:t>
      </w:r>
      <w:r>
        <w:rPr>
          <w:rFonts w:ascii="Garamond" w:cs="Garamond" w:eastAsia="Garamond" w:hAnsi="Garamond"/>
          <w:b/>
          <w:bCs/>
          <w:i w:val="false"/>
          <w:iCs w:val="false"/>
          <w:color w:val="1B2A4A"/>
          <w:sz w:val="22"/>
          <w:szCs w:val="22"/>
        </w:rPr>
        <w:t xml:space="preserve">Senate Committees</w:t>
      </w:r>
    </w:p>
    <w:p>
      <w:pPr>
        <w:spacing w:after="120" w:before="0"/>
        <w:ind w:left="431"/>
        <w:jc w:val="both"/>
      </w:pPr>
      <w:r>
        <w:rPr>
          <w:rFonts w:ascii="Garamond" w:cs="Garamond" w:eastAsia="Garamond" w:hAnsi="Garamond"/>
          <w:b w:val="false"/>
          <w:bCs w:val="false"/>
          <w:i w:val="false"/>
          <w:iCs w:val="false"/>
          <w:color w:val="2a2520"/>
          <w:sz w:val="22"/>
          <w:szCs w:val="22"/>
        </w:rPr>
        <w:t xml:space="preserve">Standing committees are constitutionally mandated for certain functions (the Senate Armed Services Committee for Tier 2 military authorization is the most significant). Committee composition must reflect chamber balance — no party may hold all seats on a standing committee.</w:t>
      </w:r>
    </w:p>
    <w:p>
      <w:pPr>
        <w:spacing w:after="60" w:before="200"/>
        <w:ind w:left="431"/>
        <w:jc w:val="left"/>
      </w:pPr>
      <w:r>
        <w:rPr>
          <w:rFonts w:ascii="Courier New" w:cs="Courier New" w:eastAsia="Courier New" w:hAnsi="Courier New"/>
          <w:b/>
          <w:bCs/>
          <w:color w:val="1B2A4A"/>
          <w:sz w:val="18"/>
          <w:szCs w:val="18"/>
        </w:rPr>
        <w:t xml:space="preserve">§3.2.i  </w:t>
      </w:r>
      <w:r>
        <w:rPr>
          <w:rFonts w:ascii="Garamond" w:cs="Garamond" w:eastAsia="Garamond" w:hAnsi="Garamond"/>
          <w:b/>
          <w:bCs/>
          <w:i w:val="false"/>
          <w:iCs w:val="false"/>
          <w:color w:val="1B2A4A"/>
          <w:sz w:val="22"/>
          <w:szCs w:val="22"/>
        </w:rPr>
        <w:t xml:space="preserve">Senate Amendment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may amend House-passed bills, but amendments must be germane to the bill's subject matter. The LI publishes a germaneness analysis before the amended bill is returned to the House. The PM must give the LI's analysis due consideration during the Legislative Review Period. Non-germane amendments can void the non-germane portion.</w:t>
      </w:r>
    </w:p>
    <w:p>
      <w:pPr>
        <w:spacing w:after="60" w:before="200"/>
        <w:ind w:left="431"/>
        <w:jc w:val="left"/>
      </w:pPr>
      <w:r>
        <w:rPr>
          <w:rFonts w:ascii="Courier New" w:cs="Courier New" w:eastAsia="Courier New" w:hAnsi="Courier New"/>
          <w:b/>
          <w:bCs/>
          <w:color w:val="1B2A4A"/>
          <w:sz w:val="18"/>
          <w:szCs w:val="18"/>
        </w:rPr>
        <w:t xml:space="preserve">§3.2.j  </w:t>
      </w:r>
      <w:r>
        <w:rPr>
          <w:rFonts w:ascii="Garamond" w:cs="Garamond" w:eastAsia="Garamond" w:hAnsi="Garamond"/>
          <w:b/>
          <w:bCs/>
          <w:i w:val="false"/>
          <w:iCs w:val="false"/>
          <w:color w:val="1B2A4A"/>
          <w:sz w:val="22"/>
          <w:szCs w:val="22"/>
        </w:rPr>
        <w:t xml:space="preserve">Senate Speaker Role Limit</w:t>
      </w:r>
    </w:p>
    <w:p>
      <w:pPr>
        <w:spacing w:after="120" w:before="0"/>
        <w:ind w:left="431"/>
        <w:jc w:val="both"/>
      </w:pPr>
      <w:r>
        <w:rPr>
          <w:rFonts w:ascii="Garamond" w:cs="Garamond" w:eastAsia="Garamond" w:hAnsi="Garamond"/>
          <w:b w:val="false"/>
          <w:bCs w:val="false"/>
          <w:i w:val="false"/>
          <w:iCs w:val="false"/>
          <w:color w:val="2a2520"/>
          <w:sz w:val="22"/>
          <w:szCs w:val="22"/>
        </w:rPr>
        <w:t xml:space="preserve">No Senator may serve as Speaker for more than three consecutive sessions (6 years). After three consecutive sessions as Speaker, the Senator must sit out at least one full session as a non-Speaker Senator before standing for Speaker again. This limit applies to the Speaker role only and does not affect the Senator's ability to continue serving their State in their Senate seat.</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become law by absolute majority of the full seated membership of both chambers; higher thresholds apply as specified.</w:t>
      </w:r>
    </w:p>
    <w:p>
      <w:pPr>
        <w:spacing w:after="60" w:before="200"/>
        <w:ind w:left="431"/>
        <w:jc w:val="left"/>
      </w:pPr>
      <w:r>
        <w:rPr>
          <w:rFonts w:ascii="Courier New" w:cs="Courier New" w:eastAsia="Courier New" w:hAnsi="Courier New"/>
          <w:b/>
          <w:bCs/>
          <w:color w:val="1B2A4A"/>
          <w:sz w:val="18"/>
          <w:szCs w:val="18"/>
        </w:rPr>
        <w:t xml:space="preserve">§3.3.a  </w:t>
      </w:r>
      <w:r>
        <w:rPr>
          <w:rFonts w:ascii="Garamond" w:cs="Garamond" w:eastAsia="Garamond" w:hAnsi="Garamond"/>
          <w:b/>
          <w:bCs/>
          <w:i w:val="false"/>
          <w:iCs w:val="false"/>
          <w:color w:val="1B2A4A"/>
          <w:sz w:val="22"/>
          <w:szCs w:val="22"/>
        </w:rPr>
        <w:t xml:space="preserve">Standard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not just those present. The 'full seated membership' standard prevents passage by small quorums. Applies to ordinary legislation; higher thresholds apply to constitutional amendments, veto overrides, and removal proceedings.</w:t>
      </w:r>
    </w:p>
    <w:p>
      <w:pPr>
        <w:spacing w:after="60" w:before="200"/>
        <w:ind w:left="431"/>
        <w:jc w:val="left"/>
      </w:pPr>
      <w:r>
        <w:rPr>
          <w:rFonts w:ascii="Courier New" w:cs="Courier New" w:eastAsia="Courier New" w:hAnsi="Courier New"/>
          <w:b/>
          <w:bCs/>
          <w:color w:val="1B2A4A"/>
          <w:sz w:val="18"/>
          <w:szCs w:val="18"/>
        </w:rPr>
        <w:t xml:space="preserve">§3.3.b  </w:t>
      </w:r>
      <w:r>
        <w:rPr>
          <w:rFonts w:ascii="Garamond" w:cs="Garamond" w:eastAsia="Garamond" w:hAnsi="Garamond"/>
          <w:b/>
          <w:bCs/>
          <w:i w:val="false"/>
          <w:iCs w:val="false"/>
          <w:color w:val="1B2A4A"/>
          <w:sz w:val="22"/>
          <w:szCs w:val="22"/>
        </w:rPr>
        <w:t xml:space="preserve">Presidential Veto Override</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Requires 2/3 of both chambers simultaneously. The simultaneous requirement means both chambers must vote in the same session. The SC reviews the presidential veto under §2.1.f.i before any override vote may proceed.</w:t>
      </w:r>
    </w:p>
    <w:p>
      <w:pPr>
        <w:spacing w:after="60" w:before="200"/>
        <w:ind w:left="431"/>
        <w:jc w:val="left"/>
      </w:pPr>
      <w:r>
        <w:rPr>
          <w:rFonts w:ascii="Courier New" w:cs="Courier New" w:eastAsia="Courier New" w:hAnsi="Courier New"/>
          <w:b/>
          <w:bCs/>
          <w:color w:val="1B2A4A"/>
          <w:sz w:val="18"/>
          <w:szCs w:val="18"/>
        </w:rPr>
        <w:t xml:space="preserve">§3.3.c  </w:t>
      </w:r>
      <w:r>
        <w:rPr>
          <w:rFonts w:ascii="Garamond" w:cs="Garamond" w:eastAsia="Garamond" w:hAnsi="Garamond"/>
          <w:b/>
          <w:bCs/>
          <w:i w:val="false"/>
          <w:iCs w:val="false"/>
          <w:color w:val="1B2A4A"/>
          <w:sz w:val="22"/>
          <w:szCs w:val="22"/>
        </w:rPr>
        <w:t xml:space="preserve">Record System Entry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presiding officer of each chamber must certify and publish the final text of every enacted law to the NRS within 24 hours. All prior versions, committee reports, Inspectorate findings, and veto records are indexed alongside the enacted text. The NRS entry is the definitive legal record.</w:t>
      </w:r>
    </w:p>
    <w:p>
      <w:pPr>
        <w:spacing w:after="60" w:before="200"/>
        <w:ind w:left="431"/>
        <w:jc w:val="left"/>
      </w:pPr>
      <w:r>
        <w:rPr>
          <w:rFonts w:ascii="Courier New" w:cs="Courier New" w:eastAsia="Courier New" w:hAnsi="Courier New"/>
          <w:b/>
          <w:bCs/>
          <w:color w:val="1B2A4A"/>
          <w:sz w:val="18"/>
          <w:szCs w:val="18"/>
        </w:rPr>
        <w:t xml:space="preserve">§3.3.d  </w:t>
      </w:r>
      <w:r>
        <w:rPr>
          <w:rFonts w:ascii="Garamond" w:cs="Garamond" w:eastAsia="Garamond" w:hAnsi="Garamond"/>
          <w:b/>
          <w:bCs/>
          <w:i w:val="false"/>
          <w:iCs w:val="false"/>
          <w:color w:val="1B2A4A"/>
          <w:sz w:val="22"/>
          <w:szCs w:val="22"/>
        </w:rPr>
        <w:t xml:space="preserve">Legislative Mandate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constitution requires the Legislature to enact specific legislation by statute and the Legislature fails to do so within a specified period: the LI publishes a non-compliance finding; the mandate becomes justiciable in the SC; for mandates tied to constitutional rights, affected parties may bring direct constitutional claims. The Legislature's statutory delegations are genuine constitutional mandates.</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House district maps following each census, subject to compliance review by the Legislative Inspectorate against the criteria established in §3.4.a. Where a State fails repeated review, the Electoral Commission draws an interim compliant map under §3.4.b pending State compliance. A State may request drawing consulting from the EC at any point in the redistricting process; such consulting is advisory and does not transfer the State's map-drawing responsibility to the EC. Territorial district maps are drawn by the Electoral Commission under §3.4.c, subject to the same §3.4.a criteria and LI compliance review. District maps are drawn after each census, every ten years. Emergency redistricting may occur if a State's population changes significantly between census cycles. A State may not redistrict more than once per census cycle without LI approval.</w:t>
      </w:r>
    </w:p>
    <w:p>
      <w:pPr>
        <w:spacing w:after="60" w:before="200"/>
        <w:ind w:left="431"/>
        <w:jc w:val="left"/>
      </w:pPr>
      <w:r>
        <w:rPr>
          <w:rFonts w:ascii="Courier New" w:cs="Courier New" w:eastAsia="Courier New" w:hAnsi="Courier New"/>
          <w:b/>
          <w:bCs/>
          <w:color w:val="1B2A4A"/>
          <w:sz w:val="18"/>
          <w:szCs w:val="18"/>
        </w:rPr>
        <w:t xml:space="preserve">§3.4.a  </w:t>
      </w:r>
      <w:r>
        <w:rPr>
          <w:rFonts w:ascii="Garamond" w:cs="Garamond" w:eastAsia="Garamond" w:hAnsi="Garamond"/>
          <w:b/>
          <w:bCs/>
          <w:i w:val="false"/>
          <w:iCs w:val="false"/>
          <w:color w:val="1B2A4A"/>
          <w:sz w:val="22"/>
          <w:szCs w:val="22"/>
        </w:rPr>
        <w:t xml:space="preserve">Criteria Hierarchy</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 district maps must meet five criteria: population equality within tolerance, geographic contiguity, compliance with §1.9 non-discrimination, no intentional dilution of minority voting power, and reasonable geographic compactness. States have discretion within these bounds — there is no single correct map. The following data may not be used at any stage of the district-drawing process: partisan registration data, voting history data, incumbent or candidate residence, and racial or ethnic composition as a primary consideration.</w:t>
      </w:r>
    </w:p>
    <w:p>
      <w:pPr>
        <w:spacing w:after="60" w:before="200"/>
        <w:ind w:left="431"/>
        <w:jc w:val="left"/>
      </w:pPr>
      <w:r>
        <w:rPr>
          <w:rFonts w:ascii="Courier New" w:cs="Courier New" w:eastAsia="Courier New" w:hAnsi="Courier New"/>
          <w:b/>
          <w:bCs/>
          <w:color w:val="1B2A4A"/>
          <w:sz w:val="18"/>
          <w:szCs w:val="18"/>
        </w:rPr>
        <w:t xml:space="preserve">§3.4.b  </w:t>
      </w:r>
      <w:r>
        <w:rPr>
          <w:rFonts w:ascii="Garamond" w:cs="Garamond" w:eastAsia="Garamond" w:hAnsi="Garamond"/>
          <w:b/>
          <w:bCs/>
          <w:i w:val="false"/>
          <w:iCs w:val="false"/>
          <w:color w:val="1B2A4A"/>
          <w:sz w:val="22"/>
          <w:szCs w:val="22"/>
        </w:rPr>
        <w:t xml:space="preserve">LI Redistricting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reviews all State-drawn district maps within 60 days of submission and publishes its compliance findings to the NRS. If a map fails the §3.4.a criteria, the LI publishes specific findings and the State must submit a corrected map within 30 days. If the corrected map still fails, the Electoral Commission draws an interim compliant map using the §3.4.a criteria, which takes effect at the next election. The EC-drawn interim map is not permanent — it is retired automatically when the State submits and the LI certifies a compliant State-drawn map. Until then, elections proceed on the EC-drawn map. The LI cannot draw district maps; its role is compliance review only. The EC cannot impose a permanent map; its interim map creates an incentive for State compliance, not a substitute for it.</w:t>
      </w:r>
    </w:p>
    <w:p>
      <w:pPr>
        <w:spacing w:after="60" w:before="200"/>
        <w:ind w:left="431"/>
        <w:jc w:val="left"/>
      </w:pPr>
      <w:r>
        <w:rPr>
          <w:rFonts w:ascii="Courier New" w:cs="Courier New" w:eastAsia="Courier New" w:hAnsi="Courier New"/>
          <w:b/>
          <w:bCs/>
          <w:color w:val="1B2A4A"/>
          <w:sz w:val="18"/>
          <w:szCs w:val="18"/>
        </w:rPr>
        <w:t xml:space="preserve">§3.4.c  </w:t>
      </w:r>
      <w:r>
        <w:rPr>
          <w:rFonts w:ascii="Garamond" w:cs="Garamond" w:eastAsia="Garamond" w:hAnsi="Garamond"/>
          <w:b/>
          <w:bCs/>
          <w:i w:val="false"/>
          <w:iCs w:val="false"/>
          <w:color w:val="1B2A4A"/>
          <w:sz w:val="22"/>
          <w:szCs w:val="22"/>
        </w:rPr>
        <w:t xml:space="preserve">Territorial District Drawing</w:t>
      </w:r>
    </w:p>
    <w:p>
      <w:pPr>
        <w:spacing w:after="120" w:before="0"/>
        <w:ind w:left="431"/>
        <w:jc w:val="both"/>
      </w:pPr>
      <w:r>
        <w:rPr>
          <w:rFonts w:ascii="Garamond" w:cs="Garamond" w:eastAsia="Garamond" w:hAnsi="Garamond"/>
          <w:b w:val="false"/>
          <w:bCs w:val="false"/>
          <w:i w:val="false"/>
          <w:iCs w:val="false"/>
          <w:color w:val="2a2520"/>
          <w:sz w:val="22"/>
          <w:szCs w:val="22"/>
        </w:rPr>
        <w:t xml:space="preserve">For Territories holding one House seat, the Territory is a single at-large constituency — no district drawing is required and the EC administers the election directly through the NVS. For Territories holding two or more House seats, the Electoral Commission draws district boundaries following each census using the criteria established in §3.4.a. The EC publishes a draft map to the NRS and opens a 60-day public comment period during which the Territory's governing council may submit formal written objections. The EC must respond in writing to each formal objection before publishing a final proposed map. The LI then reviews the final proposed map under §3.4.a standards and publishes its compliance findings to the NRS within 30 days. If the LI finds criteria violations, the EC must revise and republish within 30 days; the LI reviews the revision within 14 days. A map that passes LI review is certified and takes effect at the next general election. The EC administers all Territorial House elections through the NVS on the same schedule as State elections.</w:t>
      </w:r>
    </w:p>
    <w:p>
      <w:pPr>
        <w:spacing w:after="60" w:before="200"/>
        <w:ind w:left="431"/>
        <w:jc w:val="left"/>
      </w:pPr>
      <w:r>
        <w:rPr>
          <w:rFonts w:ascii="Courier New" w:cs="Courier New" w:eastAsia="Courier New" w:hAnsi="Courier New"/>
          <w:b/>
          <w:bCs/>
          <w:color w:val="1B2A4A"/>
          <w:sz w:val="18"/>
          <w:szCs w:val="18"/>
        </w:rPr>
        <w:t xml:space="preserve">§3.4.e  </w:t>
      </w:r>
      <w:r>
        <w:rPr>
          <w:rFonts w:ascii="Garamond" w:cs="Garamond" w:eastAsia="Garamond" w:hAnsi="Garamond"/>
          <w:b/>
          <w:bCs/>
          <w:i w:val="false"/>
          <w:iCs w:val="false"/>
          <w:color w:val="1B2A4A"/>
          <w:sz w:val="22"/>
          <w:szCs w:val="22"/>
        </w:rPr>
        <w:t xml:space="preserve">At-Large Seats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with a small population may elect House members at-large rather than by district, if the LI determines that the minimum district size would make geographic districting meaningless. At-large elections use proportional representation mechanisms — no plurality winner-take-all at-large elections.</w:t>
      </w:r>
    </w:p>
    <w:p>
      <w:pPr>
        <w:spacing w:after="60" w:before="200"/>
        <w:ind w:left="431"/>
        <w:jc w:val="left"/>
      </w:pPr>
      <w:r>
        <w:rPr>
          <w:rFonts w:ascii="Courier New" w:cs="Courier New" w:eastAsia="Courier New" w:hAnsi="Courier New"/>
          <w:b/>
          <w:bCs/>
          <w:color w:val="1B2A4A"/>
          <w:sz w:val="18"/>
          <w:szCs w:val="18"/>
        </w:rPr>
        <w:t xml:space="preserve">§3.4.f  </w:t>
      </w:r>
      <w:r>
        <w:rPr>
          <w:rFonts w:ascii="Garamond" w:cs="Garamond" w:eastAsia="Garamond" w:hAnsi="Garamond"/>
          <w:b/>
          <w:bCs/>
          <w:i w:val="false"/>
          <w:iCs w:val="false"/>
          <w:color w:val="1B2A4A"/>
          <w:sz w:val="22"/>
          <w:szCs w:val="22"/>
        </w:rPr>
        <w:t xml:space="preserve">District Vacancy</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House district seat falls vacant mid-term, the Electoral Commission administers a special election within 90 days. The replacement serves only the remainder of the original term. If fewer than 90 days remain in the term, the vacancy is not filled.</w:t>
      </w:r>
    </w:p>
    <w:p>
      <w:pPr>
        <w:spacing w:after="60" w:before="200"/>
        <w:ind w:left="431"/>
        <w:jc w:val="left"/>
      </w:pPr>
      <w:r>
        <w:rPr>
          <w:rFonts w:ascii="Courier New" w:cs="Courier New" w:eastAsia="Courier New" w:hAnsi="Courier New"/>
          <w:b/>
          <w:bCs/>
          <w:color w:val="1B2A4A"/>
          <w:sz w:val="18"/>
          <w:szCs w:val="18"/>
        </w:rPr>
        <w:t xml:space="preserve">§3.4.g  </w:t>
      </w:r>
      <w:r>
        <w:rPr>
          <w:rFonts w:ascii="Garamond" w:cs="Garamond" w:eastAsia="Garamond" w:hAnsi="Garamond"/>
          <w:b/>
          <w:bCs/>
          <w:i w:val="false"/>
          <w:iCs w:val="false"/>
          <w:color w:val="1B2A4A"/>
          <w:sz w:val="22"/>
          <w:szCs w:val="22"/>
        </w:rPr>
        <w:t xml:space="preserve">Redistricting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State submissions, LI analyses, and interim maps must be published to the NRS throughout the redistricting process. Citizens have the right to submit commentary to the LI during the review period. Redistricting decisions are judicially reviewable under §4.3.</w:t>
      </w:r>
    </w:p>
    <w:p>
      <w:pPr>
        <w:spacing w:after="60" w:before="200"/>
        <w:ind w:left="431"/>
        <w:jc w:val="left"/>
      </w:pPr>
      <w:r>
        <w:rPr>
          <w:rFonts w:ascii="Courier New" w:cs="Courier New" w:eastAsia="Courier New" w:hAnsi="Courier New"/>
          <w:b/>
          <w:bCs/>
          <w:color w:val="1B2A4A"/>
          <w:sz w:val="18"/>
          <w:szCs w:val="18"/>
        </w:rPr>
        <w:t xml:space="preserve">§3.4.h  </w:t>
      </w:r>
      <w:r>
        <w:rPr>
          <w:rFonts w:ascii="Garamond" w:cs="Garamond" w:eastAsia="Garamond" w:hAnsi="Garamond"/>
          <w:b/>
          <w:bCs/>
          <w:i w:val="false"/>
          <w:iCs w:val="false"/>
          <w:color w:val="1B2A4A"/>
          <w:sz w:val="22"/>
          <w:szCs w:val="22"/>
        </w:rPr>
        <w:t xml:space="preserve">Redistricting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citizen, State government, or parliamentary minority of 1/3 may challenge a proposed district map by petitioning the SC within the 60-day review period after LI compliance certification. The Court reviews whether criteria were correctly applied — not whether a different map would have been better.</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House — Composition and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of Representatives is structured and administered as established in this section and §3.1.</w:t>
      </w:r>
    </w:p>
    <w:p>
      <w:pPr>
        <w:spacing w:after="60" w:before="200"/>
        <w:ind w:left="431"/>
        <w:jc w:val="left"/>
      </w:pPr>
      <w:r>
        <w:rPr>
          <w:rFonts w:ascii="Courier New" w:cs="Courier New" w:eastAsia="Courier New" w:hAnsi="Courier New"/>
          <w:b/>
          <w:bCs/>
          <w:color w:val="1B2A4A"/>
          <w:sz w:val="18"/>
          <w:szCs w:val="18"/>
        </w:rPr>
        <w:t xml:space="preserve">§3.5.a  </w:t>
      </w:r>
      <w:r>
        <w:rPr>
          <w:rFonts w:ascii="Garamond" w:cs="Garamond" w:eastAsia="Garamond" w:hAnsi="Garamond"/>
          <w:b/>
          <w:bCs/>
          <w:i w:val="false"/>
          <w:iCs w:val="false"/>
          <w:color w:val="1B2A4A"/>
          <w:sz w:val="22"/>
          <w:szCs w:val="22"/>
        </w:rPr>
        <w:t xml:space="preserve">House Membership Formula</w:t>
      </w:r>
    </w:p>
    <w:p>
      <w:pPr>
        <w:spacing w:after="120" w:before="0"/>
        <w:ind w:left="431"/>
        <w:jc w:val="both"/>
      </w:pPr>
      <w:r>
        <w:rPr>
          <w:rFonts w:ascii="Garamond" w:cs="Garamond" w:eastAsia="Garamond" w:hAnsi="Garamond"/>
          <w:b w:val="false"/>
          <w:bCs w:val="false"/>
          <w:i w:val="false"/>
          <w:iCs w:val="false"/>
          <w:color w:val="2a2520"/>
          <w:sz w:val="22"/>
          <w:szCs w:val="22"/>
        </w:rPr>
        <w:t xml:space="preserve">Seat allocation follows the Webster method defined in §3.1.a. Where a reapportionment event creates or eliminates seats, the EC coordinates with affected States on district boundary adjustments before the next general election. The LI resolves any dispute between States about seat allocation methodology.</w:t>
      </w:r>
    </w:p>
    <w:p>
      <w:pPr>
        <w:spacing w:after="60" w:before="200"/>
        <w:ind w:left="431"/>
        <w:jc w:val="left"/>
      </w:pPr>
      <w:r>
        <w:rPr>
          <w:rFonts w:ascii="Courier New" w:cs="Courier New" w:eastAsia="Courier New" w:hAnsi="Courier New"/>
          <w:b/>
          <w:bCs/>
          <w:color w:val="1B2A4A"/>
          <w:sz w:val="18"/>
          <w:szCs w:val="18"/>
        </w:rPr>
        <w:t xml:space="preserve">§3.5.b  </w:t>
      </w:r>
      <w:r>
        <w:rPr>
          <w:rFonts w:ascii="Garamond" w:cs="Garamond" w:eastAsia="Garamond" w:hAnsi="Garamond"/>
          <w:b/>
          <w:bCs/>
          <w:i w:val="false"/>
          <w:iCs w:val="false"/>
          <w:color w:val="1B2A4A"/>
          <w:sz w:val="22"/>
          <w:szCs w:val="22"/>
        </w:rPr>
        <w:t xml:space="preserve">House Speaker</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Elected by the House from among its members by absolute majority. Presides over House proceedings, manages the legislative calendar, and holds Acting Presidential Authority in the Presidential succession chain. The Speaker's dual role — legislative and succession — keeps the succession line within the elected legislative class.</w:t>
      </w:r>
    </w:p>
    <w:p>
      <w:pPr>
        <w:spacing w:after="60" w:before="200"/>
        <w:ind w:left="431"/>
        <w:jc w:val="left"/>
      </w:pPr>
      <w:r>
        <w:rPr>
          <w:rFonts w:ascii="Courier New" w:cs="Courier New" w:eastAsia="Courier New" w:hAnsi="Courier New"/>
          <w:b/>
          <w:bCs/>
          <w:color w:val="1B2A4A"/>
          <w:sz w:val="18"/>
          <w:szCs w:val="18"/>
        </w:rPr>
        <w:t xml:space="preserve">§3.5.d  </w:t>
      </w:r>
      <w:r>
        <w:rPr>
          <w:rFonts w:ascii="Garamond" w:cs="Garamond" w:eastAsia="Garamond" w:hAnsi="Garamond"/>
          <w:b/>
          <w:bCs/>
          <w:i w:val="false"/>
          <w:iCs w:val="false"/>
          <w:color w:val="1B2A4A"/>
          <w:sz w:val="22"/>
          <w:szCs w:val="22"/>
        </w:rPr>
        <w:t xml:space="preserve">House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full seated House membership constitutes a quorum for ordinary business. The Speaker may compel attendance of absent members by warrant. No vote that requires an absolute majority of full membership may be held without quorum.</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Legislative Oversight and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operates under continuous Inspectorate oversight — the Inspectorates publish findings but do not direct legislative outcomes.</w:t>
      </w:r>
    </w:p>
    <w:p>
      <w:pPr>
        <w:spacing w:after="60" w:before="200"/>
        <w:ind w:left="431"/>
        <w:jc w:val="left"/>
      </w:pPr>
      <w:r>
        <w:rPr>
          <w:rFonts w:ascii="Courier New" w:cs="Courier New" w:eastAsia="Courier New" w:hAnsi="Courier New"/>
          <w:b/>
          <w:bCs/>
          <w:color w:val="1B2A4A"/>
          <w:sz w:val="18"/>
          <w:szCs w:val="18"/>
        </w:rPr>
        <w:t xml:space="preserve">§3.6.a  </w:t>
      </w:r>
      <w:r>
        <w:rPr>
          <w:rFonts w:ascii="Garamond" w:cs="Garamond" w:eastAsia="Garamond" w:hAnsi="Garamond"/>
          <w:b/>
          <w:bCs/>
          <w:i w:val="false"/>
          <w:iCs w:val="false"/>
          <w:color w:val="1B2A4A"/>
          <w:sz w:val="22"/>
          <w:szCs w:val="22"/>
        </w:rPr>
        <w:t xml:space="preserve">Inspectorate Access to Legislative Records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full access to legislative records, committee deliberations, voting records, and draft legislation. The Legislature may not classify records from the Inspectorates.</w:t>
      </w:r>
    </w:p>
    <w:p>
      <w:pPr>
        <w:spacing w:after="60" w:before="200"/>
        <w:ind w:left="431"/>
        <w:jc w:val="left"/>
      </w:pPr>
      <w:r>
        <w:rPr>
          <w:rFonts w:ascii="Courier New" w:cs="Courier New" w:eastAsia="Courier New" w:hAnsi="Courier New"/>
          <w:b/>
          <w:bCs/>
          <w:color w:val="1B2A4A"/>
          <w:sz w:val="18"/>
          <w:szCs w:val="18"/>
        </w:rPr>
        <w:t xml:space="preserve">§3.6.b  </w:t>
      </w:r>
      <w:r>
        <w:rPr>
          <w:rFonts w:ascii="Garamond" w:cs="Garamond" w:eastAsia="Garamond" w:hAnsi="Garamond"/>
          <w:b/>
          <w:bCs/>
          <w:i w:val="false"/>
          <w:iCs w:val="false"/>
          <w:color w:val="1B2A4A"/>
          <w:sz w:val="22"/>
          <w:szCs w:val="22"/>
        </w:rPr>
        <w:t xml:space="preserve">LI Pre-Passage Constitutional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publishes a constitutional analysis of any bill that appears to conflict with a constitutional provision, before the bill reaches a final vote. Advisory, not blocking — but creates a permanent NRS record that any member voting for the bill voted with full knowledge of the constitutional concern.</w:t>
      </w:r>
    </w:p>
    <w:p>
      <w:pPr>
        <w:spacing w:after="60" w:before="200"/>
        <w:ind w:left="431"/>
        <w:jc w:val="left"/>
      </w:pPr>
      <w:r>
        <w:rPr>
          <w:rFonts w:ascii="Courier New" w:cs="Courier New" w:eastAsia="Courier New" w:hAnsi="Courier New"/>
          <w:b/>
          <w:bCs/>
          <w:color w:val="1B2A4A"/>
          <w:sz w:val="18"/>
          <w:szCs w:val="18"/>
        </w:rPr>
        <w:t xml:space="preserve">§3.6.c  </w:t>
      </w:r>
      <w:r>
        <w:rPr>
          <w:rFonts w:ascii="Garamond" w:cs="Garamond" w:eastAsia="Garamond" w:hAnsi="Garamond"/>
          <w:b/>
          <w:bCs/>
          <w:i w:val="false"/>
          <w:iCs w:val="false"/>
          <w:color w:val="1B2A4A"/>
          <w:sz w:val="22"/>
          <w:szCs w:val="22"/>
        </w:rPr>
        <w:t xml:space="preserve">Committee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chambers must maintain standing committees for their constitutionally assigned functions. Committees may not be abolished while they hold a constitutional mandate. The LI audits committee operations annually.</w:t>
      </w:r>
    </w:p>
    <w:p>
      <w:pPr>
        <w:spacing w:after="60" w:before="200"/>
        <w:ind w:left="431"/>
        <w:jc w:val="left"/>
      </w:pPr>
      <w:r>
        <w:rPr>
          <w:rFonts w:ascii="Courier New" w:cs="Courier New" w:eastAsia="Courier New" w:hAnsi="Courier New"/>
          <w:b/>
          <w:bCs/>
          <w:color w:val="1B2A4A"/>
          <w:sz w:val="18"/>
          <w:szCs w:val="18"/>
        </w:rPr>
        <w:t xml:space="preserve">§3.6.d  </w:t>
      </w:r>
      <w:r>
        <w:rPr>
          <w:rFonts w:ascii="Garamond" w:cs="Garamond" w:eastAsia="Garamond" w:hAnsi="Garamond"/>
          <w:b/>
          <w:bCs/>
          <w:i w:val="false"/>
          <w:iCs w:val="false"/>
          <w:color w:val="1B2A4A"/>
          <w:sz w:val="22"/>
          <w:szCs w:val="22"/>
        </w:rPr>
        <w:t xml:space="preserve">Joint Sessions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two chambers may meet in joint session for constitutionally enumerated purposes: receiving Presidential addresses, certifying election results, and voting on constitutional amendments under Path A. Joint sessions do not allow mixing of the chambers' distinct functions.</w:t>
      </w:r>
    </w:p>
    <w:p>
      <w:pPr>
        <w:spacing w:after="60" w:before="200"/>
        <w:ind w:left="431"/>
        <w:jc w:val="left"/>
      </w:pPr>
      <w:r>
        <w:rPr>
          <w:rFonts w:ascii="Courier New" w:cs="Courier New" w:eastAsia="Courier New" w:hAnsi="Courier New"/>
          <w:b/>
          <w:bCs/>
          <w:color w:val="1B2A4A"/>
          <w:sz w:val="18"/>
          <w:szCs w:val="18"/>
        </w:rPr>
        <w:t xml:space="preserve">§3.6.e  </w:t>
      </w:r>
      <w:r>
        <w:rPr>
          <w:rFonts w:ascii="Garamond" w:cs="Garamond" w:eastAsia="Garamond" w:hAnsi="Garamond"/>
          <w:b/>
          <w:bCs/>
          <w:i w:val="false"/>
          <w:iCs w:val="false"/>
          <w:color w:val="1B2A4A"/>
          <w:sz w:val="22"/>
          <w:szCs w:val="22"/>
        </w:rPr>
        <w:t xml:space="preserve">Legislative Ethics and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a joint ethics committee with authority to sanction, suspend (not remove), or refer members to the EI for investigation. Removal requires a 2/3 vote of the relevant chamber following a published EI finding — the ethics committee cannot remove members, only the full chamber can.</w:t>
      </w:r>
    </w:p>
    <w:p>
      <w:pPr>
        <w:spacing w:after="60" w:before="200"/>
        <w:ind w:left="431"/>
        <w:jc w:val="left"/>
      </w:pPr>
      <w:r>
        <w:rPr>
          <w:rFonts w:ascii="Courier New" w:cs="Courier New" w:eastAsia="Courier New" w:hAnsi="Courier New"/>
          <w:b/>
          <w:bCs/>
          <w:color w:val="1B2A4A"/>
          <w:sz w:val="18"/>
          <w:szCs w:val="18"/>
        </w:rPr>
        <w:t xml:space="preserve">§3.6.f  </w:t>
      </w:r>
      <w:r>
        <w:rPr>
          <w:rFonts w:ascii="Garamond" w:cs="Garamond" w:eastAsia="Garamond" w:hAnsi="Garamond"/>
          <w:b/>
          <w:bCs/>
          <w:i w:val="false"/>
          <w:iCs w:val="false"/>
          <w:color w:val="1B2A4A"/>
          <w:sz w:val="22"/>
          <w:szCs w:val="22"/>
        </w:rPr>
        <w:t xml:space="preserve">Legislative Privilege</w:t>
      </w:r>
    </w:p>
    <w:p>
      <w:pPr>
        <w:spacing w:after="120" w:before="0"/>
        <w:ind w:left="431"/>
        <w:jc w:val="both"/>
      </w:pPr>
      <w:r>
        <w:rPr>
          <w:rFonts w:ascii="Garamond" w:cs="Garamond" w:eastAsia="Garamond" w:hAnsi="Garamond"/>
          <w:b w:val="false"/>
          <w:bCs w:val="false"/>
          <w:i w:val="false"/>
          <w:iCs w:val="false"/>
          <w:color w:val="2a2520"/>
          <w:sz w:val="22"/>
          <w:szCs w:val="22"/>
        </w:rPr>
        <w:t xml:space="preserve">Members are privileged from civil arrest and civil suit arising from acts performed in their legislative capacity: votes, speeches, committee testimony. This privilege does not extend to criminal conduct, conduct outside legislative functions, or conduct the EI has certified as a constitutional breach.</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Independent Statutory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authorizes a class of statutory officers who operate independently of both executives. Their independence is structural — fixed terms, appointment from a JI-maintained registry, and removal only on the grounds specified in enabling statute.</w:t>
      </w:r>
    </w:p>
    <w:p>
      <w:pPr>
        <w:spacing w:after="60" w:before="200"/>
        <w:ind w:left="431"/>
        <w:jc w:val="left"/>
      </w:pPr>
      <w:r>
        <w:rPr>
          <w:rFonts w:ascii="Courier New" w:cs="Courier New" w:eastAsia="Courier New" w:hAnsi="Courier New"/>
          <w:b/>
          <w:bCs/>
          <w:color w:val="1B2A4A"/>
          <w:sz w:val="18"/>
          <w:szCs w:val="18"/>
        </w:rPr>
        <w:t xml:space="preserve">§3.7.a  </w:t>
      </w:r>
      <w:r>
        <w:rPr>
          <w:rFonts w:ascii="Garamond" w:cs="Garamond" w:eastAsia="Garamond" w:hAnsi="Garamond"/>
          <w:b/>
          <w:bCs/>
          <w:i w:val="false"/>
          <w:iCs w:val="false"/>
          <w:color w:val="1B2A4A"/>
          <w:sz w:val="22"/>
          <w:szCs w:val="22"/>
        </w:rPr>
        <w:t xml:space="preserve">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Statutory Independent Officers — the constitution authorizes the Legislature to create independent statutory offices outside both executive domains. They exercise regulatory, quasi-judicial, or administrative functions with constitutional independence — neither executive may direct their operations.</w:t>
      </w:r>
    </w:p>
    <w:p>
      <w:pPr>
        <w:spacing w:after="60" w:before="200"/>
        <w:ind w:left="431"/>
        <w:jc w:val="left"/>
      </w:pPr>
      <w:r>
        <w:rPr>
          <w:rFonts w:ascii="Courier New" w:cs="Courier New" w:eastAsia="Courier New" w:hAnsi="Courier New"/>
          <w:b/>
          <w:bCs/>
          <w:color w:val="1B2A4A"/>
          <w:sz w:val="18"/>
          <w:szCs w:val="18"/>
        </w:rPr>
        <w:t xml:space="preserve">§3.7.b  </w:t>
      </w:r>
      <w:r>
        <w:rPr>
          <w:rFonts w:ascii="Garamond" w:cs="Garamond" w:eastAsia="Garamond" w:hAnsi="Garamond"/>
          <w:b/>
          <w:bCs/>
          <w:i w:val="false"/>
          <w:iCs w:val="false"/>
          <w:color w:val="1B2A4A"/>
          <w:sz w:val="22"/>
          <w:szCs w:val="22"/>
        </w:rPr>
        <w:t xml:space="preserve">Appointment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Registry and Nomination for Independent Officers — the JI maintains a registry of qualified candidates for each independent statutory office. The PM may only nominate from the registry. The EI reviews each nominee's disclosure record for factual accuracy before Senate confirmation. Prevents purely political appointments while preserving the PM's nomination discretion within the qualified pool.</w:t>
      </w:r>
    </w:p>
    <w:p>
      <w:pPr>
        <w:spacing w:after="60" w:before="200"/>
        <w:ind w:left="431"/>
        <w:jc w:val="left"/>
      </w:pPr>
      <w:r>
        <w:rPr>
          <w:rFonts w:ascii="Courier New" w:cs="Courier New" w:eastAsia="Courier New" w:hAnsi="Courier New"/>
          <w:b/>
          <w:bCs/>
          <w:color w:val="1B2A4A"/>
          <w:sz w:val="18"/>
          <w:szCs w:val="18"/>
        </w:rPr>
        <w:t xml:space="preserve">§3.7.c  </w:t>
      </w:r>
      <w:r>
        <w:rPr>
          <w:rFonts w:ascii="Garamond" w:cs="Garamond" w:eastAsia="Garamond" w:hAnsi="Garamond"/>
          <w:b/>
          <w:bCs/>
          <w:i w:val="false"/>
          <w:iCs w:val="false"/>
          <w:color w:val="1B2A4A"/>
          <w:sz w:val="22"/>
          <w:szCs w:val="22"/>
        </w:rPr>
        <w:t xml:space="preserve">Senate Confirmation of Independent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Confirmed by the Senate. Thresholds defined by the enabling statute within constitutional bounds. The Senate may not confirm an officer the EI has flagged for a material disclosure inaccuracy until the discrepancy is resolved.</w:t>
      </w:r>
    </w:p>
    <w:p>
      <w:pPr>
        <w:spacing w:after="60" w:before="200"/>
        <w:ind w:left="431"/>
        <w:jc w:val="left"/>
      </w:pPr>
      <w:r>
        <w:rPr>
          <w:rFonts w:ascii="Courier New" w:cs="Courier New" w:eastAsia="Courier New" w:hAnsi="Courier New"/>
          <w:b/>
          <w:bCs/>
          <w:color w:val="1B2A4A"/>
          <w:sz w:val="18"/>
          <w:szCs w:val="18"/>
        </w:rPr>
        <w:t xml:space="preserve">§3.7.d  </w:t>
      </w:r>
      <w:r>
        <w:rPr>
          <w:rFonts w:ascii="Garamond" w:cs="Garamond" w:eastAsia="Garamond" w:hAnsi="Garamond"/>
          <w:b/>
          <w:bCs/>
          <w:i w:val="false"/>
          <w:iCs w:val="false"/>
          <w:color w:val="1B2A4A"/>
          <w:sz w:val="22"/>
          <w:szCs w:val="22"/>
        </w:rPr>
        <w:t xml:space="preserve">Removal of Independent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Removal requires a for-cause finding. The EI must publish a factual finding before any removal vote. Removal is by 2/3 of both chambers simultaneously. Neither executive may remove a statutory independent officer unilaterally.</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may initiate impeachment proceedings against officers appointed to and serving in the President's executive domain, and against inferior court judges. The President is not subject to this section — presidential removal is governed exclusively by §2.10. The Prime Minister is not subject to this section — PM removal is governed exclusively by §2.3.a. Supreme Court justices are not subject to this section — SC removal is governed exclusively by §4.1.d. Legislative members are not subject to this section — their removal is governed exclusively by §3.6.</w:t>
      </w:r>
    </w:p>
    <w:p>
      <w:pPr>
        <w:spacing w:after="60" w:before="200"/>
        <w:ind w:left="431"/>
        <w:jc w:val="left"/>
      </w:pPr>
      <w:r>
        <w:rPr>
          <w:rFonts w:ascii="Courier New" w:cs="Courier New" w:eastAsia="Courier New" w:hAnsi="Courier New"/>
          <w:b/>
          <w:bCs/>
          <w:color w:val="1B2A4A"/>
          <w:sz w:val="18"/>
          <w:szCs w:val="18"/>
        </w:rPr>
        <w:t xml:space="preserve">§3.8.a  </w:t>
      </w:r>
      <w:r>
        <w:rPr>
          <w:rFonts w:ascii="Garamond" w:cs="Garamond" w:eastAsia="Garamond" w:hAnsi="Garamond"/>
          <w:b/>
          <w:bCs/>
          <w:i w:val="false"/>
          <w:iCs w:val="false"/>
          <w:color w:val="1B2A4A"/>
          <w:sz w:val="22"/>
          <w:szCs w:val="22"/>
        </w:rPr>
        <w:t xml:space="preserve">Impeachment Inquiry</w:t>
      </w:r>
    </w:p>
    <w:p>
      <w:pPr>
        <w:spacing w:after="120" w:before="0"/>
        <w:ind w:left="431"/>
        <w:jc w:val="both"/>
      </w:pPr>
      <w:r>
        <w:rPr>
          <w:rFonts w:ascii="Garamond" w:cs="Garamond" w:eastAsia="Garamond" w:hAnsi="Garamond"/>
          <w:b w:val="false"/>
          <w:bCs w:val="false"/>
          <w:i w:val="false"/>
          <w:iCs w:val="false"/>
          <w:color w:val="2a2520"/>
          <w:sz w:val="22"/>
          <w:szCs w:val="22"/>
        </w:rPr>
        <w:t xml:space="preserve">Any 1/3 minority of the House may open a formal impeachment inquiry. The inquiry is conducted by a House committee with findings published to the NRS. An inquiry carries no immediate consequences for the subject official. Inquiries lapse 120 days after opening if no Articles of Impeachment are filed.</w:t>
      </w:r>
    </w:p>
    <w:p>
      <w:pPr>
        <w:spacing w:after="60" w:before="200"/>
        <w:ind w:left="431"/>
        <w:jc w:val="left"/>
      </w:pPr>
      <w:r>
        <w:rPr>
          <w:rFonts w:ascii="Courier New" w:cs="Courier New" w:eastAsia="Courier New" w:hAnsi="Courier New"/>
          <w:b/>
          <w:bCs/>
          <w:color w:val="1B2A4A"/>
          <w:sz w:val="18"/>
          <w:szCs w:val="18"/>
        </w:rPr>
        <w:t xml:space="preserve">§3.8.b  </w:t>
      </w:r>
      <w:r>
        <w:rPr>
          <w:rFonts w:ascii="Garamond" w:cs="Garamond" w:eastAsia="Garamond" w:hAnsi="Garamond"/>
          <w:b/>
          <w:bCs/>
          <w:i w:val="false"/>
          <w:iCs w:val="false"/>
          <w:color w:val="1B2A4A"/>
          <w:sz w:val="22"/>
          <w:szCs w:val="22"/>
        </w:rPr>
        <w:t xml:space="preserve">Articles of 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House votes on Articles of Impeachment by absolute majority of full seated membership. Passage transmits the Articles immediately to the Senate and publishes them permanently to the NRS. The Articles must state specific grounds in plain language. The subject official continues in office pending the Senate trial. Impeachment proceedings and Inspectorate findings proceed concurrently on independent tracks; the more restrictive consequence applies where both converge.</w:t>
      </w:r>
    </w:p>
    <w:p>
      <w:pPr>
        <w:spacing w:after="60" w:before="200"/>
        <w:ind w:left="431"/>
        <w:jc w:val="left"/>
      </w:pPr>
      <w:r>
        <w:rPr>
          <w:rFonts w:ascii="Courier New" w:cs="Courier New" w:eastAsia="Courier New" w:hAnsi="Courier New"/>
          <w:b/>
          <w:bCs/>
          <w:color w:val="1B2A4A"/>
          <w:sz w:val="18"/>
          <w:szCs w:val="18"/>
        </w:rPr>
        <w:t xml:space="preserve">§3.8.c  </w:t>
      </w:r>
      <w:r>
        <w:rPr>
          <w:rFonts w:ascii="Garamond" w:cs="Garamond" w:eastAsia="Garamond" w:hAnsi="Garamond"/>
          <w:b/>
          <w:bCs/>
          <w:i w:val="false"/>
          <w:iCs w:val="false"/>
          <w:color w:val="1B2A4A"/>
          <w:sz w:val="22"/>
          <w:szCs w:val="22"/>
        </w:rPr>
        <w:t xml:space="preserve">Senate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presides over Senate impeachment trials without voting on the final removal question. Where the President is the subject of proceedings under §2.10, the most senior available Supreme Court justice presides under the same conditions. The trial is conducted in public and recorded on the NRS. Conviction and removal requires 2/3 of the full seated Senate membership. On conviction: removal is automatic and immediate; the Senate may additionally bar the convicted official from future federal office by simple majority vote; all criminal liability remains separately pursuable. Acquittal is final — no further impeachment proceedings on the same Articles and the same conduct may be initiated. An acquitted or convicted official retains all Article I rights.</w:t>
      </w:r>
    </w:p>
    <w:p>
      <w:pPr>
        <w:spacing w:after="60" w:before="200"/>
        <w:ind w:left="431"/>
        <w:jc w:val="left"/>
      </w:pPr>
      <w:r>
        <w:rPr>
          <w:rFonts w:ascii="Courier New" w:cs="Courier New" w:eastAsia="Courier New" w:hAnsi="Courier New"/>
          <w:b/>
          <w:bCs/>
          <w:color w:val="1B2A4A"/>
          <w:sz w:val="18"/>
          <w:szCs w:val="18"/>
        </w:rPr>
        <w:t xml:space="preserve">§3.8.d  </w:t>
      </w:r>
      <w:r>
        <w:rPr>
          <w:rFonts w:ascii="Garamond" w:cs="Garamond" w:eastAsia="Garamond" w:hAnsi="Garamond"/>
          <w:b/>
          <w:bCs/>
          <w:i w:val="false"/>
          <w:iCs w:val="false"/>
          <w:color w:val="1B2A4A"/>
          <w:sz w:val="22"/>
          <w:szCs w:val="22"/>
        </w:rPr>
        <w:t xml:space="preserve">Executive Continuity During 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Impeachment of an officer within the President's executive domain activates the relevant succession protocols for that officer's functions from the date the House passes Articles, pending the Senate trial's conclusion. The impeached official retains personal Article I rights but is relieved of executive authority pending the Senate trial.</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(fact-finding and evidence), Appellate Courts (rules compliance), and the Supreme Court (final constitutional authority). States may maintain specialized court structures by statute, provided any constitutional question arising in any proceeding may be referred to the Supreme Court by any party or by the presiding court of its own motion.</w:t>
      </w:r>
    </w:p>
    <w:p>
      <w:pPr>
        <w:spacing w:after="60" w:before="200"/>
        <w:ind w:left="431"/>
        <w:jc w:val="left"/>
      </w:pPr>
      <w:r>
        <w:rPr>
          <w:rFonts w:ascii="Courier New" w:cs="Courier New" w:eastAsia="Courier New" w:hAnsi="Courier New"/>
          <w:b/>
          <w:bCs/>
          <w:color w:val="1B2A4A"/>
          <w:sz w:val="18"/>
          <w:szCs w:val="18"/>
        </w:rPr>
        <w:t xml:space="preserve">§4.1.a  </w:t>
      </w:r>
      <w:r>
        <w:rPr>
          <w:rFonts w:ascii="Garamond" w:cs="Garamond" w:eastAsia="Garamond" w:hAnsi="Garamond"/>
          <w:b/>
          <w:bCs/>
          <w:i w:val="false"/>
          <w:iCs w:val="false"/>
          <w:color w:val="1B2A4A"/>
          <w:sz w:val="22"/>
          <w:szCs w:val="22"/>
        </w:rPr>
        <w:t xml:space="preserve">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alone may create or abolish inferior courts by statute — one of the few exclusively House powers. The Senate confirms the judges who sit on those courts (§4.1.b), but the existence and structure of the courts is a House matter. The House may also define the jurisdiction and rules of inferior courts by statute, subject to constitutional constraints on judicial independence.</w:t>
      </w:r>
    </w:p>
    <w:p>
      <w:pPr>
        <w:spacing w:after="60" w:before="200"/>
        <w:ind w:left="431"/>
        <w:jc w:val="left"/>
      </w:pPr>
      <w:r>
        <w:rPr>
          <w:rFonts w:ascii="Courier New" w:cs="Courier New" w:eastAsia="Courier New" w:hAnsi="Courier New"/>
          <w:b/>
          <w:bCs/>
          <w:color w:val="1B2A4A"/>
          <w:sz w:val="18"/>
          <w:szCs w:val="18"/>
        </w:rPr>
        <w:t xml:space="preserve">§4.1.b  </w:t>
      </w:r>
      <w:r>
        <w:rPr>
          <w:rFonts w:ascii="Garamond" w:cs="Garamond" w:eastAsia="Garamond" w:hAnsi="Garamond"/>
          <w:b/>
          <w:bCs/>
          <w:i w:val="false"/>
          <w:iCs w:val="false"/>
          <w:color w:val="1B2A4A"/>
          <w:sz w:val="22"/>
          <w:szCs w:val="22"/>
        </w:rPr>
        <w:t xml:space="preserve">Appointment of Inferior Courts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nominates inferior court judges within 90 days of a vacancy. The Senate confirms by a supermajority of 55–67% of full seated membership, as the Legislature defines by statute. Before the confirmation vote, the PM submits the nominee's disclosure record to the EI; the EI publishes its review before the vote. Where the PM fails to nominate within 90 days, the Senate may nominate directly. The confirmation period is prorated where nomination occurs late. No vacancy may remain unfilled beyond 180 days; Deemed Confirmation applies at that ceiling if no vote has been held.</w:t>
      </w:r>
    </w:p>
    <w:p>
      <w:pPr>
        <w:spacing w:after="60" w:before="200"/>
        <w:ind w:left="431"/>
        <w:jc w:val="left"/>
      </w:pPr>
      <w:r>
        <w:rPr>
          <w:rFonts w:ascii="Courier New" w:cs="Courier New" w:eastAsia="Courier New" w:hAnsi="Courier New"/>
          <w:b/>
          <w:bCs/>
          <w:color w:val="1B2A4A"/>
          <w:sz w:val="18"/>
          <w:szCs w:val="18"/>
        </w:rPr>
        <w:t xml:space="preserve">§4.1.c  </w:t>
      </w:r>
      <w:r>
        <w:rPr>
          <w:rFonts w:ascii="Garamond" w:cs="Garamond" w:eastAsia="Garamond" w:hAnsi="Garamond"/>
          <w:b/>
          <w:bCs/>
          <w:i w:val="false"/>
          <w:iCs w:val="false"/>
          <w:color w:val="1B2A4A"/>
          <w:sz w:val="22"/>
          <w:szCs w:val="22"/>
        </w:rPr>
        <w:t xml:space="preserve">Judicial Tenure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Inferior court judges, once commissioned, serve during good behavior with no fixed term. The Legislature may establish a maximum service age or maximum total service period (not less than 15 years from first commissioning), but may not create fixed-term appointments shorter than 15 years. Ensures judicial independence from political branches — a judge who must seek reappointment is not fully independent.</w:t>
      </w:r>
    </w:p>
    <w:p>
      <w:pPr>
        <w:spacing w:after="60" w:before="200"/>
        <w:ind w:left="431"/>
        <w:jc w:val="left"/>
      </w:pPr>
      <w:r>
        <w:rPr>
          <w:rFonts w:ascii="Courier New" w:cs="Courier New" w:eastAsia="Courier New" w:hAnsi="Courier New"/>
          <w:b/>
          <w:bCs/>
          <w:color w:val="1B2A4A"/>
          <w:sz w:val="18"/>
          <w:szCs w:val="18"/>
        </w:rPr>
        <w:t xml:space="preserve">§4.1.d  </w:t>
      </w:r>
      <w:r>
        <w:rPr>
          <w:rFonts w:ascii="Garamond" w:cs="Garamond" w:eastAsia="Garamond" w:hAnsi="Garamond"/>
          <w:b/>
          <w:bCs/>
          <w:i w:val="false"/>
          <w:iCs w:val="false"/>
          <w:color w:val="1B2A4A"/>
          <w:sz w:val="22"/>
          <w:szCs w:val="22"/>
        </w:rPr>
        <w:t xml:space="preserve">Judicial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Inferior court judges may be removed through three tracks: legislative removal by 2/3 of both chambers for constitutional breach or demonstrated incapacity; judicial discipline through a process the Legislature establishes by statute, subject to SC oversight; and criminal conviction for disqualifying offenses. The EI must publish a factual finding before any legislative removal vote.</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Open-Candidacy Judicial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Supreme Court justices are elected by national ranked-choice vote from an open pool of registered candidates. No political branch nominates, appoints, or confirms SC justices. Three justices are elected every four years under a staggered class system; each serves a single non-renewable 12-year term.</w:t>
      </w:r>
    </w:p>
    <w:p>
      <w:pPr>
        <w:spacing w:after="60" w:before="200"/>
        <w:ind w:left="431"/>
        <w:jc w:val="left"/>
      </w:pPr>
      <w:r>
        <w:rPr>
          <w:rFonts w:ascii="Courier New" w:cs="Courier New" w:eastAsia="Courier New" w:hAnsi="Courier New"/>
          <w:b/>
          <w:bCs/>
          <w:color w:val="1B2A4A"/>
          <w:sz w:val="18"/>
          <w:szCs w:val="18"/>
        </w:rPr>
        <w:t xml:space="preserve">§4.2.a  </w:t>
      </w:r>
      <w:r>
        <w:rPr>
          <w:rFonts w:ascii="Garamond" w:cs="Garamond" w:eastAsia="Garamond" w:hAnsi="Garamond"/>
          <w:b/>
          <w:bCs/>
          <w:i w:val="false"/>
          <w:iCs w:val="false"/>
          <w:color w:val="1B2A4A"/>
          <w:sz w:val="22"/>
          <w:szCs w:val="22"/>
        </w:rPr>
        <w:t xml:space="preserve">Candidate Registration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citizen on the SC Candidate Registry (maintained by the JI under §8.4.e) may stand by filing a full disclosure record with the EI. The EI reviews within 14 days for factual accuracy — not to assess the quality of credentials. A candidate with a material inaccuracy is removed from the ballot; the EI publishes the grounds.</w:t>
      </w:r>
    </w:p>
    <w:p>
      <w:pPr>
        <w:spacing w:after="60" w:before="200"/>
        <w:ind w:left="431"/>
        <w:jc w:val="left"/>
      </w:pPr>
      <w:r>
        <w:rPr>
          <w:rFonts w:ascii="Courier New" w:cs="Courier New" w:eastAsia="Courier New" w:hAnsi="Courier New"/>
          <w:b/>
          <w:bCs/>
          <w:color w:val="1B2A4A"/>
          <w:sz w:val="18"/>
          <w:szCs w:val="18"/>
        </w:rPr>
        <w:t xml:space="preserve">§4.2.b  </w:t>
      </w:r>
      <w:r>
        <w:rPr>
          <w:rFonts w:ascii="Garamond" w:cs="Garamond" w:eastAsia="Garamond" w:hAnsi="Garamond"/>
          <w:b/>
          <w:bCs/>
          <w:i w:val="false"/>
          <w:iCs w:val="false"/>
          <w:color w:val="1B2A4A"/>
          <w:sz w:val="22"/>
          <w:szCs w:val="22"/>
        </w:rPr>
        <w:t xml:space="preserve">Judicial Selection Board</w:t>
      </w:r>
    </w:p>
    <w:p>
      <w:pPr>
        <w:spacing w:after="120" w:before="0"/>
        <w:ind w:left="431"/>
        <w:jc w:val="both"/>
      </w:pPr>
      <w:r>
        <w:rPr>
          <w:rFonts w:ascii="Garamond" w:cs="Garamond" w:eastAsia="Garamond" w:hAnsi="Garamond"/>
          <w:b w:val="false"/>
          <w:bCs w:val="false"/>
          <w:i w:val="false"/>
          <w:iCs w:val="false"/>
          <w:color w:val="2a2520"/>
          <w:sz w:val="22"/>
          <w:szCs w:val="22"/>
        </w:rPr>
        <w:t xml:space="preserve">Five senior judges (at least 10 years continuous service) chosen by lot by the JI from all eligible judges who are not themselves candidates. Advisory assessment of every candidate's judicial record, legal reasoning, and professional independence. Advisory only — no ballot access authority, no endorsement. Published no later than 60 days before the election.</w:t>
      </w:r>
    </w:p>
    <w:p>
      <w:pPr>
        <w:spacing w:after="60" w:before="200"/>
        <w:ind w:left="431"/>
        <w:jc w:val="left"/>
      </w:pPr>
      <w:r>
        <w:rPr>
          <w:rFonts w:ascii="Courier New" w:cs="Courier New" w:eastAsia="Courier New" w:hAnsi="Courier New"/>
          <w:b/>
          <w:bCs/>
          <w:color w:val="1B2A4A"/>
          <w:sz w:val="18"/>
          <w:szCs w:val="18"/>
        </w:rPr>
        <w:t xml:space="preserve">§4.2.c  </w:t>
      </w:r>
      <w:r>
        <w:rPr>
          <w:rFonts w:ascii="Garamond" w:cs="Garamond" w:eastAsia="Garamond" w:hAnsi="Garamond"/>
          <w:b/>
          <w:bCs/>
          <w:i w:val="false"/>
          <w:iCs w:val="false"/>
          <w:color w:val="1B2A4A"/>
          <w:sz w:val="22"/>
          <w:szCs w:val="22"/>
        </w:rPr>
        <w:t xml:space="preserve">Judicial Inspectorate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confirms that each candidate remains on the SC Candidate Registry and that no disqualifying change has occurred since Registry admission. Candidates who fail JI certification may appeal under §8.4.i.</w:t>
      </w:r>
    </w:p>
    <w:p>
      <w:pPr>
        <w:spacing w:after="60" w:before="200"/>
        <w:ind w:left="431"/>
        <w:jc w:val="left"/>
      </w:pPr>
      <w:r>
        <w:rPr>
          <w:rFonts w:ascii="Courier New" w:cs="Courier New" w:eastAsia="Courier New" w:hAnsi="Courier New"/>
          <w:b/>
          <w:bCs/>
          <w:color w:val="1B2A4A"/>
          <w:sz w:val="18"/>
          <w:szCs w:val="18"/>
        </w:rPr>
        <w:t xml:space="preserve">§4.2.d  </w:t>
      </w:r>
      <w:r>
        <w:rPr>
          <w:rFonts w:ascii="Garamond" w:cs="Garamond" w:eastAsia="Garamond" w:hAnsi="Garamond"/>
          <w:b/>
          <w:bCs/>
          <w:i w:val="false"/>
          <w:iCs w:val="false"/>
          <w:color w:val="1B2A4A"/>
          <w:sz w:val="22"/>
          <w:szCs w:val="22"/>
        </w:rPr>
        <w:t xml:space="preserve">Public 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RCV election administered by the Electoral Commission. All JI-certified candidates appear on the ballot. Winner achieves a national RCV majority. The EC certifies the result; the elected justice takes the Official Oath. Recorded on the NRS within 24 hours. From this moment, the justice serves a single non-renewable 12-year term.</w:t>
      </w:r>
    </w:p>
    <w:p>
      <w:pPr>
        <w:spacing w:after="60" w:before="200"/>
        <w:ind w:left="431"/>
        <w:jc w:val="left"/>
      </w:pPr>
      <w:r>
        <w:rPr>
          <w:rFonts w:ascii="Courier New" w:cs="Courier New" w:eastAsia="Courier New" w:hAnsi="Courier New"/>
          <w:b/>
          <w:bCs/>
          <w:color w:val="1B2A4A"/>
          <w:sz w:val="18"/>
          <w:szCs w:val="18"/>
        </w:rPr>
        <w:t xml:space="preserve">§4.2.e  </w:t>
      </w:r>
      <w:r>
        <w:rPr>
          <w:rFonts w:ascii="Garamond" w:cs="Garamond" w:eastAsia="Garamond" w:hAnsi="Garamond"/>
          <w:b/>
          <w:bCs/>
          <w:i w:val="false"/>
          <w:iCs w:val="false"/>
          <w:color w:val="1B2A4A"/>
          <w:sz w:val="22"/>
          <w:szCs w:val="22"/>
        </w:rPr>
        <w:t xml:space="preserve">Mid-Term Vacancies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vacancy triggers a special election within 180 days. The full open-candidacy process applies with compressed timelines: registration Day 30, EI review Day 60, Board assessment Day 90, JI certification Day 120, election Day 180. The replacement serves only the remainder of the original 12-year term — not a new full term.</w:t>
      </w:r>
    </w:p>
    <w:p>
      <w:pPr>
        <w:spacing w:after="60" w:before="200"/>
        <w:ind w:left="431"/>
        <w:jc w:val="left"/>
      </w:pPr>
      <w:r>
        <w:rPr>
          <w:rFonts w:ascii="Courier New" w:cs="Courier New" w:eastAsia="Courier New" w:hAnsi="Courier New"/>
          <w:b/>
          <w:bCs/>
          <w:color w:val="1B2A4A"/>
          <w:sz w:val="18"/>
          <w:szCs w:val="18"/>
        </w:rPr>
        <w:t xml:space="preserve">§4.2.f  </w:t>
      </w:r>
      <w:r>
        <w:rPr>
          <w:rFonts w:ascii="Garamond" w:cs="Garamond" w:eastAsia="Garamond" w:hAnsi="Garamond"/>
          <w:b/>
          <w:bCs/>
          <w:i w:val="false"/>
          <w:iCs w:val="false"/>
          <w:color w:val="1B2A4A"/>
          <w:sz w:val="22"/>
          <w:szCs w:val="22"/>
        </w:rPr>
        <w:t xml:space="preserve">Emergency Panel for Tier 1 Scope Challenges</w:t>
      </w:r>
    </w:p>
    <w:p>
      <w:pPr>
        <w:spacing w:after="120" w:before="0"/>
        <w:ind w:left="431"/>
        <w:jc w:val="both"/>
      </w:pPr>
      <w:r>
        <w:rPr>
          <w:rFonts w:ascii="Garamond" w:cs="Garamond" w:eastAsia="Garamond" w:hAnsi="Garamond"/>
          <w:b w:val="false"/>
          <w:bCs w:val="false"/>
          <w:i w:val="false"/>
          <w:iCs w:val="false"/>
          <w:color w:val="2a2520"/>
          <w:sz w:val="22"/>
          <w:szCs w:val="22"/>
        </w:rPr>
        <w:t xml:space="preserve">Four justices are drawn by rotation each 2-year cycle. Sole jurisdiction over constitutional challenges to Tier 1 presidential military authority during active operations. Must rule within 48 hours. Binding on the full Court unless overruled within 72 hours. Ensures SC oversight during active crisis without paralysis.</w:t>
      </w:r>
    </w:p>
    <w:p>
      <w:pPr>
        <w:spacing w:after="60" w:before="200"/>
        <w:ind w:left="431"/>
        <w:jc w:val="left"/>
      </w:pPr>
      <w:r>
        <w:rPr>
          <w:rFonts w:ascii="Courier New" w:cs="Courier New" w:eastAsia="Courier New" w:hAnsi="Courier New"/>
          <w:b/>
          <w:bCs/>
          <w:color w:val="1B2A4A"/>
          <w:sz w:val="18"/>
          <w:szCs w:val="18"/>
        </w:rPr>
        <w:t xml:space="preserve">§4.2.g  </w:t>
      </w:r>
      <w:r>
        <w:rPr>
          <w:rFonts w:ascii="Garamond" w:cs="Garamond" w:eastAsia="Garamond" w:hAnsi="Garamond"/>
          <w:b/>
          <w:bCs/>
          <w:i w:val="false"/>
          <w:iCs w:val="false"/>
          <w:color w:val="1B2A4A"/>
          <w:sz w:val="22"/>
          <w:szCs w:val="22"/>
        </w:rPr>
        <w:t xml:space="preserve">Vacancy Operating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most senior Appellate Court judge by continuous service is automatically designated as Temporary Associate Justice within 5 days of any SC vacancy, without nomination or confirmation. The Temporary Associate Justice holds a full vote in all cases and may not stand as a candidate for the seat they are temporarily filling. For purposes of this provision, "continuous service" means uninterrupted judicial commission without a break exceeding 90 days, calculated from the most recent judicial commission date; service across multiple courts without a gap exceeding 90 days counts as continuous service from the date of first commission.</w:t>
      </w:r>
    </w:p>
    <w:p>
      <w:pPr>
        <w:spacing w:after="60" w:before="200"/>
        <w:ind w:left="431"/>
        <w:jc w:val="left"/>
      </w:pPr>
      <w:r>
        <w:rPr>
          <w:rFonts w:ascii="Courier New" w:cs="Courier New" w:eastAsia="Courier New" w:hAnsi="Courier New"/>
          <w:b/>
          <w:bCs/>
          <w:color w:val="1B2A4A"/>
          <w:sz w:val="18"/>
          <w:szCs w:val="18"/>
        </w:rPr>
        <w:t xml:space="preserve">§4.2.h  </w:t>
      </w:r>
      <w:r>
        <w:rPr>
          <w:rFonts w:ascii="Garamond" w:cs="Garamond" w:eastAsia="Garamond" w:hAnsi="Garamond"/>
          <w:b/>
          <w:bCs/>
          <w:i w:val="false"/>
          <w:iCs w:val="false"/>
          <w:color w:val="1B2A4A"/>
          <w:sz w:val="22"/>
          <w:szCs w:val="22"/>
        </w:rPr>
        <w:t xml:space="preserve">Initial Class Assignment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At Phase 3, all nine seats are filled simultaneously, then assigned to three classes by public lot drawn by the JI. Class A: 4-year initial term. Class B: 8-year initial term. Class C: 12-year initial term. All subsequent terms: 12 years. The lot assignment is published to the NRS before any justice takes the oath. Three seats elected every 4 years thereafter.</w:t>
      </w:r>
    </w:p>
    <w:p>
      <w:pPr>
        <w:spacing w:after="60" w:before="200"/>
        <w:ind w:left="431"/>
        <w:jc w:val="left"/>
      </w:pPr>
      <w:r>
        <w:rPr>
          <w:rFonts w:ascii="Courier New" w:cs="Courier New" w:eastAsia="Courier New" w:hAnsi="Courier New"/>
          <w:b/>
          <w:bCs/>
          <w:color w:val="1B2A4A"/>
          <w:sz w:val="18"/>
          <w:szCs w:val="18"/>
        </w:rPr>
        <w:t xml:space="preserve">§4.2.i  </w:t>
      </w:r>
      <w:r>
        <w:rPr>
          <w:rFonts w:ascii="Garamond" w:cs="Garamond" w:eastAsia="Garamond" w:hAnsi="Garamond"/>
          <w:b/>
          <w:bCs/>
          <w:i w:val="false"/>
          <w:iCs w:val="false"/>
          <w:color w:val="1B2A4A"/>
          <w:sz w:val="22"/>
          <w:szCs w:val="22"/>
        </w:rPr>
        <w:t xml:space="preserve">Judicial Recusal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establish a recusal framework for Supreme Court justices within two years of Phase 4 activation. The framework must require recusal where a justice received material campaign support from any party to a pending case, or holds a financial interest in the outcome. A justice who fails to recuse under mandatory circumstances may be reported to the JI, which publishes its finding to the NRS. In the absence of a statutory framework two years after Phase 4 activation, a justice must recuse from any proceeding where their impartiality could reasonably be questioned by an informed observer with knowledge of the relevant facts. This default is self-executing; any party may petition for recusal and the determination is made by the remaining justices.</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Judicial Independence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act only on cases brought by a party with a concrete, articulable injury. Judges may not issue advisory opinions or preemptive rulings. All decisions altering legal status require full merits briefings and a published written decision. Judges apply the Constitution as written. Where the Constitution is silent, judges apply the principle most consistent with the Individual Sovereignty Floor and the separation of presidential and prime ministerial domains.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i w:val="false"/>
          <w:iCs w:val="false"/>
          <w:color w:val="1B2A4A"/>
          <w:sz w:val="22"/>
          <w:szCs w:val="22"/>
        </w:rPr>
        <w:t xml:space="preserve">Judicial Review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SC (and inferior courts within their jurisdictions) has authority to declare legislative acts, executive orders, and administrative decisions unconstitutional and void. No political actor may override a constitutional ruling. The SC identifies the constitutional defect; the Legislature may respond by enacting new legislation that addresses it.</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i w:val="false"/>
          <w:iCs w:val="false"/>
          <w:color w:val="1B2A4A"/>
          <w:sz w:val="22"/>
          <w:szCs w:val="22"/>
        </w:rPr>
        <w:t xml:space="preserve">Judicial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decide constitutional questions, not policy questions. The SC may not substitute its judgment for the Legislature's on policy matters — it may only determine whether the Legislature acted within its constitutional authority. A statute that is constitutionally permissible but poor policy is not the court's concern.</w:t>
      </w:r>
    </w:p>
    <w:p>
      <w:pPr>
        <w:spacing w:after="60" w:before="200"/>
        <w:ind w:left="431"/>
        <w:jc w:val="left"/>
      </w:pPr>
      <w:r>
        <w:rPr>
          <w:rFonts w:ascii="Courier New" w:cs="Courier New" w:eastAsia="Courier New" w:hAnsi="Courier New"/>
          <w:b/>
          <w:bCs/>
          <w:color w:val="1B2A4A"/>
          <w:sz w:val="18"/>
          <w:szCs w:val="18"/>
        </w:rPr>
        <w:t xml:space="preserve">§4.3.c  </w:t>
      </w:r>
      <w:r>
        <w:rPr>
          <w:rFonts w:ascii="Garamond" w:cs="Garamond" w:eastAsia="Garamond" w:hAnsi="Garamond"/>
          <w:b/>
          <w:bCs/>
          <w:i w:val="false"/>
          <w:iCs w:val="false"/>
          <w:color w:val="1B2A4A"/>
          <w:sz w:val="22"/>
          <w:szCs w:val="22"/>
        </w:rPr>
        <w:t xml:space="preserve">Statutory Interpretation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apply statutes to specific cases and resolve ambiguities. Where a statute is ambiguous, courts apply the interpretation most consistent with the constitution. Courts may not rewrite clear statutory language to produce a preferred outcome — they interpret, they do not legislate.</w:t>
      </w:r>
    </w:p>
    <w:p>
      <w:pPr>
        <w:spacing w:after="60" w:before="200"/>
        <w:ind w:left="431"/>
        <w:jc w:val="left"/>
      </w:pPr>
      <w:r>
        <w:rPr>
          <w:rFonts w:ascii="Courier New" w:cs="Courier New" w:eastAsia="Courier New" w:hAnsi="Courier New"/>
          <w:b/>
          <w:bCs/>
          <w:color w:val="1B2A4A"/>
          <w:sz w:val="18"/>
          <w:szCs w:val="18"/>
        </w:rPr>
        <w:t xml:space="preserve">§4.3.d  </w:t>
      </w:r>
      <w:r>
        <w:rPr>
          <w:rFonts w:ascii="Garamond" w:cs="Garamond" w:eastAsia="Garamond" w:hAnsi="Garamond"/>
          <w:b/>
          <w:bCs/>
          <w:i w:val="false"/>
          <w:iCs w:val="false"/>
          <w:color w:val="1B2A4A"/>
          <w:sz w:val="22"/>
          <w:szCs w:val="22"/>
        </w:rPr>
        <w:t xml:space="preserve">Original Jurisdiction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SC has original (first-instance) jurisdiction over constitutional disputes between States, between a State and the federal government, and over challenges to the constitutional validity of a federal statute brought within 90 days of enactment. Certain cases bypass all lower courts and go directly to the SC — cases where a lower court ruling would create a patchwork of inconsistent constitutional interpretations.</w:t>
      </w:r>
    </w:p>
    <w:p>
      <w:pPr>
        <w:spacing w:after="60" w:before="200"/>
        <w:ind w:left="431"/>
        <w:jc w:val="left"/>
      </w:pPr>
      <w:r>
        <w:rPr>
          <w:rFonts w:ascii="Courier New" w:cs="Courier New" w:eastAsia="Courier New" w:hAnsi="Courier New"/>
          <w:b/>
          <w:bCs/>
          <w:color w:val="1B2A4A"/>
          <w:sz w:val="18"/>
          <w:szCs w:val="18"/>
        </w:rPr>
        <w:t xml:space="preserve">§4.3.e  </w:t>
      </w:r>
      <w:r>
        <w:rPr>
          <w:rFonts w:ascii="Garamond" w:cs="Garamond" w:eastAsia="Garamond" w:hAnsi="Garamond"/>
          <w:b/>
          <w:bCs/>
          <w:i w:val="false"/>
          <w:iCs w:val="false"/>
          <w:color w:val="1B2A4A"/>
          <w:sz w:val="22"/>
          <w:szCs w:val="22"/>
        </w:rPr>
        <w:t xml:space="preserve">Inspectorate Findings in Constitutional Proceedings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NRS findings published by the LI, EI, or JI are admissible as authoritative factual evidence in judicial proceedings. Courts must address any inconsistency between their factual findings and a prior Inspectorate finding in written decisions. Inspectorate findings are not judicial determinations — courts retain full authority to reach different factual conclusions — but must explain why.</w:t>
      </w:r>
    </w:p>
    <w:p>
      <w:pPr>
        <w:spacing w:after="60" w:before="200"/>
        <w:ind w:left="431"/>
        <w:jc w:val="left"/>
      </w:pPr>
      <w:r>
        <w:rPr>
          <w:rFonts w:ascii="Courier New" w:cs="Courier New" w:eastAsia="Courier New" w:hAnsi="Courier New"/>
          <w:b/>
          <w:bCs/>
          <w:color w:val="1B2A4A"/>
          <w:sz w:val="18"/>
          <w:szCs w:val="18"/>
        </w:rPr>
        <w:t xml:space="preserve">§4.3.f  </w:t>
      </w:r>
      <w:r>
        <w:rPr>
          <w:rFonts w:ascii="Garamond" w:cs="Garamond" w:eastAsia="Garamond" w:hAnsi="Garamond"/>
          <w:b/>
          <w:bCs/>
          <w:i w:val="false"/>
          <w:iCs w:val="false"/>
          <w:color w:val="1B2A4A"/>
          <w:sz w:val="22"/>
          <w:szCs w:val="22"/>
        </w:rPr>
        <w:t xml:space="preserve">Organizational Standing</w:t>
      </w:r>
    </w:p>
    <w:p>
      <w:pPr>
        <w:spacing w:after="120" w:before="0"/>
        <w:ind w:left="431"/>
        <w:jc w:val="both"/>
      </w:pPr>
      <w:r>
        <w:rPr>
          <w:rFonts w:ascii="Garamond" w:cs="Garamond" w:eastAsia="Garamond" w:hAnsi="Garamond"/>
          <w:b w:val="false"/>
          <w:bCs w:val="false"/>
          <w:i w:val="false"/>
          <w:iCs w:val="false"/>
          <w:color w:val="2a2520"/>
          <w:sz w:val="22"/>
          <w:szCs w:val="22"/>
        </w:rPr>
        <w:t xml:space="preserve">An organization may bring a constitutional claim on behalf of its members where: (a) at least one member would individually have standing; (b) the claim is germane to the organization's established constitutional purpose; and (c) neither the claim nor the relief sought requires the participation of individual members as named parties. The organization must identify at least one member with specific, articulable injury and publish that identification to the NRS concurrent with filing.</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Judgment Recognition and Authentication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The NRS is the authentication infrastructure for this cross-jurisdictional recognition.</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i w:val="false"/>
          <w:iCs w:val="false"/>
          <w:color w:val="1B2A4A"/>
          <w:sz w:val="22"/>
          <w:szCs w:val="22"/>
        </w:rPr>
        <w:t xml:space="preserve">Judicial Judgments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Non-recognition grounds are exhaustive: the issuing court lacked jurisdiction; the judgment was obtained by fraud; or enforcement would require an act the Legislature has defined as categorically unenforceable. These three grounds are the only bases on which a Republic court may decline to recognize a judgment valid in another jurisdiction. Any judgment contrary to Article I is void by operation of §15.6 and requires no separate non-recognition finding.</w:t>
      </w:r>
    </w:p>
    <w:p>
      <w:pPr>
        <w:spacing w:after="60" w:before="200"/>
        <w:ind w:left="431"/>
        <w:jc w:val="left"/>
      </w:pPr>
      <w:r>
        <w:rPr>
          <w:rFonts w:ascii="Courier New" w:cs="Courier New" w:eastAsia="Courier New" w:hAnsi="Courier New"/>
          <w:b/>
          <w:bCs/>
          <w:color w:val="1B2A4A"/>
          <w:sz w:val="18"/>
          <w:szCs w:val="18"/>
        </w:rPr>
        <w:t xml:space="preserve">§4.4.b  </w:t>
      </w:r>
      <w:r>
        <w:rPr>
          <w:rFonts w:ascii="Garamond" w:cs="Garamond" w:eastAsia="Garamond" w:hAnsi="Garamond"/>
          <w:b/>
          <w:bCs/>
          <w:i w:val="false"/>
          <w:iCs w:val="false"/>
          <w:color w:val="1B2A4A"/>
          <w:sz w:val="22"/>
          <w:szCs w:val="22"/>
        </w:rPr>
        <w:t xml:space="preserve">NRS Authentication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judgment, order, or status record published to the NRS is self-authenticating in any other State or Territory court. No re-certification, notarization, or further authentication required. Eliminates the multi-state authentication burden that historically delayed enforcement of out-of-state judgments.</w:t>
      </w:r>
    </w:p>
    <w:p>
      <w:pPr>
        <w:spacing w:after="60" w:before="200"/>
        <w:ind w:left="431"/>
        <w:jc w:val="left"/>
      </w:pPr>
      <w:r>
        <w:rPr>
          <w:rFonts w:ascii="Courier New" w:cs="Courier New" w:eastAsia="Courier New" w:hAnsi="Courier New"/>
          <w:b/>
          <w:bCs/>
          <w:color w:val="1B2A4A"/>
          <w:sz w:val="18"/>
          <w:szCs w:val="18"/>
        </w:rPr>
        <w:t xml:space="preserve">§4.4.c  </w:t>
      </w:r>
      <w:r>
        <w:rPr>
          <w:rFonts w:ascii="Garamond" w:cs="Garamond" w:eastAsia="Garamond" w:hAnsi="Garamond"/>
          <w:b/>
          <w:bCs/>
          <w:i w:val="false"/>
          <w:iCs w:val="false"/>
          <w:color w:val="1B2A4A"/>
          <w:sz w:val="22"/>
          <w:szCs w:val="22"/>
        </w:rPr>
        <w:t xml:space="preserve">Public Acts and Official Records</w:t>
      </w:r>
    </w:p>
    <w:p>
      <w:pPr>
        <w:spacing w:after="120" w:before="0"/>
        <w:ind w:left="431"/>
        <w:jc w:val="both"/>
      </w:pPr>
      <w:r>
        <w:rPr>
          <w:rFonts w:ascii="Garamond" w:cs="Garamond" w:eastAsia="Garamond" w:hAnsi="Garamond"/>
          <w:b w:val="false"/>
          <w:bCs w:val="false"/>
          <w:i w:val="false"/>
          <w:iCs w:val="false"/>
          <w:color w:val="2a2520"/>
          <w:sz w:val="22"/>
          <w:szCs w:val="22"/>
        </w:rPr>
        <w:t xml:space="preserve">Official records published to the NRS are self-authenticating — no re-certification is required for use in any legal or administrative proceeding. Professional licenses issued by any State or Territory receive recognition across all States and Territories. §1.13 governs any State departure from the recognition default.</w:t>
      </w:r>
    </w:p>
    <w:p>
      <w:pPr>
        <w:spacing w:after="60" w:before="200"/>
        <w:ind w:left="431"/>
        <w:jc w:val="left"/>
      </w:pPr>
      <w:r>
        <w:rPr>
          <w:rFonts w:ascii="Courier New" w:cs="Courier New" w:eastAsia="Courier New" w:hAnsi="Courier New"/>
          <w:b/>
          <w:bCs/>
          <w:color w:val="1B2A4A"/>
          <w:sz w:val="18"/>
          <w:szCs w:val="18"/>
        </w:rPr>
        <w:t xml:space="preserve">§4.4.d  </w:t>
      </w:r>
      <w:r>
        <w:rPr>
          <w:rFonts w:ascii="Garamond" w:cs="Garamond" w:eastAsia="Garamond" w:hAnsi="Garamond"/>
          <w:b/>
          <w:bCs/>
          <w:i w:val="false"/>
          <w:iCs w:val="false"/>
          <w:color w:val="1B2A4A"/>
          <w:sz w:val="22"/>
          <w:szCs w:val="22"/>
        </w:rPr>
        <w:t xml:space="preserve">Status Orders — Special Protections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Protective orders, custody determinations, and other status orders take immediate effect in every State and Territory upon publication to the NRS. No waiting period, no local re-registration.</w:t>
      </w:r>
    </w:p>
    <w:p>
      <w:pPr>
        <w:spacing w:after="60" w:before="200"/>
        <w:ind w:left="431"/>
        <w:jc w:val="left"/>
      </w:pPr>
      <w:r>
        <w:rPr>
          <w:rFonts w:ascii="Courier New" w:cs="Courier New" w:eastAsia="Courier New" w:hAnsi="Courier New"/>
          <w:b/>
          <w:bCs/>
          <w:color w:val="1B2A4A"/>
          <w:sz w:val="18"/>
          <w:szCs w:val="18"/>
        </w:rPr>
        <w:t xml:space="preserve">§4.4.e  </w:t>
      </w:r>
      <w:r>
        <w:rPr>
          <w:rFonts w:ascii="Garamond" w:cs="Garamond" w:eastAsia="Garamond" w:hAnsi="Garamond"/>
          <w:b/>
          <w:bCs/>
          <w:i w:val="false"/>
          <w:iCs w:val="false"/>
          <w:color w:val="1B2A4A"/>
          <w:sz w:val="22"/>
          <w:szCs w:val="22"/>
        </w:rPr>
        <w:t xml:space="preserve">Non-Discrimination in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or Territory may not discriminate in its recognition of another jurisdiction's judgments or records based on the nature of the parties, the subject matter, or the legal status recognized by the issuing jurisdiction. Recognition is mandatory; non-recognition grounds are exhaustive under §4.4.a.</w:t>
      </w:r>
    </w:p>
    <w:p>
      <w:pPr>
        <w:spacing w:after="60" w:before="200"/>
        <w:ind w:left="431"/>
        <w:jc w:val="left"/>
      </w:pPr>
      <w:r>
        <w:rPr>
          <w:rFonts w:ascii="Courier New" w:cs="Courier New" w:eastAsia="Courier New" w:hAnsi="Courier New"/>
          <w:b/>
          <w:bCs/>
          <w:color w:val="1B2A4A"/>
          <w:sz w:val="18"/>
          <w:szCs w:val="18"/>
        </w:rPr>
        <w:t xml:space="preserve">§4.4.f  </w:t>
      </w:r>
      <w:r>
        <w:rPr>
          <w:rFonts w:ascii="Garamond" w:cs="Garamond" w:eastAsia="Garamond" w:hAnsi="Garamond"/>
          <w:b/>
          <w:bCs/>
          <w:i w:val="false"/>
          <w:iCs w:val="false"/>
          <w:color w:val="1B2A4A"/>
          <w:sz w:val="22"/>
          <w:szCs w:val="22"/>
        </w:rPr>
        <w:t xml:space="preserve">Legislative Implementation Mandates</w:t>
      </w:r>
    </w:p>
    <w:p>
      <w:pPr>
        <w:spacing w:after="120" w:before="0"/>
        <w:ind w:left="431"/>
        <w:jc w:val="both"/>
      </w:pPr>
      <w:r>
        <w:rPr>
          <w:rFonts w:ascii="Garamond" w:cs="Garamond" w:eastAsia="Garamond" w:hAnsi="Garamond"/>
          <w:b w:val="false"/>
          <w:bCs w:val="false"/>
          <w:i w:val="false"/>
          <w:iCs w:val="false"/>
          <w:color w:val="2a2520"/>
          <w:sz w:val="22"/>
          <w:szCs w:val="22"/>
        </w:rPr>
        <w:t xml:space="preserve">A judgment is final for §4.4.a purposes if it is not subject to an automatic stay under the issuing jurisdiction's procedural law, regardless of whether an appeal is pending. The Legislature may refine the finality standard for specific categories but may not use pending-appeal status alone to block enforcement. The procedural framework mandate — filing forms, fee schedule, and enforcement timeline — is established by statute.</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the national median daily income rate, as the Legislature defines by statute. Unexcused refusal is subject to civil consequences the Legislature defines by statute. Jury service does not constitute forced labor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under the conditions of this section. Citizens hold the full rights established in Article I and are eligible to vote, hold office, and stand for election.</w:t>
      </w:r>
    </w:p>
    <w:p>
      <w:pPr>
        <w:spacing w:after="60" w:before="200"/>
        <w:ind w:left="431"/>
        <w:jc w:val="left"/>
      </w:pPr>
      <w:r>
        <w:rPr>
          <w:rFonts w:ascii="Courier New" w:cs="Courier New" w:eastAsia="Courier New" w:hAnsi="Courier New"/>
          <w:b/>
          <w:bCs/>
          <w:color w:val="1B2A4A"/>
          <w:sz w:val="18"/>
          <w:szCs w:val="18"/>
        </w:rPr>
        <w:t xml:space="preserve">§5.1.a  </w:t>
      </w:r>
      <w:r>
        <w:rPr>
          <w:rFonts w:ascii="Garamond" w:cs="Garamond" w:eastAsia="Garamond" w:hAnsi="Garamond"/>
          <w:b/>
          <w:bCs/>
          <w:i w:val="false"/>
          <w:iCs w:val="false"/>
          <w:color w:val="1B2A4A"/>
          <w:sz w:val="22"/>
          <w:szCs w:val="22"/>
        </w:rPr>
        <w:t xml:space="preserve">Inherent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is automatically a citizen at birth if at least one parent is a Citizen or Legal Resident at the time of birth. Statelessness prevention clause: where a child would otherwise be stateless, citizenship is granted regardless of parental status. No citizenship may be stripped from a natural-born citizen.</w:t>
      </w:r>
    </w:p>
    <w:p>
      <w:pPr>
        <w:spacing w:after="60" w:before="200"/>
        <w:ind w:left="431"/>
        <w:jc w:val="left"/>
      </w:pPr>
      <w:r>
        <w:rPr>
          <w:rFonts w:ascii="Courier New" w:cs="Courier New" w:eastAsia="Courier New" w:hAnsi="Courier New"/>
          <w:b/>
          <w:bCs/>
          <w:color w:val="1B2A4A"/>
          <w:sz w:val="18"/>
          <w:szCs w:val="18"/>
        </w:rPr>
        <w:t xml:space="preserve">§5.1.a.i  </w:t>
      </w:r>
      <w:r>
        <w:rPr>
          <w:rFonts w:ascii="Garamond" w:cs="Garamond" w:eastAsia="Garamond" w:hAnsi="Garamond"/>
          <w:b/>
          <w:bCs/>
          <w:i w:val="false"/>
          <w:iCs w:val="false"/>
          <w:color w:val="1B2A4A"/>
          <w:sz w:val="22"/>
          <w:szCs w:val="22"/>
        </w:rPr>
        <w:t xml:space="preserve">Statelessness Prevention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on Republic territory to parents holding neither Citizen nor Legal Resident status is an Inhabitant from birth, with full Article I protections and access to social state systems under §10.1. Where no country recognizes the child as a citizen, the Republic provides a determination process consistent with §6.4's protection principles — protection first, determination second. A child determined to hold no other citizenship is eligible for Legal Residency from birth, with all Inhabitant years counting toward the §5.1.c residency requirement. Where a parent or guardian who is the primary caregiver of a child granted Inhabitant status under this provision is subject to removal, the removal order is stayed pending resolution of the child's custodial arrangements under §5.3. The Republic may not execute removal where doing so would deprive an Inhabitant child of their primary caregiver without first establishing an alternative care arrangement.</w:t>
      </w:r>
    </w:p>
    <w:p>
      <w:pPr>
        <w:spacing w:after="60" w:before="200"/>
        <w:ind w:left="431"/>
        <w:jc w:val="left"/>
      </w:pPr>
      <w:r>
        <w:rPr>
          <w:rFonts w:ascii="Courier New" w:cs="Courier New" w:eastAsia="Courier New" w:hAnsi="Courier New"/>
          <w:b/>
          <w:bCs/>
          <w:color w:val="1B2A4A"/>
          <w:sz w:val="18"/>
          <w:szCs w:val="18"/>
        </w:rPr>
        <w:t xml:space="preserve">§5.1.b  </w:t>
      </w:r>
      <w:r>
        <w:rPr>
          <w:rFonts w:ascii="Garamond" w:cs="Garamond" w:eastAsia="Garamond" w:hAnsi="Garamond"/>
          <w:b/>
          <w:bCs/>
          <w:i w:val="false"/>
          <w:iCs w:val="false"/>
          <w:color w:val="1B2A4A"/>
          <w:sz w:val="22"/>
          <w:szCs w:val="22"/>
        </w:rPr>
        <w:t xml:space="preserve">Coming of Age</w:t>
      </w:r>
    </w:p>
    <w:p>
      <w:pPr>
        <w:spacing w:after="120" w:before="0"/>
        <w:ind w:left="431"/>
        <w:jc w:val="both"/>
      </w:pPr>
      <w:r>
        <w:rPr>
          <w:rFonts w:ascii="Garamond" w:cs="Garamond" w:eastAsia="Garamond" w:hAnsi="Garamond"/>
          <w:b w:val="false"/>
          <w:bCs w:val="false"/>
          <w:i w:val="false"/>
          <w:iCs w:val="false"/>
          <w:color w:val="2a2520"/>
          <w:sz w:val="22"/>
          <w:szCs w:val="22"/>
        </w:rPr>
        <w:t xml:space="preserve">Children of citizens are Inhabitants at birth with full Article I protections. Full citizenship rights — including the right to vote — activate at 18.</w:t>
      </w:r>
    </w:p>
    <w:p>
      <w:pPr>
        <w:spacing w:after="60" w:before="200"/>
        <w:ind w:left="431"/>
        <w:jc w:val="left"/>
      </w:pPr>
      <w:r>
        <w:rPr>
          <w:rFonts w:ascii="Courier New" w:cs="Courier New" w:eastAsia="Courier New" w:hAnsi="Courier New"/>
          <w:b/>
          <w:bCs/>
          <w:color w:val="1B2A4A"/>
          <w:sz w:val="18"/>
          <w:szCs w:val="18"/>
        </w:rPr>
        <w:t xml:space="preserve">§5.1.c  </w:t>
      </w:r>
      <w:r>
        <w:rPr>
          <w:rFonts w:ascii="Garamond" w:cs="Garamond" w:eastAsia="Garamond" w:hAnsi="Garamond"/>
          <w:b/>
          <w:bCs/>
          <w:i w:val="false"/>
          <w:iCs w:val="false"/>
          <w:color w:val="1B2A4A"/>
          <w:sz w:val="22"/>
          <w:szCs w:val="22"/>
        </w:rPr>
        <w:t xml:space="preserve">Naturalization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five continuous years of residency, a clean legal record, and passing the Constitutional Logic Test.</w:t>
      </w:r>
    </w:p>
    <w:p>
      <w:pPr>
        <w:spacing w:after="60" w:before="200"/>
        <w:ind w:left="431"/>
        <w:jc w:val="left"/>
      </w:pPr>
      <w:r>
        <w:rPr>
          <w:rFonts w:ascii="Courier New" w:cs="Courier New" w:eastAsia="Courier New" w:hAnsi="Courier New"/>
          <w:b/>
          <w:bCs/>
          <w:color w:val="1B2A4A"/>
          <w:sz w:val="18"/>
          <w:szCs w:val="18"/>
        </w:rPr>
        <w:t xml:space="preserve">§5.1.d  </w:t>
      </w:r>
      <w:r>
        <w:rPr>
          <w:rFonts w:ascii="Garamond" w:cs="Garamond" w:eastAsia="Garamond" w:hAnsi="Garamond"/>
          <w:b/>
          <w:bCs/>
          <w:i w:val="false"/>
          <w:iCs w:val="false"/>
          <w:color w:val="1B2A4A"/>
          <w:sz w:val="22"/>
          <w:szCs w:val="22"/>
        </w:rPr>
        <w:t xml:space="preserve">National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through honorable completion of military or national service — a service path that runs parallel to the residency path.</w:t>
      </w:r>
    </w:p>
    <w:p>
      <w:pPr>
        <w:spacing w:after="60" w:before="200"/>
        <w:ind w:left="431"/>
        <w:jc w:val="left"/>
      </w:pPr>
      <w:r>
        <w:rPr>
          <w:rFonts w:ascii="Courier New" w:cs="Courier New" w:eastAsia="Courier New" w:hAnsi="Courier New"/>
          <w:b/>
          <w:bCs/>
          <w:color w:val="1B2A4A"/>
          <w:sz w:val="18"/>
          <w:szCs w:val="18"/>
        </w:rPr>
        <w:t xml:space="preserve">§5.1.e  </w:t>
      </w:r>
      <w:r>
        <w:rPr>
          <w:rFonts w:ascii="Garamond" w:cs="Garamond" w:eastAsia="Garamond" w:hAnsi="Garamond"/>
          <w:b/>
          <w:bCs/>
          <w:i w:val="false"/>
          <w:iCs w:val="false"/>
          <w:color w:val="1B2A4A"/>
          <w:sz w:val="22"/>
          <w:szCs w:val="22"/>
        </w:rPr>
        <w:t xml:space="preserve">Citizenship Irrevocability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may not be revoked as punishment or for any reason once granted by birth or naturalization. The Republic may not manufacture statelessness as a punitive tool. See also §5.1.a.i, which ensures children born on Republic territory to undocumented parents cannot be left stateless by inaction.</w:t>
      </w:r>
    </w:p>
    <w:p>
      <w:pPr>
        <w:spacing w:after="60" w:before="200"/>
        <w:ind w:left="431"/>
        <w:jc w:val="left"/>
      </w:pPr>
      <w:r>
        <w:rPr>
          <w:rFonts w:ascii="Courier New" w:cs="Courier New" w:eastAsia="Courier New" w:hAnsi="Courier New"/>
          <w:b/>
          <w:bCs/>
          <w:color w:val="1B2A4A"/>
          <w:sz w:val="18"/>
          <w:szCs w:val="18"/>
        </w:rPr>
        <w:t xml:space="preserve">§5.1.f  </w:t>
      </w:r>
      <w:r>
        <w:rPr>
          <w:rFonts w:ascii="Garamond" w:cs="Garamond" w:eastAsia="Garamond" w:hAnsi="Garamond"/>
          <w:b/>
          <w:bCs/>
          <w:i w:val="false"/>
          <w:iCs w:val="false"/>
          <w:color w:val="1B2A4A"/>
          <w:sz w:val="22"/>
          <w:szCs w:val="22"/>
        </w:rPr>
        <w:t xml:space="preserve">Derivative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Prevents a parent's pre-Republic legal status from permanently cutting off their child's path to citizenship.</w:t>
      </w:r>
    </w:p>
    <w:p>
      <w:pPr>
        <w:spacing w:after="60" w:before="200"/>
        <w:ind w:left="431"/>
        <w:jc w:val="left"/>
      </w:pPr>
      <w:r>
        <w:rPr>
          <w:rFonts w:ascii="Courier New" w:cs="Courier New" w:eastAsia="Courier New" w:hAnsi="Courier New"/>
          <w:b/>
          <w:bCs/>
          <w:color w:val="1B2A4A"/>
          <w:sz w:val="18"/>
          <w:szCs w:val="18"/>
        </w:rPr>
        <w:t xml:space="preserve">§5.1.g  </w:t>
      </w:r>
      <w:r>
        <w:rPr>
          <w:rFonts w:ascii="Garamond" w:cs="Garamond" w:eastAsia="Garamond" w:hAnsi="Garamond"/>
          <w:b/>
          <w:bCs/>
          <w:i w:val="false"/>
          <w:iCs w:val="false"/>
          <w:color w:val="1B2A4A"/>
          <w:sz w:val="22"/>
          <w:szCs w:val="22"/>
        </w:rPr>
        <w:t xml:space="preserve">Accelerated Naturalization — Long-Term Pre-Ratification Residents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who resided continuously in the Republic's territory for five or more years immediately before Day Zero but did not hold predecessor voting rights — including persons disenfranchised by laws subsequently nullified under §19.2 — may apply for citizenship through an accelerated process the Legislature must establish within one year of Phase 4. The process must waive the CLT requirement and must be completed within 90 days of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access social state systems under §10.1, and participate in local elections where the Legislature authorizes. They hold all Article I rights as Inhabitants. What they lack that citizens hold: federal voting rights and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does not separate citizen children from their sole caregivers without providing for them.</w:t>
      </w:r>
    </w:p>
    <w:p>
      <w:pPr>
        <w:spacing w:after="60" w:before="200"/>
        <w:ind w:left="431"/>
        <w:jc w:val="left"/>
      </w:pPr>
      <w:r>
        <w:rPr>
          <w:rFonts w:ascii="Courier New" w:cs="Courier New" w:eastAsia="Courier New" w:hAnsi="Courier New"/>
          <w:b/>
          <w:bCs/>
          <w:color w:val="1B2A4A"/>
          <w:sz w:val="18"/>
          <w:szCs w:val="18"/>
        </w:rPr>
        <w:t xml:space="preserve">§5.4  </w:t>
      </w:r>
      <w:r>
        <w:rPr>
          <w:rFonts w:ascii="Garamond" w:cs="Garamond" w:eastAsia="Garamond" w:hAnsi="Garamond"/>
          <w:b/>
          <w:bCs/>
          <w:i w:val="false"/>
          <w:iCs w:val="false"/>
          <w:color w:val="1B2A4A"/>
          <w:sz w:val="22"/>
          <w:szCs w:val="22"/>
        </w:rPr>
        <w:t xml:space="preserve">The Constitutional Logic Test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CLT is required for earned citizenship through naturalization (§5.1.c) and national service (§5.1.d). It tests knowledge of constitutional principles and civic structure — not political opinions or cultural loyalty. The Senate deadlock rule (§5.4.c) ensures the existing test remains in force if the Legislature cannot agree on a new standard.</w:t>
      </w:r>
    </w:p>
    <w:p>
      <w:pPr>
        <w:spacing w:after="60" w:before="200"/>
        <w:ind w:left="431"/>
        <w:jc w:val="left"/>
      </w:pPr>
      <w:r>
        <w:rPr>
          <w:rFonts w:ascii="Courier New" w:cs="Courier New" w:eastAsia="Courier New" w:hAnsi="Courier New"/>
          <w:b/>
          <w:bCs/>
          <w:color w:val="1B2A4A"/>
          <w:sz w:val="18"/>
          <w:szCs w:val="18"/>
        </w:rPr>
        <w:t xml:space="preserve">§5.4.a  </w:t>
      </w:r>
      <w:r>
        <w:rPr>
          <w:rFonts w:ascii="Garamond" w:cs="Garamond" w:eastAsia="Garamond" w:hAnsi="Garamond"/>
          <w:b/>
          <w:bCs/>
          <w:i w:val="false"/>
          <w:iCs w:val="false"/>
          <w:color w:val="1B2A4A"/>
          <w:sz w:val="22"/>
          <w:szCs w:val="22"/>
        </w:rPr>
        <w:t xml:space="preserve">Senate Authority over the CLT Standard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CLT must assess knowledge sufficient to understand the structure, powers, limits, and rights established by this Constitution. Any statute reducing the CLT below this floor is void and any citizen may challenge it in court. The Senate sets the CLT standard by statute — raising it by simple majority of both chambers. Compliance with the constitutional floor is enforced by courts on challenge. Where the CLT Administrator position is vacant, the Judicial Inspectorate administers the CLT on an interim basis using the most recently published test version until a new Administrator is confirmed by the Senate.</w:t>
      </w:r>
    </w:p>
    <w:p>
      <w:pPr>
        <w:spacing w:after="60" w:before="200"/>
        <w:ind w:left="431"/>
        <w:jc w:val="left"/>
      </w:pPr>
      <w:r>
        <w:rPr>
          <w:rFonts w:ascii="Courier New" w:cs="Courier New" w:eastAsia="Courier New" w:hAnsi="Courier New"/>
          <w:b/>
          <w:bCs/>
          <w:color w:val="1B2A4A"/>
          <w:sz w:val="18"/>
          <w:szCs w:val="18"/>
        </w:rPr>
        <w:t xml:space="preserve">§5.4.b  </w:t>
      </w:r>
      <w:r>
        <w:rPr>
          <w:rFonts w:ascii="Garamond" w:cs="Garamond" w:eastAsia="Garamond" w:hAnsi="Garamond"/>
          <w:b/>
          <w:bCs/>
          <w:i w:val="false"/>
          <w:iCs w:val="false"/>
          <w:color w:val="1B2A4A"/>
          <w:sz w:val="22"/>
          <w:szCs w:val="22"/>
        </w:rPr>
        <w:t xml:space="preserve">CLT Administrator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Constitutional Logic Test is administered by a CLT Administrator nominated by the PM from a Candidate Register, confirmed by the Senate. Structural independence from partisan influence: the CLT process cannot be used to create barriers that track political outcomes.</w:t>
      </w:r>
    </w:p>
    <w:p>
      <w:pPr>
        <w:spacing w:after="60" w:before="200"/>
        <w:ind w:left="431"/>
        <w:jc w:val="left"/>
      </w:pPr>
      <w:r>
        <w:rPr>
          <w:rFonts w:ascii="Courier New" w:cs="Courier New" w:eastAsia="Courier New" w:hAnsi="Courier New"/>
          <w:b/>
          <w:bCs/>
          <w:color w:val="1B2A4A"/>
          <w:sz w:val="18"/>
          <w:szCs w:val="18"/>
        </w:rPr>
        <w:t xml:space="preserve">§5.4.c  </w:t>
      </w:r>
      <w:r>
        <w:rPr>
          <w:rFonts w:ascii="Garamond" w:cs="Garamond" w:eastAsia="Garamond" w:hAnsi="Garamond"/>
          <w:b/>
          <w:bCs/>
          <w:i w:val="false"/>
          <w:iCs w:val="false"/>
          <w:color w:val="1B2A4A"/>
          <w:sz w:val="22"/>
          <w:szCs w:val="22"/>
        </w:rPr>
        <w:t xml:space="preserve">Status Quo Maintenance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deadlock on CLT standard changes keeps the existing version in force.</w:t>
      </w:r>
    </w:p>
    <w:p>
      <w:pPr>
        <w:spacing w:after="60" w:before="200"/>
        <w:ind w:left="431"/>
        <w:jc w:val="left"/>
      </w:pPr>
      <w:r>
        <w:rPr>
          <w:rFonts w:ascii="Courier New" w:cs="Courier New" w:eastAsia="Courier New" w:hAnsi="Courier New"/>
          <w:b/>
          <w:bCs/>
          <w:color w:val="1B2A4A"/>
          <w:sz w:val="18"/>
          <w:szCs w:val="18"/>
        </w:rPr>
        <w:t xml:space="preserve">§5.5  </w:t>
      </w:r>
      <w:r>
        <w:rPr>
          <w:rFonts w:ascii="Garamond" w:cs="Garamond" w:eastAsia="Garamond" w:hAnsi="Garamond"/>
          <w:b/>
          <w:bCs/>
          <w:i w:val="false"/>
          <w:iCs w:val="false"/>
          <w:color w:val="1B2A4A"/>
          <w:sz w:val="22"/>
          <w:szCs w:val="22"/>
        </w:rPr>
        <w:t xml:space="preserve">Founding Generation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individuals holding voting rights on Day Zero of ratification are automatically granted full citizenship as founding members of the Republic, as established in §5.5.a.</w:t>
      </w:r>
    </w:p>
    <w:p>
      <w:pPr>
        <w:spacing w:after="60" w:before="200"/>
        <w:ind w:left="431"/>
        <w:jc w:val="left"/>
      </w:pPr>
      <w:r>
        <w:rPr>
          <w:rFonts w:ascii="Courier New" w:cs="Courier New" w:eastAsia="Courier New" w:hAnsi="Courier New"/>
          <w:b/>
          <w:bCs/>
          <w:color w:val="1B2A4A"/>
          <w:sz w:val="18"/>
          <w:szCs w:val="18"/>
        </w:rPr>
        <w:t xml:space="preserve">§5.5.a  </w:t>
      </w:r>
      <w:r>
        <w:rPr>
          <w:rFonts w:ascii="Garamond" w:cs="Garamond" w:eastAsia="Garamond" w:hAnsi="Garamond"/>
          <w:b/>
          <w:bCs/>
          <w:i w:val="false"/>
          <w:iCs w:val="false"/>
          <w:color w:val="1B2A4A"/>
          <w:sz w:val="22"/>
          <w:szCs w:val="22"/>
        </w:rPr>
        <w:t xml:space="preserve">Automatic Citizenship Grant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individuals holding voting rights on Day Zero of ratification are automatically granted full citizenship without testing or application. The Day Zero Grandfather Clause prevents the new Republic from immediately disenfranchising its existing population by requiring existing voters to re-qualify under new standards.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gates: Gate 1 (State sponsorship) and Gate 2 (federal certification). Legal residency requires passing both gates. Gate 1 is State acceptance — States retain discretion over whom they sponsor, but may not apply sponsorship criteria that violate §1.9. Gate 2 is the federal substantive assessment — national standards that no State can circumvent or expand beyond the four certified categories. The Legislature holds supreme authority over immigration standards and may set aggregate limits on total applications processed in any period, provided limits are applied without §1.9 discrimination. Asylum proceedings under §6.4 are explicitly exempt from the Gate 1 requirement — the right to claim and have determined a §1.28 asylum claim exists independently of the dual-gate system, and no State's refusal to sponsor can extinguish it.</w:t>
      </w:r>
    </w:p>
    <w:p>
      <w:pPr>
        <w:spacing w:after="60" w:before="200"/>
        <w:ind w:left="431"/>
        <w:jc w:val="left"/>
      </w:pPr>
      <w:r>
        <w:rPr>
          <w:rFonts w:ascii="Courier New" w:cs="Courier New" w:eastAsia="Courier New" w:hAnsi="Courier New"/>
          <w:b/>
          <w:bCs/>
          <w:color w:val="1B2A4A"/>
          <w:sz w:val="18"/>
          <w:szCs w:val="18"/>
        </w:rPr>
        <w:t xml:space="preserve">§6.1.a  </w:t>
      </w:r>
      <w:r>
        <w:rPr>
          <w:rFonts w:ascii="Garamond" w:cs="Garamond" w:eastAsia="Garamond" w:hAnsi="Garamond"/>
          <w:b/>
          <w:bCs/>
          <w:i w:val="false"/>
          <w:iCs w:val="false"/>
          <w:color w:val="1B2A4A"/>
          <w:sz w:val="22"/>
          <w:szCs w:val="22"/>
        </w:rPr>
        <w:t xml:space="preserve">Gate 1 — State Sponsorship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 sponsoring State certifies the applicant through its own vetting process and accepts notification obligations during the application period. During the application period the applicant must maintain a genuine connection to the sponsoring State — as the Legislature defines by statute — so that notification obligations remain practical rather than nominal and states cannot become purely formal sponsors for applicants who have no real connection to them. Residency credentials issued once both gates are cleared are federal credentials valid throughout the Republic. The sponsoring State's role and responsibilities end at issuance; the credentials are not tied to any State. The federal government may not penalise a State for declining to sponsor any particular applicant or category of applicant.</w:t>
      </w:r>
    </w:p>
    <w:p>
      <w:pPr>
        <w:spacing w:after="60" w:before="200"/>
        <w:ind w:left="431"/>
        <w:jc w:val="left"/>
      </w:pPr>
      <w:r>
        <w:rPr>
          <w:rFonts w:ascii="Courier New" w:cs="Courier New" w:eastAsia="Courier New" w:hAnsi="Courier New"/>
          <w:b/>
          <w:bCs/>
          <w:color w:val="1B2A4A"/>
          <w:sz w:val="18"/>
          <w:szCs w:val="18"/>
        </w:rPr>
        <w:t xml:space="preserve">§6.1.b  </w:t>
      </w:r>
      <w:r>
        <w:rPr>
          <w:rFonts w:ascii="Garamond" w:cs="Garamond" w:eastAsia="Garamond" w:hAnsi="Garamond"/>
          <w:b/>
          <w:bCs/>
          <w:i w:val="false"/>
          <w:iCs w:val="false"/>
          <w:color w:val="1B2A4A"/>
          <w:sz w:val="22"/>
          <w:szCs w:val="22"/>
        </w:rPr>
        <w:t xml:space="preserve">Gate 2 — Federal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certification covers four statutory categories: identity verification, criminal history, national security assessment, self-sufficiency or support guarantee. Cannot impose ideological screening or nationality-based quotas. Any denial must specify the precise ground in writing. National security denials published in redacted form protecting sources.</w:t>
      </w:r>
    </w:p>
    <w:p>
      <w:pPr>
        <w:spacing w:after="60" w:before="200"/>
        <w:ind w:left="431"/>
        <w:jc w:val="left"/>
      </w:pPr>
      <w:r>
        <w:rPr>
          <w:rFonts w:ascii="Courier New" w:cs="Courier New" w:eastAsia="Courier New" w:hAnsi="Courier New"/>
          <w:b/>
          <w:bCs/>
          <w:color w:val="1B2A4A"/>
          <w:sz w:val="18"/>
          <w:szCs w:val="18"/>
        </w:rPr>
        <w:t xml:space="preserve">§6.1.c  </w:t>
      </w:r>
      <w:r>
        <w:rPr>
          <w:rFonts w:ascii="Garamond" w:cs="Garamond" w:eastAsia="Garamond" w:hAnsi="Garamond"/>
          <w:b/>
          <w:bCs/>
          <w:i w:val="false"/>
          <w:iCs w:val="false"/>
          <w:color w:val="1B2A4A"/>
          <w:sz w:val="22"/>
          <w:szCs w:val="22"/>
        </w:rPr>
        <w:t xml:space="preserve">Presidential Role</w:t>
      </w:r>
    </w:p>
    <w:p>
      <w:pPr>
        <w:spacing w:after="120" w:before="0"/>
        <w:ind w:left="431"/>
        <w:jc w:val="both"/>
      </w:pPr>
      <w:r>
        <w:rPr>
          <w:rFonts w:ascii="Garamond" w:cs="Garamond" w:eastAsia="Garamond" w:hAnsi="Garamond"/>
          <w:b w:val="false"/>
          <w:bCs w:val="false"/>
          <w:i w:val="false"/>
          <w:iCs w:val="false"/>
          <w:color w:val="2a2520"/>
          <w:sz w:val="22"/>
          <w:szCs w:val="22"/>
        </w:rPr>
        <w:t xml:space="preserve">Once an applicant clears both gates, the President must ministerially issue residency credentials. Presidential interference with credential issuance is constitutionally prohibited.</w:t>
      </w:r>
    </w:p>
    <w:p>
      <w:pPr>
        <w:spacing w:after="60" w:before="200"/>
        <w:ind w:left="431"/>
        <w:jc w:val="left"/>
      </w:pPr>
      <w:r>
        <w:rPr>
          <w:rFonts w:ascii="Courier New" w:cs="Courier New" w:eastAsia="Courier New" w:hAnsi="Courier New"/>
          <w:b/>
          <w:bCs/>
          <w:color w:val="1B2A4A"/>
          <w:sz w:val="18"/>
          <w:szCs w:val="18"/>
        </w:rPr>
        <w:t xml:space="preserve">§6.1.d  </w:t>
      </w:r>
      <w:r>
        <w:rPr>
          <w:rFonts w:ascii="Garamond" w:cs="Garamond" w:eastAsia="Garamond" w:hAnsi="Garamond"/>
          <w:b/>
          <w:bCs/>
          <w:i w:val="false"/>
          <w:iCs w:val="false"/>
          <w:color w:val="1B2A4A"/>
          <w:sz w:val="22"/>
          <w:szCs w:val="22"/>
        </w:rPr>
        <w:t xml:space="preserve">Federal Sponsorship Category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a Federal Sponsorship Category where designated federal agencies serve as Gate 1 sponsors for applicants whose skills directly serve a defined federal interest — research programs, national infrastructure, national security-adjacent technical roles. The agency assumes all State Gate 1 responsibilities including notification obligations. The Federal Sponsorship Category does not bypass Gate 2 — all four federal certification categories still apply. State Gate 1 authority is entirely unaffected; the federal category operates alongside, not instead of, State sponsorship.</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and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 States may not conduct deportations independently. Removal occurs only for violations of laws the Legislature has defined — executive detention without statutory basis is not removal, it is unlawful detention subject to habeas corpus.</w:t>
      </w:r>
    </w:p>
    <w:p>
      <w:pPr>
        <w:spacing w:after="60" w:before="200"/>
        <w:ind w:left="431"/>
        <w:jc w:val="left"/>
      </w:pPr>
      <w:r>
        <w:rPr>
          <w:rFonts w:ascii="Courier New" w:cs="Courier New" w:eastAsia="Courier New" w:hAnsi="Courier New"/>
          <w:b/>
          <w:bCs/>
          <w:color w:val="1B2A4A"/>
          <w:sz w:val="18"/>
          <w:szCs w:val="18"/>
        </w:rPr>
        <w:t xml:space="preserve">§6.3  </w:t>
      </w:r>
      <w:r>
        <w:rPr>
          <w:rFonts w:ascii="Garamond" w:cs="Garamond" w:eastAsia="Garamond" w:hAnsi="Garamond"/>
          <w:b/>
          <w:bCs/>
          <w:i w:val="false"/>
          <w:iCs w:val="false"/>
          <w:color w:val="1B2A4A"/>
          <w:sz w:val="22"/>
          <w:szCs w:val="22"/>
        </w:rPr>
        <w:t xml:space="preserve">Gate 2 Appeal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Gate 2 denials are judicially challengeable on three grounds: criterion outside the four certified categories; denial made on discriminatory grounds contrary to §1.9; or procedural violation affecting the outcome. Gate 1 denials are not reviewable on the merits of the sponsorship decision — a State's discretion over whom it sponsors is constitutionally protected. Gate 1 denials made on §1.9 discriminatory grounds are separately challengeable as constitutional violations, not as immigration appeals; a court finding discrimination may order the State to reconsider free of discriminatory criteria but may not compel sponsorship.</w:t>
      </w:r>
    </w:p>
    <w:p>
      <w:pPr>
        <w:spacing w:after="60" w:before="200"/>
        <w:ind w:left="431"/>
        <w:jc w:val="left"/>
      </w:pPr>
      <w:r>
        <w:rPr>
          <w:rFonts w:ascii="Courier New" w:cs="Courier New" w:eastAsia="Courier New" w:hAnsi="Courier New"/>
          <w:b/>
          <w:bCs/>
          <w:color w:val="1B2A4A"/>
          <w:sz w:val="18"/>
          <w:szCs w:val="18"/>
        </w:rPr>
        <w:t xml:space="preserve">§6.3.a  </w:t>
      </w:r>
      <w:r>
        <w:rPr>
          <w:rFonts w:ascii="Garamond" w:cs="Garamond" w:eastAsia="Garamond" w:hAnsi="Garamond"/>
          <w:b/>
          <w:bCs/>
          <w:i w:val="false"/>
          <w:iCs w:val="false"/>
          <w:color w:val="1B2A4A"/>
          <w:sz w:val="22"/>
          <w:szCs w:val="22"/>
        </w:rPr>
        <w:t xml:space="preserve">Judicial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An applicant may challenge a Gate 2 denial on three grounds: criterion outside the four certified categories; discriminatory application; or procedurally deficient process.</w:t>
      </w:r>
    </w:p>
    <w:p>
      <w:pPr>
        <w:spacing w:after="60" w:before="200"/>
        <w:ind w:left="431"/>
        <w:jc w:val="left"/>
      </w:pPr>
      <w:r>
        <w:rPr>
          <w:rFonts w:ascii="Courier New" w:cs="Courier New" w:eastAsia="Courier New" w:hAnsi="Courier New"/>
          <w:b/>
          <w:bCs/>
          <w:color w:val="1B2A4A"/>
          <w:sz w:val="18"/>
          <w:szCs w:val="18"/>
        </w:rPr>
        <w:t xml:space="preserve">§6.3.b  </w:t>
      </w:r>
      <w:r>
        <w:rPr>
          <w:rFonts w:ascii="Garamond" w:cs="Garamond" w:eastAsia="Garamond" w:hAnsi="Garamond"/>
          <w:b/>
          <w:bCs/>
          <w:i w:val="false"/>
          <w:iCs w:val="false"/>
          <w:color w:val="1B2A4A"/>
          <w:sz w:val="22"/>
          <w:szCs w:val="22"/>
        </w:rPr>
        <w:t xml:space="preserve">National Security Denials — In-Camera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Gate 2 is denied on national security grounds, a reviewing court may examine the classified assessment in camera and determine whether it constitutes a credible, specific, and documented security concern — without publishing classified content. The in-camera determination is outcome-determinative: either the security concern meets the constitutional standard and the denial stands, or it does not and recertification is ordered.</w:t>
      </w:r>
    </w:p>
    <w:p>
      <w:pPr>
        <w:spacing w:after="60" w:before="200"/>
        <w:ind w:left="431"/>
        <w:jc w:val="left"/>
      </w:pPr>
      <w:r>
        <w:rPr>
          <w:rFonts w:ascii="Courier New" w:cs="Courier New" w:eastAsia="Courier New" w:hAnsi="Courier New"/>
          <w:b/>
          <w:bCs/>
          <w:color w:val="1B2A4A"/>
          <w:sz w:val="18"/>
          <w:szCs w:val="18"/>
        </w:rPr>
        <w:t xml:space="preserve">§6.4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immigration system. An asylum filer under §1.28 becomes an Inhabitant at filing — not upon grant. Their claim must be determined before any removal order takes effect. The asylum track is explicitly exempt from Gate 1 state sponsorship: no state's refusal to sponsor can extinguish a §1.28 claim. Where the Asylum Court grants protection, the person receives federal residency credentials by operation of that grant — Gate 1 sponsorship and Gate 2 federal certification are not required conditions. The President must issue credentials within the Legislature-defined statutory period. The Legislature may establish a distinct residency category for asylum grantees with its own citizenship pathway consistent with Article V.</w:t>
      </w:r>
    </w:p>
    <w:p>
      <w:pPr>
        <w:spacing w:after="60" w:before="200"/>
        <w:ind w:left="431"/>
        <w:jc w:val="left"/>
      </w:pPr>
      <w:r>
        <w:rPr>
          <w:rFonts w:ascii="Courier New" w:cs="Courier New" w:eastAsia="Courier New" w:hAnsi="Courier New"/>
          <w:b/>
          <w:bCs/>
          <w:color w:val="1B2A4A"/>
          <w:sz w:val="18"/>
          <w:szCs w:val="18"/>
        </w:rPr>
        <w:t xml:space="preserve">§6.4.a  </w:t>
      </w:r>
      <w:r>
        <w:rPr>
          <w:rFonts w:ascii="Garamond" w:cs="Garamond" w:eastAsia="Garamond" w:hAnsi="Garamond"/>
          <w:b/>
          <w:bCs/>
          <w:i w:val="false"/>
          <w:iCs w:val="false"/>
          <w:color w:val="1B2A4A"/>
          <w:sz w:val="22"/>
          <w:szCs w:val="22"/>
        </w:rPr>
        <w:t xml:space="preserve">Asylum Seekers as Inhabitants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who files an asylum claim under §1.28 is an Inhabitant of the Republic from the date of filing — immediately entitled to access social state systems under §10.1 and all Article I protections. Protection-first: the determination process does not happen in a rights-free zone.</w:t>
      </w:r>
    </w:p>
    <w:p>
      <w:pPr>
        <w:spacing w:after="60" w:before="200"/>
        <w:ind w:left="431"/>
        <w:jc w:val="left"/>
      </w:pPr>
      <w:r>
        <w:rPr>
          <w:rFonts w:ascii="Courier New" w:cs="Courier New" w:eastAsia="Courier New" w:hAnsi="Courier New"/>
          <w:b/>
          <w:bCs/>
          <w:color w:val="1B2A4A"/>
          <w:sz w:val="18"/>
          <w:szCs w:val="18"/>
        </w:rPr>
        <w:t xml:space="preserve">§6.4.b  </w:t>
      </w:r>
      <w:r>
        <w:rPr>
          <w:rFonts w:ascii="Garamond" w:cs="Garamond" w:eastAsia="Garamond" w:hAnsi="Garamond"/>
          <w:b/>
          <w:bCs/>
          <w:i w:val="false"/>
          <w:iCs w:val="false"/>
          <w:color w:val="1B2A4A"/>
          <w:sz w:val="22"/>
          <w:szCs w:val="22"/>
        </w:rPr>
        <w:t xml:space="preserve">Right to Determination and Protection During Proceedings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must provide: a qualified adjudicator with decision authority, access to an interpreter, the right to present evidence and witnesses, a written decision specifying grounds, and a right of appeal. Standards apply regardless of the applicant's point of entry into the Republic.</w:t>
      </w:r>
    </w:p>
    <w:p>
      <w:pPr>
        <w:spacing w:after="60" w:before="200"/>
        <w:ind w:left="431"/>
        <w:jc w:val="left"/>
      </w:pPr>
      <w:r>
        <w:rPr>
          <w:rFonts w:ascii="Courier New" w:cs="Courier New" w:eastAsia="Courier New" w:hAnsi="Courier New"/>
          <w:b/>
          <w:bCs/>
          <w:color w:val="1B2A4A"/>
          <w:sz w:val="18"/>
          <w:szCs w:val="18"/>
        </w:rPr>
        <w:t xml:space="preserve">§6.4.c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hold full tenure protections. The Legislature may not establish any asylum determination body as a subdivision or instrumentality of either executive branch — administrative asylum tribunals dependent on the executive are constitutionally prohibited.</w:t>
      </w:r>
    </w:p>
    <w:p>
      <w:pPr>
        <w:spacing w:after="60" w:before="200"/>
        <w:ind w:left="431"/>
        <w:jc w:val="left"/>
      </w:pPr>
      <w:r>
        <w:rPr>
          <w:rFonts w:ascii="Courier New" w:cs="Courier New" w:eastAsia="Courier New" w:hAnsi="Courier New"/>
          <w:b/>
          <w:bCs/>
          <w:color w:val="1B2A4A"/>
          <w:sz w:val="18"/>
          <w:szCs w:val="18"/>
        </w:rPr>
        <w:t xml:space="preserve">§6.4.d  </w:t>
      </w:r>
      <w:r>
        <w:rPr>
          <w:rFonts w:ascii="Garamond" w:cs="Garamond" w:eastAsia="Garamond" w:hAnsi="Garamond"/>
          <w:b/>
          <w:bCs/>
          <w:i w:val="false"/>
          <w:iCs w:val="false"/>
          <w:color w:val="1B2A4A"/>
          <w:sz w:val="22"/>
          <w:szCs w:val="22"/>
        </w:rPr>
        <w:t xml:space="preserve">Non-Penalization for Irregular Entry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manner or means of entry into the Republic — including irregular or unauthorized entry — does not affect the right to claim asylum or have that claim determined. No penalty arising solely from irregular entry may be imposed on a person whose asylum claim is pending or has been granted.</w:t>
      </w:r>
    </w:p>
    <w:p>
      <w:pPr>
        <w:spacing w:after="60" w:before="200"/>
        <w:ind w:left="431"/>
        <w:jc w:val="left"/>
      </w:pPr>
      <w:r>
        <w:rPr>
          <w:rFonts w:ascii="Courier New" w:cs="Courier New" w:eastAsia="Courier New" w:hAnsi="Courier New"/>
          <w:b/>
          <w:bCs/>
          <w:color w:val="1B2A4A"/>
          <w:sz w:val="18"/>
          <w:szCs w:val="18"/>
        </w:rPr>
        <w:t xml:space="preserve">§6.4.e  </w:t>
      </w:r>
      <w:r>
        <w:rPr>
          <w:rFonts w:ascii="Garamond" w:cs="Garamond" w:eastAsia="Garamond" w:hAnsi="Garamond"/>
          <w:b/>
          <w:bCs/>
          <w:i w:val="false"/>
          <w:iCs w:val="false"/>
          <w:color w:val="1B2A4A"/>
          <w:sz w:val="22"/>
          <w:szCs w:val="22"/>
        </w:rPr>
        <w:t xml:space="preserve">Unexecutable Removal Orders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define a minimum status, material conditions, and periodic judicial review for persons subject to final removal orders that cannot be executed — because the destination country won't accept them, or execution would violate §1.28. The constitution does not allow indefinite stateless detention.</w:t>
      </w:r>
    </w:p>
    <w:p>
      <w:pPr>
        <w:spacing w:after="60" w:before="200"/>
        <w:ind w:left="431"/>
        <w:jc w:val="left"/>
      </w:pPr>
      <w:r>
        <w:rPr>
          <w:rFonts w:ascii="Courier New" w:cs="Courier New" w:eastAsia="Courier New" w:hAnsi="Courier New"/>
          <w:b/>
          <w:bCs/>
          <w:color w:val="1B2A4A"/>
          <w:sz w:val="18"/>
          <w:szCs w:val="18"/>
        </w:rPr>
        <w:t xml:space="preserve">§6.4.f  </w:t>
      </w:r>
      <w:r>
        <w:rPr>
          <w:rFonts w:ascii="Garamond" w:cs="Garamond" w:eastAsia="Garamond" w:hAnsi="Garamond"/>
          <w:b/>
          <w:bCs/>
          <w:i w:val="false"/>
          <w:iCs w:val="false"/>
          <w:color w:val="1B2A4A"/>
          <w:sz w:val="22"/>
          <w:szCs w:val="22"/>
        </w:rPr>
        <w:t xml:space="preserve">Security and Criminal Protection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Asylum Court grants §1.28 protection to a person who poses a documented security threat, removal remains constitutionally barred. Indefinite unreviewed detention is not a constitutionally available outcome. Where removal is barred under §1.28 and a documented security threat is established, the Republic may detain the individual subject to the following constitutional floor: mandatory judicial review within 90 days of initial detention; mandatory judicial review every 180 days thereafter; statutory minimum conditions of humane treatment; and no detention beyond 5 years without annual SC review. The Legislature defines detention conditions by statute subject to this floor.</w:t>
      </w:r>
    </w:p>
    <w:p>
      <w:pPr>
        <w:spacing w:after="60" w:before="200"/>
        <w:ind w:left="431"/>
        <w:jc w:val="left"/>
      </w:pPr>
      <w:r>
        <w:rPr>
          <w:rFonts w:ascii="Courier New" w:cs="Courier New" w:eastAsia="Courier New" w:hAnsi="Courier New"/>
          <w:b/>
          <w:bCs/>
          <w:color w:val="1B2A4A"/>
          <w:sz w:val="18"/>
          <w:szCs w:val="18"/>
        </w:rPr>
        <w:t xml:space="preserve">§6.4.g  </w:t>
      </w:r>
      <w:r>
        <w:rPr>
          <w:rFonts w:ascii="Garamond" w:cs="Garamond" w:eastAsia="Garamond" w:hAnsi="Garamond"/>
          <w:b/>
          <w:bCs/>
          <w:i w:val="false"/>
          <w:iCs w:val="false"/>
          <w:color w:val="1B2A4A"/>
          <w:sz w:val="22"/>
          <w:szCs w:val="22"/>
        </w:rPr>
        <w:t xml:space="preserve">Territory Accessibility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proceedings statute must ensure asylum is accessible to persons in Territories and geographically remote areas — not just major population centers. The right to seek asylum applies regardless of where in the Republic a person arrives.</w:t>
      </w:r>
    </w:p>
    <w:p>
      <w:pPr>
        <w:spacing w:after="60" w:before="200"/>
        <w:ind w:left="431"/>
        <w:jc w:val="left"/>
      </w:pPr>
      <w:r>
        <w:rPr>
          <w:rFonts w:ascii="Courier New" w:cs="Courier New" w:eastAsia="Courier New" w:hAnsi="Courier New"/>
          <w:b/>
          <w:bCs/>
          <w:color w:val="1B2A4A"/>
          <w:sz w:val="18"/>
          <w:szCs w:val="18"/>
        </w:rPr>
        <w:t xml:space="preserve">§6.4.h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or presenting to Republic authorities is an Inhabitant from the moment of contact and holds full §1.28 protection. A federal legal guardian must be appointed within 24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Standard Elections — Ranked Choice</w:t>
      </w:r>
    </w:p>
    <w:p>
      <w:pPr>
        <w:spacing w:after="120" w:before="0"/>
        <w:ind w:left="431"/>
        <w:jc w:val="both"/>
      </w:pPr>
      <w:r>
        <w:rPr>
          <w:rFonts w:ascii="Garamond" w:cs="Garamond" w:eastAsia="Garamond" w:hAnsi="Garamond"/>
          <w:b w:val="false"/>
          <w:bCs w:val="false"/>
          <w:i w:val="false"/>
          <w:iCs w:val="false"/>
          <w:color w:val="2a2520"/>
          <w:sz w:val="22"/>
          <w:szCs w:val="22"/>
        </w:rPr>
        <w:t xml:space="preserve">All federal elections on National Election Day, every two years. All elections for House, Senate, SC, and Electoral Commission seats use Ranked Choice Voting — majority required, not plurality. No federal elections outside National Election Day except special elections for vacancies.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Presidential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is elected through a two-component national system that combines a ranked-choice popular vote with regional representation. No candidate may win the presidency on the basis of either component alone.</w:t>
      </w:r>
    </w:p>
    <w:p>
      <w:pPr>
        <w:spacing w:after="60" w:before="200"/>
        <w:ind w:left="431"/>
        <w:jc w:val="left"/>
      </w:pPr>
      <w:r>
        <w:rPr>
          <w:rFonts w:ascii="Courier New" w:cs="Courier New" w:eastAsia="Courier New" w:hAnsi="Courier New"/>
          <w:b/>
          <w:bCs/>
          <w:color w:val="1B2A4A"/>
          <w:sz w:val="18"/>
          <w:szCs w:val="18"/>
        </w:rPr>
        <w:t xml:space="preserve">§7.2.a  </w:t>
      </w:r>
      <w:r>
        <w:rPr>
          <w:rFonts w:ascii="Garamond" w:cs="Garamond" w:eastAsia="Garamond" w:hAnsi="Garamond"/>
          <w:b/>
          <w:bCs/>
          <w:i w:val="false"/>
          <w:iCs w:val="false"/>
          <w:color w:val="1B2A4A"/>
          <w:sz w:val="22"/>
          <w:szCs w:val="22"/>
        </w:rPr>
        <w:t xml:space="preserve">National Ranked-Choice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elections use Ranked Choice Voting conducted nationally. Votes transfer until one candidate holds a majority of active ballots nationwide. A candidate must achieve both a national majority and broad geographic distribution under the combined score mechanism in §7.2.b. The Electoral Commission administers the national election and certifies results under §7.2.e.</w:t>
      </w:r>
    </w:p>
    <w:p>
      <w:pPr>
        <w:spacing w:after="60" w:before="200"/>
        <w:ind w:left="431"/>
        <w:jc w:val="left"/>
      </w:pPr>
      <w:r>
        <w:rPr>
          <w:rFonts w:ascii="Courier New" w:cs="Courier New" w:eastAsia="Courier New" w:hAnsi="Courier New"/>
          <w:b/>
          <w:bCs/>
          <w:color w:val="1B2A4A"/>
          <w:sz w:val="18"/>
          <w:szCs w:val="18"/>
        </w:rPr>
        <w:t xml:space="preserve">§7.2.b  </w:t>
      </w:r>
      <w:r>
        <w:rPr>
          <w:rFonts w:ascii="Garamond" w:cs="Garamond" w:eastAsia="Garamond" w:hAnsi="Garamond"/>
          <w:b/>
          <w:bCs/>
          <w:i w:val="false"/>
          <w:iCs w:val="false"/>
          <w:color w:val="1B2A4A"/>
          <w:sz w:val="22"/>
          <w:szCs w:val="22"/>
        </w:rPr>
        <w:t xml:space="preserve">The Combined Score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no candidate achieves a national RCV majority, the combined score determines the winner. The combined score weights national first-preference totals at 65% and regional performance across the presidential election regions at 35%. The regional component requires a winning candidate to demonstrate support distributed across the Republic's geographic breadth, not only its most densely populated areas. The formula is published by statute and administered by the Electoral Commission. Where two candidates finish within 0.5 percentage points of each other on the final combined score, a runoff is required under §7.2.f.</w:t>
      </w:r>
    </w:p>
    <w:p>
      <w:pPr>
        <w:spacing w:after="60" w:before="200"/>
        <w:ind w:left="431"/>
        <w:jc w:val="left"/>
      </w:pPr>
      <w:r>
        <w:rPr>
          <w:rFonts w:ascii="Courier New" w:cs="Courier New" w:eastAsia="Courier New" w:hAnsi="Courier New"/>
          <w:b/>
          <w:bCs/>
          <w:color w:val="1B2A4A"/>
          <w:sz w:val="18"/>
          <w:szCs w:val="18"/>
        </w:rPr>
        <w:t xml:space="preserve">§7.2.c  </w:t>
      </w:r>
      <w:r>
        <w:rPr>
          <w:rFonts w:ascii="Garamond" w:cs="Garamond" w:eastAsia="Garamond" w:hAnsi="Garamond"/>
          <w:b/>
          <w:bCs/>
          <w:i w:val="false"/>
          <w:iCs w:val="false"/>
          <w:color w:val="1B2A4A"/>
          <w:sz w:val="22"/>
          <w:szCs w:val="22"/>
        </w:rPr>
        <w:t xml:space="preserve">Presidential Election Regions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election regions provide the geographic breadth component of the combined score, ensuring that a winning candidate builds support across the Republic's geographic spread rather than only its population centres. The number of regions is defined by the Legislature by statute. Regions are drawn by the Regional Boundary Commission — a body constituted by lottery from State-maintained candidate pools — under the same criteria hierarchy that governs House redistricting. The Electoral Commission administers the election within the regions; it plays no role in drawing them.</w:t>
      </w:r>
    </w:p>
    <w:p>
      <w:pPr>
        <w:spacing w:after="60" w:before="200"/>
        <w:ind w:left="431"/>
        <w:jc w:val="left"/>
      </w:pPr>
      <w:r>
        <w:rPr>
          <w:rFonts w:ascii="Courier New" w:cs="Courier New" w:eastAsia="Courier New" w:hAnsi="Courier New"/>
          <w:b/>
          <w:bCs/>
          <w:color w:val="1B2A4A"/>
          <w:sz w:val="18"/>
          <w:szCs w:val="18"/>
        </w:rPr>
        <w:t xml:space="preserve">§7.2.c.i  </w:t>
      </w:r>
      <w:r>
        <w:rPr>
          <w:rFonts w:ascii="Garamond" w:cs="Garamond" w:eastAsia="Garamond" w:hAnsi="Garamond"/>
          <w:b/>
          <w:bCs/>
          <w:i w:val="false"/>
          <w:iCs w:val="false"/>
          <w:color w:val="1B2A4A"/>
          <w:sz w:val="22"/>
          <w:szCs w:val="22"/>
        </w:rPr>
        <w:t xml:space="preserve">State Candidate Pools</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maintains a standing Regional Boundary Pool for each redistricting cycle. Any person may be placed into a State's Pool through the State's own constitutional or statutory process, provided they meet three eligibility requirements at the time of entry: at least five continuous years of Republic citizenship; at least five continuous years of residency in the State whose Pool they are entering; and no current elected office. The LI certifies eligibility before entry — ministerially, not selectively. States determine through their own process how candidates are nominated from among those eligible. An entrant who takes elected office after entering the Pool is ineligible to be drawn for so long as they hold that office; if drawn while in elected office, the JI draws a replacement from the same State's eligible Pool. The LI maintains each State's Pool as a public record on the NRS. States need only submit names to the LI for certification and pay their drawn representative during commission service.</w:t>
      </w:r>
    </w:p>
    <w:p>
      <w:pPr>
        <w:spacing w:after="60" w:before="200"/>
        <w:ind w:left="431"/>
        <w:jc w:val="left"/>
      </w:pPr>
      <w:r>
        <w:rPr>
          <w:rFonts w:ascii="Courier New" w:cs="Courier New" w:eastAsia="Courier New" w:hAnsi="Courier New"/>
          <w:b/>
          <w:bCs/>
          <w:color w:val="1B2A4A"/>
          <w:sz w:val="18"/>
          <w:szCs w:val="18"/>
        </w:rPr>
        <w:t xml:space="preserve">§7.2.c.ii  </w:t>
      </w:r>
      <w:r>
        <w:rPr>
          <w:rFonts w:ascii="Garamond" w:cs="Garamond" w:eastAsia="Garamond" w:hAnsi="Garamond"/>
          <w:b/>
          <w:bCs/>
          <w:i w:val="false"/>
          <w:iCs w:val="false"/>
          <w:color w:val="1B2A4A"/>
          <w:sz w:val="22"/>
          <w:szCs w:val="22"/>
        </w:rPr>
        <w:t xml:space="preserve">Annual Addition Cap</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may add no more than five entrants to its Pool per calendar year during the pool-building period. Unused addition slots do not carry forward; a year with fewer than five additions simply has fewer, and unused capacity is permanently lost. If a pool member dies, becomes permanently incapacitated, or declines to remain in the Pool, their position is extinguished and is not replaced. No additional entry may compensate for attrition. The Pool at any draw consists exactly of those entrants added in prior years who remain eligible.</w:t>
      </w:r>
    </w:p>
    <w:p>
      <w:pPr>
        <w:spacing w:after="60" w:before="200"/>
        <w:ind w:left="431"/>
        <w:jc w:val="left"/>
      </w:pPr>
      <w:r>
        <w:rPr>
          <w:rFonts w:ascii="Courier New" w:cs="Courier New" w:eastAsia="Courier New" w:hAnsi="Courier New"/>
          <w:b/>
          <w:bCs/>
          <w:color w:val="1B2A4A"/>
          <w:sz w:val="18"/>
          <w:szCs w:val="18"/>
        </w:rPr>
        <w:t xml:space="preserve">§7.2.c.iii  </w:t>
      </w:r>
      <w:r>
        <w:rPr>
          <w:rFonts w:ascii="Garamond" w:cs="Garamond" w:eastAsia="Garamond" w:hAnsi="Garamond"/>
          <w:b/>
          <w:bCs/>
          <w:i w:val="false"/>
          <w:iCs w:val="false"/>
          <w:color w:val="1B2A4A"/>
          <w:sz w:val="22"/>
          <w:szCs w:val="22"/>
        </w:rPr>
        <w:t xml:space="preserve">Pool Health Monitoring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monitors each State's Pool and publishes an annual Pool Status Report to the NRS. If any State's Pool falls below five eligible entrants, the LI publishes a Pool Health Notice — advisory, not compulsory. If a State's Pool is entirely empty at the time of the draw, that State's commission seat is vacant for that cycle. A State with a non-empty but small Pool proceeds to the draw from whatever eligible entrants it has.</w:t>
      </w:r>
    </w:p>
    <w:p>
      <w:pPr>
        <w:spacing w:after="60" w:before="200"/>
        <w:ind w:left="431"/>
        <w:jc w:val="left"/>
      </w:pPr>
      <w:r>
        <w:rPr>
          <w:rFonts w:ascii="Courier New" w:cs="Courier New" w:eastAsia="Courier New" w:hAnsi="Courier New"/>
          <w:b/>
          <w:bCs/>
          <w:color w:val="1B2A4A"/>
          <w:sz w:val="18"/>
          <w:szCs w:val="18"/>
        </w:rPr>
        <w:t xml:space="preserve">§7.2.c.iv  </w:t>
      </w:r>
      <w:r>
        <w:rPr>
          <w:rFonts w:ascii="Garamond" w:cs="Garamond" w:eastAsia="Garamond" w:hAnsi="Garamond"/>
          <w:b/>
          <w:bCs/>
          <w:i w:val="false"/>
          <w:iCs w:val="false"/>
          <w:color w:val="1B2A4A"/>
          <w:sz w:val="22"/>
          <w:szCs w:val="22"/>
        </w:rPr>
        <w:t xml:space="preserve">Commission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Following each decennial census, the JI constitutes the Regional Boundary Commission by public lottery, drawing one name by lot from each State's eligible Pool. The draw is held in a single public session, witnessed by a representative of each Inspectorate and three citizens selected by jury protocols, and certified jointly by all three Inspectorates in session. The session may be conducted remotely under parameters set by statute; remote participation does not affect the validity of the draw or the certification. The full draw is recorded to the NRS in real time. The commission is one member per State. No substitution or political appointment may replace a drawn member; replacements due to death, incapacitating illness, or disqualifying conflict of interest are drawn from the same State's eligible Pool by the same lottery procedure.</w:t>
      </w:r>
    </w:p>
    <w:p>
      <w:pPr>
        <w:spacing w:after="60" w:before="200"/>
        <w:ind w:left="431"/>
        <w:jc w:val="left"/>
      </w:pPr>
      <w:r>
        <w:rPr>
          <w:rFonts w:ascii="Courier New" w:cs="Courier New" w:eastAsia="Courier New" w:hAnsi="Courier New"/>
          <w:b/>
          <w:bCs/>
          <w:color w:val="1B2A4A"/>
          <w:sz w:val="18"/>
          <w:szCs w:val="18"/>
        </w:rPr>
        <w:t xml:space="preserve">§7.2.c.v  </w:t>
      </w:r>
      <w:r>
        <w:rPr>
          <w:rFonts w:ascii="Garamond" w:cs="Garamond" w:eastAsia="Garamond" w:hAnsi="Garamond"/>
          <w:b/>
          <w:bCs/>
          <w:i w:val="false"/>
          <w:iCs w:val="false"/>
          <w:color w:val="1B2A4A"/>
          <w:sz w:val="22"/>
          <w:szCs w:val="22"/>
        </w:rPr>
        <w:t xml:space="preserve">Commission Compensation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Commission members are compensated by their State for days in active session only. Service on the commission is temporary and session-based; no retainer, salary, or ongoing compensation is provided outside of active session days. The federal government reimburses each State for session compensation paid to its commission member. Reimbursement rates and procedures are established by statute. The identity of each drawn commission member and their days in session are published to the NRS.</w:t>
      </w:r>
    </w:p>
    <w:p>
      <w:pPr>
        <w:spacing w:after="60" w:before="200"/>
        <w:ind w:left="431"/>
        <w:jc w:val="left"/>
      </w:pPr>
      <w:r>
        <w:rPr>
          <w:rFonts w:ascii="Courier New" w:cs="Courier New" w:eastAsia="Courier New" w:hAnsi="Courier New"/>
          <w:b/>
          <w:bCs/>
          <w:color w:val="1B2A4A"/>
          <w:sz w:val="18"/>
          <w:szCs w:val="18"/>
        </w:rPr>
        <w:t xml:space="preserve">§7.2.c.vi  </w:t>
      </w:r>
      <w:r>
        <w:rPr>
          <w:rFonts w:ascii="Garamond" w:cs="Garamond" w:eastAsia="Garamond" w:hAnsi="Garamond"/>
          <w:b/>
          <w:bCs/>
          <w:i w:val="false"/>
          <w:iCs w:val="false"/>
          <w:color w:val="1B2A4A"/>
          <w:sz w:val="22"/>
          <w:szCs w:val="22"/>
        </w:rPr>
        <w:t xml:space="preserve">Drawing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Regional boundaries must meet the following criteria in order of precedence: (1) Population balance — broadly equal citizen population within a Legislature-defined tolerance. (2) Geographic contiguity — each region must be a single contiguous territory. (3) Non-discrimination — no region may dilute the voting power of any group protected under §1.9. (4) Reasonable compactness — no geometrically incoherent shapes. (5) State integrity — follow State lines where practicable; minimize inter-State subdivisions where subdivision is required. The commission may not consider partisan affiliation, voting history, or political geography. All deliberations, working maps, and proposals must be published to the NRS throughout the process.</w:t>
      </w:r>
    </w:p>
    <w:p>
      <w:pPr>
        <w:spacing w:after="60" w:before="200"/>
        <w:ind w:left="431"/>
        <w:jc w:val="left"/>
      </w:pPr>
      <w:r>
        <w:rPr>
          <w:rFonts w:ascii="Courier New" w:cs="Courier New" w:eastAsia="Courier New" w:hAnsi="Courier New"/>
          <w:b/>
          <w:bCs/>
          <w:color w:val="1B2A4A"/>
          <w:sz w:val="18"/>
          <w:szCs w:val="18"/>
        </w:rPr>
        <w:t xml:space="preserve">§7.2.c.vii  </w:t>
      </w:r>
      <w:r>
        <w:rPr>
          <w:rFonts w:ascii="Garamond" w:cs="Garamond" w:eastAsia="Garamond" w:hAnsi="Garamond"/>
          <w:b/>
          <w:bCs/>
          <w:i w:val="false"/>
          <w:iCs w:val="false"/>
          <w:color w:val="1B2A4A"/>
          <w:sz w:val="22"/>
          <w:szCs w:val="22"/>
        </w:rPr>
        <w:t xml:space="preserve">Drawing Process and Timeline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commission must submit a proposed regional map to the LI within 180 days of constitution. The commission operates by simple majority vote. A 30-day public comment period opens when the draft map is published to the NRS; any citizen or State government may submit commentary, and the commission must publish a written response before submitting the final map. The Legislature sets by statute the parameters under which the commission conducts its working sessions, including: authorization of and requirements for remote participation; quorum and voting requirements; secure platform and data access specifications; and any other operational parameters. The Legislature may not set parameters that prevent effective deliberation or impose undue burden on members. The commission remains constituted until a final map is certified through the review and challenge processes in §7.2.c.viii and §7.2.c.ix, then dissolves.</w:t>
      </w:r>
    </w:p>
    <w:p>
      <w:pPr>
        <w:spacing w:after="60" w:before="200"/>
        <w:ind w:left="431"/>
        <w:jc w:val="left"/>
      </w:pPr>
      <w:r>
        <w:rPr>
          <w:rFonts w:ascii="Courier New" w:cs="Courier New" w:eastAsia="Courier New" w:hAnsi="Courier New"/>
          <w:b/>
          <w:bCs/>
          <w:color w:val="1B2A4A"/>
          <w:sz w:val="18"/>
          <w:szCs w:val="18"/>
        </w:rPr>
        <w:t xml:space="preserve">§7.2.c.viii  </w:t>
      </w:r>
      <w:r>
        <w:rPr>
          <w:rFonts w:ascii="Garamond" w:cs="Garamond" w:eastAsia="Garamond" w:hAnsi="Garamond"/>
          <w:b/>
          <w:bCs/>
          <w:i w:val="false"/>
          <w:iCs w:val="false"/>
          <w:color w:val="1B2A4A"/>
          <w:sz w:val="22"/>
          <w:szCs w:val="22"/>
        </w:rPr>
        <w:t xml:space="preserve">LI Compliance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reviews the submitted map within 60 days for compliance with the §7.2.c.vi criteria. If compliant, the LI certifies it and publishes the certification to the NRS. If the map fails, the LI publishes specific findings and returns it to the commission, which has 30 days to submit a corrected map. If the corrected map still fails, the LI draws a compliant interim map; the interim map governs the next presidential election while the commission completes a further correction cycle. The LI may not draw a permanent map.</w:t>
      </w:r>
    </w:p>
    <w:p>
      <w:pPr>
        <w:spacing w:after="60" w:before="200"/>
        <w:ind w:left="431"/>
        <w:jc w:val="left"/>
      </w:pPr>
      <w:r>
        <w:rPr>
          <w:rFonts w:ascii="Courier New" w:cs="Courier New" w:eastAsia="Courier New" w:hAnsi="Courier New"/>
          <w:b/>
          <w:bCs/>
          <w:color w:val="1B2A4A"/>
          <w:sz w:val="18"/>
          <w:szCs w:val="18"/>
        </w:rPr>
        <w:t xml:space="preserve">§7.2.c.ix  </w:t>
      </w:r>
      <w:r>
        <w:rPr>
          <w:rFonts w:ascii="Garamond" w:cs="Garamond" w:eastAsia="Garamond" w:hAnsi="Garamond"/>
          <w:b/>
          <w:bCs/>
          <w:i w:val="false"/>
          <w:iCs w:val="false"/>
          <w:color w:val="1B2A4A"/>
          <w:sz w:val="22"/>
          <w:szCs w:val="22"/>
        </w:rPr>
        <w:t xml:space="preserve">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citizen, State government, or parliamentary minority of one-third may challenge a certified regional map by petitioning the Supreme Court within 60 days of LI certification. The Court reviews criteria application — not map preference. A successful challenge returns the map to the commission with the Court's findings attached.</w:t>
      </w:r>
    </w:p>
    <w:p>
      <w:pPr>
        <w:spacing w:after="60" w:before="200"/>
        <w:ind w:left="431"/>
        <w:jc w:val="left"/>
      </w:pPr>
      <w:r>
        <w:rPr>
          <w:rFonts w:ascii="Courier New" w:cs="Courier New" w:eastAsia="Courier New" w:hAnsi="Courier New"/>
          <w:b/>
          <w:bCs/>
          <w:color w:val="1B2A4A"/>
          <w:sz w:val="18"/>
          <w:szCs w:val="18"/>
        </w:rPr>
        <w:t xml:space="preserve">§7.2.c.x  </w:t>
      </w:r>
      <w:r>
        <w:rPr>
          <w:rFonts w:ascii="Garamond" w:cs="Garamond" w:eastAsia="Garamond" w:hAnsi="Garamond"/>
          <w:b/>
          <w:bCs/>
          <w:i w:val="false"/>
          <w:iCs w:val="false"/>
          <w:color w:val="1B2A4A"/>
          <w:sz w:val="22"/>
          <w:szCs w:val="22"/>
        </w:rPr>
        <w:t xml:space="preserve">Cycle and Timing</w:t>
      </w:r>
    </w:p>
    <w:p>
      <w:pPr>
        <w:spacing w:after="120" w:before="0"/>
        <w:ind w:left="431"/>
        <w:jc w:val="both"/>
      </w:pPr>
      <w:r>
        <w:rPr>
          <w:rFonts w:ascii="Garamond" w:cs="Garamond" w:eastAsia="Garamond" w:hAnsi="Garamond"/>
          <w:b w:val="false"/>
          <w:bCs w:val="false"/>
          <w:i w:val="false"/>
          <w:iCs w:val="false"/>
          <w:color w:val="2a2520"/>
          <w:sz w:val="22"/>
          <w:szCs w:val="22"/>
        </w:rPr>
        <w:t xml:space="preserve">Regional boundaries are redrawn following each decennial census, on the same cycle as House redistricting; the §8.1.a census triggers both simultaneously. Regions in effect at the time of any presidential election govern that election. No mid-cycle redraw may occur except pursuant to §7.2.c.ix or §7.2.c.viii. The Legislature establishes by statute the precise timing of the pool-building window — when each State's Pool opens following completion of the prior redistricting cycle, and when it closes before the draw. Once established, the statutory timing may not be altered for a minimum of two complete redistricting cycles, preventing legislative manipulation of the pool-building window to affect a forthcoming draw.</w:t>
      </w:r>
    </w:p>
    <w:p>
      <w:pPr>
        <w:spacing w:after="60" w:before="200"/>
        <w:ind w:left="431"/>
        <w:jc w:val="left"/>
      </w:pPr>
      <w:r>
        <w:rPr>
          <w:rFonts w:ascii="Courier New" w:cs="Courier New" w:eastAsia="Courier New" w:hAnsi="Courier New"/>
          <w:b/>
          <w:bCs/>
          <w:color w:val="1B2A4A"/>
          <w:sz w:val="18"/>
          <w:szCs w:val="18"/>
        </w:rPr>
        <w:t xml:space="preserve">§7.2.d  </w:t>
      </w:r>
      <w:r>
        <w:rPr>
          <w:rFonts w:ascii="Garamond" w:cs="Garamond" w:eastAsia="Garamond" w:hAnsi="Garamond"/>
          <w:b/>
          <w:bCs/>
          <w:i w:val="false"/>
          <w:iCs w:val="false"/>
          <w:color w:val="1B2A4A"/>
          <w:sz w:val="22"/>
          <w:szCs w:val="22"/>
        </w:rPr>
        <w:t xml:space="preserve">Territory Presidential Voting</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Territory citizens hold the full §1.20 right to vote in presidential elections. Their votes count in the national first-preference total — the 65% component of the combined score — but Territories are not assigned to presidential election regions and do not contribute to the 35% regional breadth component. The regional breadth measure reflects the geographic distribution of the Republic's State structure.</w:t>
      </w:r>
    </w:p>
    <w:p>
      <w:pPr>
        <w:spacing w:after="60" w:before="200"/>
        <w:ind w:left="431"/>
        <w:jc w:val="left"/>
      </w:pPr>
      <w:r>
        <w:rPr>
          <w:rFonts w:ascii="Courier New" w:cs="Courier New" w:eastAsia="Courier New" w:hAnsi="Courier New"/>
          <w:b/>
          <w:bCs/>
          <w:color w:val="1B2A4A"/>
          <w:sz w:val="18"/>
          <w:szCs w:val="18"/>
        </w:rPr>
        <w:t xml:space="preserve">§7.2.e  </w:t>
      </w:r>
      <w:r>
        <w:rPr>
          <w:rFonts w:ascii="Garamond" w:cs="Garamond" w:eastAsia="Garamond" w:hAnsi="Garamond"/>
          <w:b/>
          <w:bCs/>
          <w:i w:val="false"/>
          <w:iCs w:val="false"/>
          <w:color w:val="1B2A4A"/>
          <w:sz w:val="22"/>
          <w:szCs w:val="22"/>
        </w:rPr>
        <w:t xml:space="preserve">Election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certifies the final presidential election result to the NRS within a period the Legislature defines by statute. Certification is final and may be challenged only before the Supreme Court within 14 days. No transfer of presidential authority may be delayed beyond the moment established by the transition provisions of §19.3.</w:t>
      </w:r>
    </w:p>
    <w:p>
      <w:pPr>
        <w:spacing w:after="60" w:before="200"/>
        <w:ind w:left="431"/>
        <w:jc w:val="left"/>
      </w:pPr>
      <w:r>
        <w:rPr>
          <w:rFonts w:ascii="Courier New" w:cs="Courier New" w:eastAsia="Courier New" w:hAnsi="Courier New"/>
          <w:b/>
          <w:bCs/>
          <w:color w:val="1B2A4A"/>
          <w:sz w:val="18"/>
          <w:szCs w:val="18"/>
        </w:rPr>
        <w:t xml:space="preserve">§7.2.f  </w:t>
      </w:r>
      <w:r>
        <w:rPr>
          <w:rFonts w:ascii="Garamond" w:cs="Garamond" w:eastAsia="Garamond" w:hAnsi="Garamond"/>
          <w:b/>
          <w:bCs/>
          <w:i w:val="false"/>
          <w:iCs w:val="false"/>
          <w:color w:val="1B2A4A"/>
          <w:sz w:val="22"/>
          <w:szCs w:val="22"/>
        </w:rPr>
        <w:t xml:space="preserve">Run-off</w:t>
      </w:r>
    </w:p>
    <w:p>
      <w:pPr>
        <w:spacing w:after="120" w:before="0"/>
        <w:ind w:left="431"/>
        <w:jc w:val="both"/>
      </w:pPr>
      <w:r>
        <w:rPr>
          <w:rFonts w:ascii="Garamond" w:cs="Garamond" w:eastAsia="Garamond" w:hAnsi="Garamond"/>
          <w:b w:val="false"/>
          <w:bCs w:val="false"/>
          <w:i w:val="false"/>
          <w:iCs w:val="false"/>
          <w:color w:val="2a2520"/>
          <w:sz w:val="22"/>
          <w:szCs w:val="22"/>
        </w:rPr>
        <w:t xml:space="preserve">If two candidates are within 0.5 percentage points of each other on the final combined score as calculated under §7.2.b, a head-to-head national RCV runoff is conducted between those two candidates.</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Legislative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elections are administered by the Electoral Commission free from executive interference. The National Voting System is the uniform platform for all federal elections.</w:t>
      </w:r>
    </w:p>
    <w:p>
      <w:pPr>
        <w:spacing w:after="60" w:before="200"/>
        <w:ind w:left="431"/>
        <w:jc w:val="left"/>
      </w:pPr>
      <w:r>
        <w:rPr>
          <w:rFonts w:ascii="Courier New" w:cs="Courier New" w:eastAsia="Courier New" w:hAnsi="Courier New"/>
          <w:b/>
          <w:bCs/>
          <w:color w:val="1B2A4A"/>
          <w:sz w:val="18"/>
          <w:szCs w:val="18"/>
        </w:rPr>
        <w:t xml:space="preserve">§7.3.a  </w:t>
      </w:r>
      <w:r>
        <w:rPr>
          <w:rFonts w:ascii="Garamond" w:cs="Garamond" w:eastAsia="Garamond" w:hAnsi="Garamond"/>
          <w:b/>
          <w:bCs/>
          <w:i w:val="false"/>
          <w:iCs w:val="false"/>
          <w:color w:val="1B2A4A"/>
          <w:sz w:val="22"/>
          <w:szCs w:val="22"/>
        </w:rPr>
        <w:t xml:space="preserve">No Executive Interference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not declare, postpone, or influence the scheduling of elections — including declaring emergencies that have the effect of postponing them.</w:t>
      </w:r>
    </w:p>
    <w:p>
      <w:pPr>
        <w:spacing w:after="60" w:before="200"/>
        <w:ind w:left="431"/>
        <w:jc w:val="left"/>
      </w:pPr>
      <w:r>
        <w:rPr>
          <w:rFonts w:ascii="Courier New" w:cs="Courier New" w:eastAsia="Courier New" w:hAnsi="Courier New"/>
          <w:b/>
          <w:bCs/>
          <w:color w:val="1B2A4A"/>
          <w:sz w:val="18"/>
          <w:szCs w:val="18"/>
        </w:rPr>
        <w:t xml:space="preserve">§7.3.b  </w:t>
      </w:r>
      <w:r>
        <w:rPr>
          <w:rFonts w:ascii="Garamond" w:cs="Garamond" w:eastAsia="Garamond" w:hAnsi="Garamond"/>
          <w:b/>
          <w:bCs/>
          <w:i w:val="false"/>
          <w:iCs w:val="false"/>
          <w:color w:val="1B2A4A"/>
          <w:sz w:val="22"/>
          <w:szCs w:val="22"/>
        </w:rPr>
        <w:t xml:space="preserve">National Voting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administers the National Voting System through which all federal elections and referenda are conducted. The NVS is constitutionally required to maintain ballot secrecy, public auditability, and resilience — properties defined in Article XVI creating a cross-constitutional guarantee.</w:t>
      </w:r>
    </w:p>
    <w:p>
      <w:pPr>
        <w:spacing w:after="60" w:before="200"/>
        <w:ind w:left="431"/>
        <w:jc w:val="left"/>
      </w:pPr>
      <w:r>
        <w:rPr>
          <w:rFonts w:ascii="Courier New" w:cs="Courier New" w:eastAsia="Courier New" w:hAnsi="Courier New"/>
          <w:b/>
          <w:bCs/>
          <w:color w:val="1B2A4A"/>
          <w:sz w:val="18"/>
          <w:szCs w:val="18"/>
        </w:rPr>
        <w:t xml:space="preserve">§7.3.c  </w:t>
      </w:r>
      <w:r>
        <w:rPr>
          <w:rFonts w:ascii="Garamond" w:cs="Garamond" w:eastAsia="Garamond" w:hAnsi="Garamond"/>
          <w:b/>
          <w:bCs/>
          <w:i w:val="false"/>
          <w:iCs w:val="false"/>
          <w:color w:val="1B2A4A"/>
          <w:sz w:val="22"/>
          <w:szCs w:val="22"/>
        </w:rPr>
        <w:t xml:space="preserve">Participation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State may take any action that reduces NVS access, functionality, or availability within its territory. State-level voter suppression — long lines, ID requirements that function as bars, polling place closures that reduce access — is constitutionally prohibited to the extent it reduces access for eligible citizens.</w:t>
      </w:r>
    </w:p>
    <w:p>
      <w:pPr>
        <w:spacing w:after="60" w:before="200"/>
        <w:jc w:val="left"/>
      </w:pPr>
      <w:r>
        <w:rPr>
          <w:rFonts w:ascii="Garamond" w:cs="Garamond" w:eastAsia="Garamond" w:hAnsi="Garamond"/>
          <w:b/>
          <w:bCs/>
          <w:i w:val="false"/>
          <w:iCs w:val="false"/>
          <w:color w:val="1B2A4A"/>
          <w:sz w:val="34"/>
          <w:szCs w:val="34"/>
        </w:rPr>
        <w:t xml:space="preserve">Article VIII — Inspectorates and the State Designee Panel</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Three Inspectorates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Inspectorates — Legislative, Executive, and Judicial — each selected by branches other than those it oversees. The Inspectorates hold an information-only mandate: they publish findings but do not issue binding orders. Each Inspector General serves a 10-year non-renewable term with a constitutionally protected funding floor.</w:t>
      </w:r>
    </w:p>
    <w:p>
      <w:pPr>
        <w:spacing w:after="60" w:before="200"/>
        <w:ind w:left="431"/>
        <w:jc w:val="left"/>
      </w:pPr>
      <w:r>
        <w:rPr>
          <w:rFonts w:ascii="Courier New" w:cs="Courier New" w:eastAsia="Courier New" w:hAnsi="Courier New"/>
          <w:b/>
          <w:bCs/>
          <w:color w:val="1B2A4A"/>
          <w:sz w:val="18"/>
          <w:szCs w:val="18"/>
        </w:rPr>
        <w:t xml:space="preserve">§8.1.a  </w:t>
      </w:r>
      <w:r>
        <w:rPr>
          <w:rFonts w:ascii="Garamond" w:cs="Garamond" w:eastAsia="Garamond" w:hAnsi="Garamond"/>
          <w:b/>
          <w:bCs/>
          <w:i w:val="false"/>
          <w:iCs w:val="false"/>
          <w:color w:val="1B2A4A"/>
          <w:sz w:val="22"/>
          <w:szCs w:val="22"/>
        </w:rPr>
        <w:t xml:space="preserve">The Legislative Inspectorate (LI)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the Legislature for fiscal accuracy, constitutional compliance, and NRS integrity. Conducts the population census (assigned to the LI because the census determines House seat allocation — giving this to a body nominated by the House would be a direct conflict of interest). Reviews House district maps. Publishes germaneness analyses. Annual compliance report published to the NRS. Determines referendum eligibility for citizen-initiated repeal petitions under §11.1.b.</w:t>
      </w:r>
    </w:p>
    <w:p>
      <w:pPr>
        <w:spacing w:after="60" w:before="200"/>
        <w:ind w:left="431"/>
        <w:jc w:val="left"/>
      </w:pPr>
      <w:r>
        <w:rPr>
          <w:rFonts w:ascii="Courier New" w:cs="Courier New" w:eastAsia="Courier New" w:hAnsi="Courier New"/>
          <w:b/>
          <w:bCs/>
          <w:color w:val="1B2A4A"/>
          <w:sz w:val="18"/>
          <w:szCs w:val="18"/>
        </w:rPr>
        <w:t xml:space="preserve">§8.1.b  </w:t>
      </w:r>
      <w:r>
        <w:rPr>
          <w:rFonts w:ascii="Garamond" w:cs="Garamond" w:eastAsia="Garamond" w:hAnsi="Garamond"/>
          <w:b/>
          <w:bCs/>
          <w:i w:val="false"/>
          <w:iCs w:val="false"/>
          <w:color w:val="1B2A4A"/>
          <w:sz w:val="22"/>
          <w:szCs w:val="22"/>
        </w:rPr>
        <w:t xml:space="preserve">The Executive Inspectorate (EI)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both executives and the Monetary Authority. Annual military compliance assessment: were Tier authorizations followed? Was §1.30.d Intelligence Firewall maintained? Were fund certifications observed? Publishes clemency background reports before any executive act. Reviews disclosure records for constitutional appointments.</w:t>
      </w:r>
    </w:p>
    <w:p>
      <w:pPr>
        <w:spacing w:after="60" w:before="200"/>
        <w:ind w:left="431"/>
        <w:jc w:val="left"/>
      </w:pPr>
      <w:r>
        <w:rPr>
          <w:rFonts w:ascii="Courier New" w:cs="Courier New" w:eastAsia="Courier New" w:hAnsi="Courier New"/>
          <w:b/>
          <w:bCs/>
          <w:color w:val="1B2A4A"/>
          <w:sz w:val="18"/>
          <w:szCs w:val="18"/>
        </w:rPr>
        <w:t xml:space="preserve">§8.1.c  </w:t>
      </w:r>
      <w:r>
        <w:rPr>
          <w:rFonts w:ascii="Garamond" w:cs="Garamond" w:eastAsia="Garamond" w:hAnsi="Garamond"/>
          <w:b/>
          <w:bCs/>
          <w:i w:val="false"/>
          <w:iCs w:val="false"/>
          <w:color w:val="1B2A4A"/>
          <w:sz w:val="22"/>
          <w:szCs w:val="22"/>
        </w:rPr>
        <w:t xml:space="preserve">The Judicial Inspectorate (JI)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the courts for judicial scope and independence. Maintains the SC Candidate Registry. Vets judicial nominees and Electoral Commission candidates. Audits the Digital Infrastructure Commission annually. Reviews accommodation compact compliance under §19.1, Associated Community compact compliance under Article XX, and Article XIV indigenous compact obligations. The JI's structural independence — selection by public lottery with no political nomination — makes it the appropriate body to administer all constitutional lottery draws and candidate certification functions throughout the Republic, in addition to its core judicial audit mandate. This dual role is a deliberate constitutional design choice, not an accumulation of functions by default.</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Inspectorate is constituted through a cross-nomination process that structurally excludes the body being watched from selecting those who watch it. The Supreme Court nominates the LI Inspector General, confirmed by Senate 2/3 supermajority. The House nominates the EI Inspector General, confirmed by Senate simple majority with JI vetting. The JI Inspector General is selected by public lottery with no political nomination by any branch.</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Inspector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 General is selected through a cross-nomination process that excludes the body being watched, as specified in §8.3.a through §8.3.c.</w:t>
      </w:r>
    </w:p>
    <w:p>
      <w:pPr>
        <w:spacing w:after="60" w:before="200"/>
        <w:ind w:left="431"/>
        <w:jc w:val="left"/>
      </w:pPr>
      <w:r>
        <w:rPr>
          <w:rFonts w:ascii="Courier New" w:cs="Courier New" w:eastAsia="Courier New" w:hAnsi="Courier New"/>
          <w:b/>
          <w:bCs/>
          <w:color w:val="1B2A4A"/>
          <w:sz w:val="18"/>
          <w:szCs w:val="18"/>
        </w:rPr>
        <w:t xml:space="preserve">§8.3.a  </w:t>
      </w:r>
      <w:r>
        <w:rPr>
          <w:rFonts w:ascii="Garamond" w:cs="Garamond" w:eastAsia="Garamond" w:hAnsi="Garamond"/>
          <w:b/>
          <w:bCs/>
          <w:i w:val="false"/>
          <w:iCs w:val="false"/>
          <w:color w:val="1B2A4A"/>
          <w:sz w:val="22"/>
          <w:szCs w:val="22"/>
        </w:rPr>
        <w:t xml:space="preserve">Legislative IG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Inspector General is nominated by the Supreme Court, confirmed by the Senate by 2/3 supermajority. The House is entirely excluded — the body whose seat allocation the census determines has no role in selecting the office that conducts the census. The 2/3 Senate threshold ensures the LI IG commands cross-party support.</w:t>
      </w:r>
    </w:p>
    <w:p>
      <w:pPr>
        <w:spacing w:after="60" w:before="200"/>
        <w:ind w:left="431"/>
        <w:jc w:val="left"/>
      </w:pPr>
      <w:r>
        <w:rPr>
          <w:rFonts w:ascii="Courier New" w:cs="Courier New" w:eastAsia="Courier New" w:hAnsi="Courier New"/>
          <w:b/>
          <w:bCs/>
          <w:color w:val="1B2A4A"/>
          <w:sz w:val="18"/>
          <w:szCs w:val="18"/>
        </w:rPr>
        <w:t xml:space="preserve">§8.3.b  </w:t>
      </w:r>
      <w:r>
        <w:rPr>
          <w:rFonts w:ascii="Garamond" w:cs="Garamond" w:eastAsia="Garamond" w:hAnsi="Garamond"/>
          <w:b/>
          <w:bCs/>
          <w:i w:val="false"/>
          <w:iCs w:val="false"/>
          <w:color w:val="1B2A4A"/>
          <w:sz w:val="22"/>
          <w:szCs w:val="22"/>
        </w:rPr>
        <w:t xml:space="preserve">Executive IG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Inspector General is nominated by the House, confirmed by the Senate by simple majority, with JI vetting of the nominee's disclosure record before the confirmation vote. The House nominates the EI because the PM — whom the EI watches — is accountable to the House, creating structural alignment without giving the PM or President control over selection.</w:t>
      </w:r>
    </w:p>
    <w:p>
      <w:pPr>
        <w:spacing w:after="60" w:before="200"/>
        <w:ind w:left="431"/>
        <w:jc w:val="left"/>
      </w:pPr>
      <w:r>
        <w:rPr>
          <w:rFonts w:ascii="Courier New" w:cs="Courier New" w:eastAsia="Courier New" w:hAnsi="Courier New"/>
          <w:b/>
          <w:bCs/>
          <w:color w:val="1B2A4A"/>
          <w:sz w:val="18"/>
          <w:szCs w:val="18"/>
        </w:rPr>
        <w:t xml:space="preserve">§8.3.c  </w:t>
      </w:r>
      <w:r>
        <w:rPr>
          <w:rFonts w:ascii="Garamond" w:cs="Garamond" w:eastAsia="Garamond" w:hAnsi="Garamond"/>
          <w:b/>
          <w:bCs/>
          <w:i w:val="false"/>
          <w:iCs w:val="false"/>
          <w:color w:val="1B2A4A"/>
          <w:sz w:val="22"/>
          <w:szCs w:val="22"/>
        </w:rPr>
        <w:t xml:space="preserve">Term and Staggering</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IGs serve 10-year non-renewable terms. No two IG terms may begin within 18 months of each other, ensuring continuous institutional knowledge. An outgoing IG may not be reappointed to the same office. The stagger means the system never faces simultaneous turnover in multiple offices.</w:t>
      </w:r>
    </w:p>
    <w:p>
      <w:pPr>
        <w:spacing w:after="60" w:before="200"/>
        <w:ind w:left="431"/>
        <w:jc w:val="left"/>
      </w:pPr>
      <w:r>
        <w:rPr>
          <w:rFonts w:ascii="Courier New" w:cs="Courier New" w:eastAsia="Courier New" w:hAnsi="Courier New"/>
          <w:b/>
          <w:bCs/>
          <w:color w:val="1B2A4A"/>
          <w:sz w:val="18"/>
          <w:szCs w:val="18"/>
        </w:rPr>
        <w:t xml:space="preserve">§8.4  </w:t>
      </w:r>
      <w:r>
        <w:rPr>
          <w:rFonts w:ascii="Garamond" w:cs="Garamond" w:eastAsia="Garamond" w:hAnsi="Garamond"/>
          <w:b/>
          <w:bCs/>
          <w:i w:val="false"/>
          <w:iCs w:val="false"/>
          <w:color w:val="1B2A4A"/>
          <w:sz w:val="22"/>
          <w:szCs w:val="22"/>
        </w:rPr>
        <w:t xml:space="preserve">Judicial Inspectorate — Audit and Certification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Judicial Inspectorate holds two constitutional mandates. First, as auditor: it monitors the court system, administers the SC candidate registry, and conducts compliance audits across compact obligations. Second, as certification administrator: it certifies lottery draws and panel selections throughout the constitution, including the State Designee Panel, the Regional Boundary Commission, and the RSA Technical Integrity Commission. Both mandates are informational only — the JI publishes findings and certifies processes; it does not issue binding orders or control outcomes.</w:t>
      </w:r>
    </w:p>
    <w:p>
      <w:pPr>
        <w:spacing w:after="60" w:before="200"/>
        <w:ind w:left="431"/>
        <w:jc w:val="left"/>
      </w:pPr>
      <w:r>
        <w:rPr>
          <w:rFonts w:ascii="Courier New" w:cs="Courier New" w:eastAsia="Courier New" w:hAnsi="Courier New"/>
          <w:b/>
          <w:bCs/>
          <w:color w:val="1B2A4A"/>
          <w:sz w:val="18"/>
          <w:szCs w:val="18"/>
        </w:rPr>
        <w:t xml:space="preserve">§8.4.a  </w:t>
      </w:r>
      <w:r>
        <w:rPr>
          <w:rFonts w:ascii="Garamond" w:cs="Garamond" w:eastAsia="Garamond" w:hAnsi="Garamond"/>
          <w:b/>
          <w:bCs/>
          <w:i w:val="false"/>
          <w:iCs w:val="false"/>
          <w:color w:val="1B2A4A"/>
          <w:sz w:val="22"/>
          <w:szCs w:val="22"/>
        </w:rPr>
        <w:t xml:space="preserve">Judicial IG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Inspector General is drawn by public lottery from a qualified candidate pool. The outgoing JI IG administers the draw, witnessed by the other two IGs and three citizens chosen by jury protocols. Published to the NRS immediately. No political body nominates the JI IG — the most structurally independent selection mechanism in the constitution. Where there is no outgoing JI IG — on the first-ever selection or where the outgoing IG has been removed or is incapacitated — the draw is administered jointly by the LI and EI Inspector Generals.</w:t>
      </w:r>
    </w:p>
    <w:p>
      <w:pPr>
        <w:spacing w:after="60" w:before="200"/>
        <w:ind w:left="431"/>
        <w:jc w:val="left"/>
      </w:pPr>
      <w:r>
        <w:rPr>
          <w:rFonts w:ascii="Courier New" w:cs="Courier New" w:eastAsia="Courier New" w:hAnsi="Courier New"/>
          <w:b/>
          <w:bCs/>
          <w:color w:val="1B2A4A"/>
          <w:sz w:val="18"/>
          <w:szCs w:val="18"/>
        </w:rPr>
        <w:t xml:space="preserve">§8.4.b  </w:t>
      </w:r>
      <w:r>
        <w:rPr>
          <w:rFonts w:ascii="Garamond" w:cs="Garamond" w:eastAsia="Garamond" w:hAnsi="Garamond"/>
          <w:b/>
          <w:bCs/>
          <w:i w:val="false"/>
          <w:iCs w:val="false"/>
          <w:color w:val="1B2A4A"/>
          <w:sz w:val="22"/>
          <w:szCs w:val="22"/>
        </w:rPr>
        <w:t xml:space="preserve">JI Compact Compliance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compliance reviews for §19.1 accommodation compacts, Article XX Associated Community compacts, and Article XIV indigenous compact obligations. The JI verifies that Article I rights protections are being maintained and that compact terms are being honored by both parties.</w:t>
      </w:r>
    </w:p>
    <w:p>
      <w:pPr>
        <w:spacing w:after="60" w:before="200"/>
        <w:ind w:left="431"/>
        <w:jc w:val="left"/>
      </w:pPr>
      <w:r>
        <w:rPr>
          <w:rFonts w:ascii="Courier New" w:cs="Courier New" w:eastAsia="Courier New" w:hAnsi="Courier New"/>
          <w:b/>
          <w:bCs/>
          <w:color w:val="1B2A4A"/>
          <w:sz w:val="18"/>
          <w:szCs w:val="18"/>
        </w:rPr>
        <w:t xml:space="preserve">§8.4.c  </w:t>
      </w:r>
      <w:r>
        <w:rPr>
          <w:rFonts w:ascii="Garamond" w:cs="Garamond" w:eastAsia="Garamond" w:hAnsi="Garamond"/>
          <w:b/>
          <w:bCs/>
          <w:i w:val="false"/>
          <w:iCs w:val="false"/>
          <w:color w:val="1B2A4A"/>
          <w:sz w:val="22"/>
          <w:szCs w:val="22"/>
        </w:rPr>
        <w:t xml:space="preserve">JI Court Operations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audit of the court system for judicial scope compliance, independence from political pressure, and proper administration of judicial functions. The JI does not audit judicial reasoning — it audits whether courts are operating within their constitutional mandate and free from inappropriate influence.</w:t>
      </w:r>
    </w:p>
    <w:p>
      <w:pPr>
        <w:spacing w:after="60" w:before="200"/>
        <w:ind w:left="431"/>
        <w:jc w:val="left"/>
      </w:pPr>
      <w:r>
        <w:rPr>
          <w:rFonts w:ascii="Courier New" w:cs="Courier New" w:eastAsia="Courier New" w:hAnsi="Courier New"/>
          <w:b/>
          <w:bCs/>
          <w:color w:val="1B2A4A"/>
          <w:sz w:val="18"/>
          <w:szCs w:val="18"/>
        </w:rPr>
        <w:t xml:space="preserve">§8.4.d  </w:t>
      </w:r>
      <w:r>
        <w:rPr>
          <w:rFonts w:ascii="Garamond" w:cs="Garamond" w:eastAsia="Garamond" w:hAnsi="Garamond"/>
          <w:b/>
          <w:bCs/>
          <w:i w:val="false"/>
          <w:iCs w:val="false"/>
          <w:color w:val="1B2A4A"/>
          <w:sz w:val="22"/>
          <w:szCs w:val="22"/>
        </w:rPr>
        <w:t xml:space="preserve">JI Electoral Commission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audit of the EC for electoral integrity compliance, administrative accuracy, and independence. Distinct from the EI's executive compliance audit — the JI focuses on electoral administration integrity. Published to the NRS as a standalone annual report.</w:t>
      </w:r>
    </w:p>
    <w:p>
      <w:pPr>
        <w:spacing w:after="60" w:before="200"/>
        <w:ind w:left="431"/>
        <w:jc w:val="left"/>
      </w:pPr>
      <w:r>
        <w:rPr>
          <w:rFonts w:ascii="Courier New" w:cs="Courier New" w:eastAsia="Courier New" w:hAnsi="Courier New"/>
          <w:b/>
          <w:bCs/>
          <w:color w:val="1B2A4A"/>
          <w:sz w:val="18"/>
          <w:szCs w:val="18"/>
        </w:rPr>
        <w:t xml:space="preserve">§8.4.e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maintains the standing registry from which SC candidates are drawn. Any citizen meeting the eligibility criteria (15+ years legal practice or 10+ years judicial service, no current government position, no disqualifying financial interest) may apply. Applications reviewed within 21 days. Registry inclusion does not expire.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§8.4.f  </w:t>
      </w:r>
      <w:r>
        <w:rPr>
          <w:rFonts w:ascii="Garamond" w:cs="Garamond" w:eastAsia="Garamond" w:hAnsi="Garamond"/>
          <w:b/>
          <w:bCs/>
          <w:i w:val="false"/>
          <w:iCs w:val="false"/>
          <w:color w:val="1B2A4A"/>
          <w:sz w:val="22"/>
          <w:szCs w:val="22"/>
        </w:rPr>
        <w:t xml:space="preserve">JI Judicial Independence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published audit of the entire court system. The JI audits the independence of the process, not judicial reasoning or outcomes: are judges free from political pressure? Are proper recusal procedures being followed? Are ex parte communications being reported? Are court appointments following constitutional processes?</w:t>
      </w:r>
    </w:p>
    <w:p>
      <w:pPr>
        <w:spacing w:after="60" w:before="200"/>
        <w:ind w:left="431"/>
        <w:jc w:val="left"/>
      </w:pPr>
      <w:r>
        <w:rPr>
          <w:rFonts w:ascii="Courier New" w:cs="Courier New" w:eastAsia="Courier New" w:hAnsi="Courier New"/>
          <w:b/>
          <w:bCs/>
          <w:color w:val="1B2A4A"/>
          <w:sz w:val="18"/>
          <w:szCs w:val="18"/>
        </w:rPr>
        <w:t xml:space="preserve">§8.4.g  </w:t>
      </w:r>
      <w:r>
        <w:rPr>
          <w:rFonts w:ascii="Garamond" w:cs="Garamond" w:eastAsia="Garamond" w:hAnsi="Garamond"/>
          <w:b/>
          <w:bCs/>
          <w:i w:val="false"/>
          <w:iCs w:val="false"/>
          <w:color w:val="1B2A4A"/>
          <w:sz w:val="22"/>
          <w:szCs w:val="22"/>
        </w:rPr>
        <w:t xml:space="preserve">SC Independence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annual judicial audit, the JI publishes a specific assessment of SC independence: the integrity of the SC election process; any attempts to influence SC candidates before election; any contacts between SC justices and political actors not disclosed to the NRS; the adequacy of the SC's internal disclosure protocols.</w:t>
      </w:r>
    </w:p>
    <w:p>
      <w:pPr>
        <w:spacing w:after="60" w:before="200"/>
        <w:ind w:left="431"/>
        <w:jc w:val="left"/>
      </w:pPr>
      <w:r>
        <w:rPr>
          <w:rFonts w:ascii="Courier New" w:cs="Courier New" w:eastAsia="Courier New" w:hAnsi="Courier New"/>
          <w:b/>
          <w:bCs/>
          <w:color w:val="1B2A4A"/>
          <w:sz w:val="18"/>
          <w:szCs w:val="18"/>
        </w:rPr>
        <w:t xml:space="preserve">§8.4.h  </w:t>
      </w:r>
      <w:r>
        <w:rPr>
          <w:rFonts w:ascii="Garamond" w:cs="Garamond" w:eastAsia="Garamond" w:hAnsi="Garamond"/>
          <w:b/>
          <w:bCs/>
          <w:i w:val="false"/>
          <w:iCs w:val="false"/>
          <w:color w:val="1B2A4A"/>
          <w:sz w:val="22"/>
          <w:szCs w:val="22"/>
        </w:rPr>
        <w:t xml:space="preserve">Inferior Court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inferior courts for compliance with their jurisdictional limits under §4.3.b. Courts that repeatedly exceed their jurisdictional scope, or demonstrate a pattern of failing to apply constitutional standards, are flagged in the JI annual report. The JI identifies systemic compliance issues for legislative or SC attention.</w:t>
      </w:r>
    </w:p>
    <w:p>
      <w:pPr>
        <w:spacing w:after="60" w:before="200"/>
        <w:ind w:left="431"/>
        <w:jc w:val="left"/>
      </w:pPr>
      <w:r>
        <w:rPr>
          <w:rFonts w:ascii="Courier New" w:cs="Courier New" w:eastAsia="Courier New" w:hAnsi="Courier New"/>
          <w:b/>
          <w:bCs/>
          <w:color w:val="1B2A4A"/>
          <w:sz w:val="18"/>
          <w:szCs w:val="18"/>
        </w:rPr>
        <w:t xml:space="preserve">§8.4.i  </w:t>
      </w:r>
      <w:r>
        <w:rPr>
          <w:rFonts w:ascii="Garamond" w:cs="Garamond" w:eastAsia="Garamond" w:hAnsi="Garamond"/>
          <w:b/>
          <w:bCs/>
          <w:i w:val="false"/>
          <w:iCs w:val="false"/>
          <w:color w:val="1B2A4A"/>
          <w:sz w:val="22"/>
          <w:szCs w:val="22"/>
        </w:rPr>
        <w:t xml:space="preserve">Gatekeeping Appeal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candidate removed from a ballot by the JI's certification function may appeal to the Appellate Court within 14 days. The Court reviews only whether the JI correctly applied the eligibility criteria. Must rule within 21 days. If the removal is found improper, the candidate is reinstated to the ballot.</w:t>
      </w:r>
    </w:p>
    <w:p>
      <w:pPr>
        <w:spacing w:after="60" w:before="200"/>
        <w:ind w:left="431"/>
        <w:jc w:val="left"/>
      </w:pPr>
      <w:r>
        <w:rPr>
          <w:rFonts w:ascii="Courier New" w:cs="Courier New" w:eastAsia="Courier New" w:hAnsi="Courier New"/>
          <w:b/>
          <w:bCs/>
          <w:color w:val="1B2A4A"/>
          <w:sz w:val="18"/>
          <w:szCs w:val="18"/>
        </w:rPr>
        <w:t xml:space="preserve">§8.5  </w:t>
      </w:r>
      <w:r>
        <w:rPr>
          <w:rFonts w:ascii="Garamond" w:cs="Garamond" w:eastAsia="Garamond" w:hAnsi="Garamond"/>
          <w:b/>
          <w:bCs/>
          <w:i w:val="false"/>
          <w:iCs w:val="false"/>
          <w:color w:val="1B2A4A"/>
          <w:sz w:val="22"/>
          <w:szCs w:val="22"/>
        </w:rPr>
        <w:t xml:space="preserve">Inspector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Inspector General may be removed only through the mechanisms specified in this section.</w:t>
      </w:r>
    </w:p>
    <w:p>
      <w:pPr>
        <w:spacing w:after="60" w:before="200"/>
        <w:ind w:left="431"/>
        <w:jc w:val="left"/>
      </w:pPr>
      <w:r>
        <w:rPr>
          <w:rFonts w:ascii="Courier New" w:cs="Courier New" w:eastAsia="Courier New" w:hAnsi="Courier New"/>
          <w:b/>
          <w:bCs/>
          <w:color w:val="1B2A4A"/>
          <w:sz w:val="18"/>
          <w:szCs w:val="18"/>
        </w:rPr>
        <w:t xml:space="preserve">§8.5.a  </w:t>
      </w:r>
      <w:r>
        <w:rPr>
          <w:rFonts w:ascii="Garamond" w:cs="Garamond" w:eastAsia="Garamond" w:hAnsi="Garamond"/>
          <w:b/>
          <w:bCs/>
          <w:i w:val="false"/>
          <w:iCs w:val="false"/>
          <w:color w:val="1B2A4A"/>
          <w:sz w:val="22"/>
          <w:szCs w:val="22"/>
        </w:rPr>
        <w:t xml:space="preserve">For-Cause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 Inspector General requires a 2/3 vote of both chambers simultaneously, preceded by a substantiated finding from a State Designee Panel under §8.9.f. Duty suspension triggers upon publication of a substantiated Panel finding, pending the legislative vote and any SC review.</w:t>
      </w:r>
    </w:p>
    <w:p>
      <w:pPr>
        <w:spacing w:after="60" w:before="200"/>
        <w:ind w:left="431"/>
        <w:jc w:val="left"/>
      </w:pPr>
      <w:r>
        <w:rPr>
          <w:rFonts w:ascii="Courier New" w:cs="Courier New" w:eastAsia="Courier New" w:hAnsi="Courier New"/>
          <w:b/>
          <w:bCs/>
          <w:color w:val="1B2A4A"/>
          <w:sz w:val="18"/>
          <w:szCs w:val="18"/>
        </w:rPr>
        <w:t xml:space="preserve">§8.5.b  </w:t>
      </w:r>
      <w:r>
        <w:rPr>
          <w:rFonts w:ascii="Garamond" w:cs="Garamond" w:eastAsia="Garamond" w:hAnsi="Garamond"/>
          <w:b/>
          <w:bCs/>
          <w:i w:val="false"/>
          <w:iCs w:val="false"/>
          <w:color w:val="1B2A4A"/>
          <w:sz w:val="22"/>
          <w:szCs w:val="22"/>
        </w:rPr>
        <w:t xml:space="preserve">No-Cause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IG may be removed without cause by 3/4 of both chambers simultaneously, except the Judicial Inspectorate IG under §8.5.c, whose lottery-based selection makes no-cause removal equivalent to a political veto over the draw result. The higher threshold (3/4 vs 2/3 for cause) ensures no-cause removal is used only when extraordinary circumstances make continued service untenable regardless of conduct.</w:t>
      </w:r>
    </w:p>
    <w:p>
      <w:pPr>
        <w:spacing w:after="60" w:before="200"/>
        <w:ind w:left="431"/>
        <w:jc w:val="left"/>
      </w:pPr>
      <w:r>
        <w:rPr>
          <w:rFonts w:ascii="Courier New" w:cs="Courier New" w:eastAsia="Courier New" w:hAnsi="Courier New"/>
          <w:b/>
          <w:bCs/>
          <w:color w:val="1B2A4A"/>
          <w:sz w:val="18"/>
          <w:szCs w:val="18"/>
        </w:rPr>
        <w:t xml:space="preserve">§8.5.c  </w:t>
      </w:r>
      <w:r>
        <w:rPr>
          <w:rFonts w:ascii="Garamond" w:cs="Garamond" w:eastAsia="Garamond" w:hAnsi="Garamond"/>
          <w:b/>
          <w:bCs/>
          <w:i w:val="false"/>
          <w:iCs w:val="false"/>
          <w:color w:val="1B2A4A"/>
          <w:sz w:val="22"/>
          <w:szCs w:val="22"/>
        </w:rPr>
        <w:t xml:space="preserve">Judicial IG — For-Cause Only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IG may only be removed for cause; no-cause removal is not available. The JI's lottery-based selection and its role in judicial independence oversight makes it the most insulated of the three offices.</w:t>
      </w:r>
    </w:p>
    <w:p>
      <w:pPr>
        <w:spacing w:after="60" w:before="200"/>
        <w:ind w:left="431"/>
        <w:jc w:val="left"/>
      </w:pPr>
      <w:r>
        <w:rPr>
          <w:rFonts w:ascii="Courier New" w:cs="Courier New" w:eastAsia="Courier New" w:hAnsi="Courier New"/>
          <w:b/>
          <w:bCs/>
          <w:color w:val="1B2A4A"/>
          <w:sz w:val="18"/>
          <w:szCs w:val="18"/>
        </w:rPr>
        <w:t xml:space="preserve">§8.6  </w:t>
      </w:r>
      <w:r>
        <w:rPr>
          <w:rFonts w:ascii="Garamond" w:cs="Garamond" w:eastAsia="Garamond" w:hAnsi="Garamond"/>
          <w:b/>
          <w:bCs/>
          <w:i w:val="false"/>
          <w:iCs w:val="false"/>
          <w:color w:val="1B2A4A"/>
          <w:sz w:val="22"/>
          <w:szCs w:val="22"/>
        </w:rPr>
        <w:t xml:space="preserve">Inspectorate Operations and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operate under a shared information-only mandate: they observe, audit, and publish.</w:t>
      </w:r>
    </w:p>
    <w:p>
      <w:pPr>
        <w:spacing w:after="60" w:before="200"/>
        <w:ind w:left="431"/>
        <w:jc w:val="left"/>
      </w:pPr>
      <w:r>
        <w:rPr>
          <w:rFonts w:ascii="Courier New" w:cs="Courier New" w:eastAsia="Courier New" w:hAnsi="Courier New"/>
          <w:b/>
          <w:bCs/>
          <w:color w:val="1B2A4A"/>
          <w:sz w:val="18"/>
          <w:szCs w:val="18"/>
        </w:rPr>
        <w:t xml:space="preserve">§8.6.a  </w:t>
      </w:r>
      <w:r>
        <w:rPr>
          <w:rFonts w:ascii="Garamond" w:cs="Garamond" w:eastAsia="Garamond" w:hAnsi="Garamond"/>
          <w:b/>
          <w:bCs/>
          <w:i w:val="false"/>
          <w:iCs w:val="false"/>
          <w:color w:val="1B2A4A"/>
          <w:sz w:val="22"/>
          <w:szCs w:val="22"/>
        </w:rPr>
        <w:t xml:space="preserve">Information-Only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Inspectorates publish facts; they do not issue binding orders or legal determinations. A finding that a government actor has breached the constitution is a factual statement, not a judgment.</w:t>
      </w:r>
    </w:p>
    <w:p>
      <w:pPr>
        <w:spacing w:after="60" w:before="200"/>
        <w:ind w:left="431"/>
        <w:jc w:val="left"/>
      </w:pPr>
      <w:r>
        <w:rPr>
          <w:rFonts w:ascii="Courier New" w:cs="Courier New" w:eastAsia="Courier New" w:hAnsi="Courier New"/>
          <w:b/>
          <w:bCs/>
          <w:color w:val="1B2A4A"/>
          <w:sz w:val="18"/>
          <w:szCs w:val="18"/>
        </w:rPr>
        <w:t xml:space="preserve">§8.6.b  </w:t>
      </w:r>
      <w:r>
        <w:rPr>
          <w:rFonts w:ascii="Garamond" w:cs="Garamond" w:eastAsia="Garamond" w:hAnsi="Garamond"/>
          <w:b/>
          <w:bCs/>
          <w:i w:val="false"/>
          <w:iCs w:val="false"/>
          <w:color w:val="1B2A4A"/>
          <w:sz w:val="22"/>
          <w:szCs w:val="22"/>
        </w:rPr>
        <w:t xml:space="preserve">NRS Publication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Inspectorate finding, report, and discrepancy notice must be published to the NRS permanently and free of charge. No official may suppress, delay, classify, or alter an Inspectorate Report before publication. The publication requirement is absolute.</w:t>
      </w:r>
    </w:p>
    <w:p>
      <w:pPr>
        <w:spacing w:after="60" w:before="200"/>
        <w:ind w:left="431"/>
        <w:jc w:val="left"/>
      </w:pPr>
      <w:r>
        <w:rPr>
          <w:rFonts w:ascii="Courier New" w:cs="Courier New" w:eastAsia="Courier New" w:hAnsi="Courier New"/>
          <w:b/>
          <w:bCs/>
          <w:color w:val="1B2A4A"/>
          <w:sz w:val="18"/>
          <w:szCs w:val="18"/>
        </w:rPr>
        <w:t xml:space="preserve">§8.6.c  </w:t>
      </w:r>
      <w:r>
        <w:rPr>
          <w:rFonts w:ascii="Garamond" w:cs="Garamond" w:eastAsia="Garamond" w:hAnsi="Garamond"/>
          <w:b/>
          <w:bCs/>
          <w:i w:val="false"/>
          <w:iCs w:val="false"/>
          <w:color w:val="1B2A4A"/>
          <w:sz w:val="22"/>
          <w:szCs w:val="22"/>
        </w:rPr>
        <w:t xml:space="preserve">Minority Reports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staff member may publish a Minority Report directly to the NRS if they believe a finding has been improperly omitted or suppressed by the IG. Staff cannot be disciplined for filing a Minority Report — the protection is absolute. Creates an internal whistleblower mechanism within the Inspectorate's own accountability structure.</w:t>
      </w:r>
    </w:p>
    <w:p>
      <w:pPr>
        <w:spacing w:after="60" w:before="200"/>
        <w:ind w:left="431"/>
        <w:jc w:val="left"/>
      </w:pPr>
      <w:r>
        <w:rPr>
          <w:rFonts w:ascii="Courier New" w:cs="Courier New" w:eastAsia="Courier New" w:hAnsi="Courier New"/>
          <w:b/>
          <w:bCs/>
          <w:color w:val="1B2A4A"/>
          <w:sz w:val="18"/>
          <w:szCs w:val="18"/>
        </w:rPr>
        <w:t xml:space="preserve">§8.6.d  </w:t>
      </w:r>
      <w:r>
        <w:rPr>
          <w:rFonts w:ascii="Garamond" w:cs="Garamond" w:eastAsia="Garamond" w:hAnsi="Garamond"/>
          <w:b/>
          <w:bCs/>
          <w:i w:val="false"/>
          <w:iCs w:val="false"/>
          <w:color w:val="1B2A4A"/>
          <w:sz w:val="22"/>
          <w:szCs w:val="22"/>
        </w:rPr>
        <w:t xml:space="preserve">Classification Exemption for Inspectorate Reports</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 Reports are permanently exempt from classification. If an investigation involves classified material, the Report describes the issue's nature without reproducing classified content and flags it for the relevant executive. The classification exemption is one of the few absolute rules in the constitution — it admits no national security exception.</w:t>
      </w:r>
    </w:p>
    <w:p>
      <w:pPr>
        <w:spacing w:after="60" w:before="200"/>
        <w:ind w:left="431"/>
        <w:jc w:val="left"/>
      </w:pPr>
      <w:r>
        <w:rPr>
          <w:rFonts w:ascii="Courier New" w:cs="Courier New" w:eastAsia="Courier New" w:hAnsi="Courier New"/>
          <w:b/>
          <w:bCs/>
          <w:color w:val="1B2A4A"/>
          <w:sz w:val="18"/>
          <w:szCs w:val="18"/>
        </w:rPr>
        <w:t xml:space="preserve">§8.6.e  </w:t>
      </w:r>
      <w:r>
        <w:rPr>
          <w:rFonts w:ascii="Garamond" w:cs="Garamond" w:eastAsia="Garamond" w:hAnsi="Garamond"/>
          <w:b/>
          <w:bCs/>
          <w:i w:val="false"/>
          <w:iCs w:val="false"/>
          <w:color w:val="1B2A4A"/>
          <w:sz w:val="22"/>
          <w:szCs w:val="22"/>
        </w:rPr>
        <w:t xml:space="preserve">Annual State of the Republic Report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jointly publish an annual report on a constitutionally fixed date, regardless of whether any political actor requests it. Covers compliance rates, investigation summaries, constitutional strains, and a forward-looking risk register. No government actor may delay, suppress, or require advance review.</w:t>
      </w:r>
    </w:p>
    <w:p>
      <w:pPr>
        <w:spacing w:after="60" w:before="200"/>
        <w:ind w:left="431"/>
        <w:jc w:val="left"/>
      </w:pPr>
      <w:r>
        <w:rPr>
          <w:rFonts w:ascii="Courier New" w:cs="Courier New" w:eastAsia="Courier New" w:hAnsi="Courier New"/>
          <w:b/>
          <w:bCs/>
          <w:color w:val="1B2A4A"/>
          <w:sz w:val="18"/>
          <w:szCs w:val="18"/>
        </w:rPr>
        <w:t xml:space="preserve">§8.6.f  </w:t>
      </w:r>
      <w:r>
        <w:rPr>
          <w:rFonts w:ascii="Garamond" w:cs="Garamond" w:eastAsia="Garamond" w:hAnsi="Garamond"/>
          <w:b/>
          <w:bCs/>
          <w:i w:val="false"/>
          <w:iCs w:val="false"/>
          <w:color w:val="1B2A4A"/>
          <w:sz w:val="22"/>
          <w:szCs w:val="22"/>
        </w:rPr>
        <w:t xml:space="preserve">Joint Investigation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compliance question spans multiple Inspectorate mandates, the Inspectorates may conduct a joint investigation. Joint findings are published as a combined report. Neither IG may veto the other's contribution to a joint finding.</w:t>
      </w:r>
    </w:p>
    <w:p>
      <w:pPr>
        <w:spacing w:after="60" w:before="200"/>
        <w:ind w:left="431"/>
        <w:jc w:val="left"/>
      </w:pPr>
      <w:r>
        <w:rPr>
          <w:rFonts w:ascii="Courier New" w:cs="Courier New" w:eastAsia="Courier New" w:hAnsi="Courier New"/>
          <w:b/>
          <w:bCs/>
          <w:color w:val="1B2A4A"/>
          <w:sz w:val="18"/>
          <w:szCs w:val="18"/>
        </w:rPr>
        <w:t xml:space="preserve">§8.6.g  </w:t>
      </w:r>
      <w:r>
        <w:rPr>
          <w:rFonts w:ascii="Garamond" w:cs="Garamond" w:eastAsia="Garamond" w:hAnsi="Garamond"/>
          <w:b/>
          <w:bCs/>
          <w:i w:val="false"/>
          <w:iCs w:val="false"/>
          <w:color w:val="1B2A4A"/>
          <w:sz w:val="22"/>
          <w:szCs w:val="22"/>
        </w:rPr>
        <w:t xml:space="preserve">Investigative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unrestricted access to records, personnel, facilities, and systems within their audit mandate. No official may obstruct, delay, or impede an Inspectorate investigation. Obstruction is a constitutional breach reportable by the affected Inspectorate to the NRS.</w:t>
      </w:r>
    </w:p>
    <w:p>
      <w:pPr>
        <w:spacing w:after="60" w:before="200"/>
        <w:ind w:left="431"/>
        <w:jc w:val="left"/>
      </w:pPr>
      <w:r>
        <w:rPr>
          <w:rFonts w:ascii="Courier New" w:cs="Courier New" w:eastAsia="Courier New" w:hAnsi="Courier New"/>
          <w:b/>
          <w:bCs/>
          <w:color w:val="1B2A4A"/>
          <w:sz w:val="18"/>
          <w:szCs w:val="18"/>
        </w:rPr>
        <w:t xml:space="preserve">§8.7  </w:t>
      </w:r>
      <w:r>
        <w:rPr>
          <w:rFonts w:ascii="Garamond" w:cs="Garamond" w:eastAsia="Garamond" w:hAnsi="Garamond"/>
          <w:b/>
          <w:bCs/>
          <w:i w:val="false"/>
          <w:iCs w:val="false"/>
          <w:color w:val="1B2A4A"/>
          <w:sz w:val="22"/>
          <w:szCs w:val="22"/>
        </w:rPr>
        <w:t xml:space="preserve">Triggered Investigations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may investigate a constitutional officer for dereliction: failure to perform a constitutionally mandated function. Dereliction is distinct from breach — breach is doing something unconstitutional, dereliction is failing to do something constitutionally required. The EI publishes its dereliction findings to the NRS.</w:t>
      </w:r>
    </w:p>
    <w:p>
      <w:pPr>
        <w:spacing w:after="60" w:before="200"/>
        <w:ind w:left="431"/>
        <w:jc w:val="left"/>
      </w:pPr>
      <w:r>
        <w:rPr>
          <w:rFonts w:ascii="Courier New" w:cs="Courier New" w:eastAsia="Courier New" w:hAnsi="Courier New"/>
          <w:b/>
          <w:bCs/>
          <w:color w:val="1B2A4A"/>
          <w:sz w:val="18"/>
          <w:szCs w:val="18"/>
        </w:rPr>
        <w:t xml:space="preserve">§8.7.a  </w:t>
      </w:r>
      <w:r>
        <w:rPr>
          <w:rFonts w:ascii="Garamond" w:cs="Garamond" w:eastAsia="Garamond" w:hAnsi="Garamond"/>
          <w:b/>
          <w:bCs/>
          <w:i w:val="false"/>
          <w:iCs w:val="false"/>
          <w:color w:val="1B2A4A"/>
          <w:sz w:val="22"/>
          <w:szCs w:val="22"/>
        </w:rPr>
        <w:t xml:space="preserve">Official Trigger</w:t>
      </w:r>
    </w:p>
    <w:p>
      <w:pPr>
        <w:spacing w:after="120" w:before="0"/>
        <w:ind w:left="431"/>
        <w:jc w:val="both"/>
      </w:pPr>
      <w:r>
        <w:rPr>
          <w:rFonts w:ascii="Garamond" w:cs="Garamond" w:eastAsia="Garamond" w:hAnsi="Garamond"/>
          <w:b w:val="false"/>
          <w:bCs w:val="false"/>
          <w:i w:val="false"/>
          <w:iCs w:val="false"/>
          <w:color w:val="2a2520"/>
          <w:sz w:val="22"/>
          <w:szCs w:val="22"/>
        </w:rPr>
        <w:t xml:space="preserve">Dereliction requires: (a) the constitutional function is clearly established; (b) the officer failed to perform it within the constitutionally required period; and (c) the failure was not caused by circumstances genuinely beyond the officer's control. Political disagreement with a constitutional requirement is not a defense.</w:t>
      </w:r>
    </w:p>
    <w:p>
      <w:pPr>
        <w:spacing w:after="60" w:before="200"/>
        <w:ind w:left="431"/>
        <w:jc w:val="left"/>
      </w:pPr>
      <w:r>
        <w:rPr>
          <w:rFonts w:ascii="Courier New" w:cs="Courier New" w:eastAsia="Courier New" w:hAnsi="Courier New"/>
          <w:b/>
          <w:bCs/>
          <w:color w:val="1B2A4A"/>
          <w:sz w:val="18"/>
          <w:szCs w:val="18"/>
        </w:rPr>
        <w:t xml:space="preserve">§8.8  </w:t>
      </w:r>
      <w:r>
        <w:rPr>
          <w:rFonts w:ascii="Garamond" w:cs="Garamond" w:eastAsia="Garamond" w:hAnsi="Garamond"/>
          <w:b/>
          <w:bCs/>
          <w:i w:val="false"/>
          <w:iCs w:val="false"/>
          <w:color w:val="1B2A4A"/>
          <w:sz w:val="22"/>
          <w:szCs w:val="22"/>
        </w:rPr>
        <w:t xml:space="preserve">EI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EI's annual report covering: whether military operations in the prior year were authorized through the correct Tier; whether the §1.30.d Intelligence Firewall was maintained; whether PM fund certifications were obtained and observed; whether the 48-hour NRS publication requirement was met for all military orders.</w:t>
      </w:r>
    </w:p>
    <w:p>
      <w:pPr>
        <w:spacing w:after="60" w:before="200"/>
        <w:ind w:left="431"/>
        <w:jc w:val="left"/>
      </w:pPr>
      <w:r>
        <w:rPr>
          <w:rFonts w:ascii="Courier New" w:cs="Courier New" w:eastAsia="Courier New" w:hAnsi="Courier New"/>
          <w:b/>
          <w:bCs/>
          <w:color w:val="1B2A4A"/>
          <w:sz w:val="18"/>
          <w:szCs w:val="18"/>
        </w:rPr>
        <w:t xml:space="preserve">§8.9  </w:t>
      </w:r>
      <w:r>
        <w:rPr>
          <w:rFonts w:ascii="Garamond" w:cs="Garamond" w:eastAsia="Garamond" w:hAnsi="Garamond"/>
          <w:b/>
          <w:bCs/>
          <w:i w:val="false"/>
          <w:iCs w:val="false"/>
          <w:color w:val="1B2A4A"/>
          <w:sz w:val="22"/>
          <w:szCs w:val="22"/>
        </w:rPr>
        <w:t xml:space="preserve">State Designee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State Designee Panel is a verification body constituted per proceeding whose sole constitutional function is to assess, prior to any qualifying For-Cause removal vote by the Legislature, whether the stated grounds for removal are substantiated within the enumerated constitutional categories. The Panel publishes a binary finding — grounds substantiated or grounds unsubstantiated — and the Legislature may proceed to any removal vote regardless of the finding's direction. The Panel has no investigative authority and no institutional presence outside of active proceedings. It is a verification body, not a court.</w:t>
      </w:r>
    </w:p>
    <w:p>
      <w:pPr>
        <w:spacing w:after="60" w:before="200"/>
        <w:ind w:left="431"/>
        <w:jc w:val="left"/>
      </w:pPr>
      <w:r>
        <w:rPr>
          <w:rFonts w:ascii="Courier New" w:cs="Courier New" w:eastAsia="Courier New" w:hAnsi="Courier New"/>
          <w:b/>
          <w:bCs/>
          <w:color w:val="1B2A4A"/>
          <w:sz w:val="18"/>
          <w:szCs w:val="18"/>
        </w:rPr>
        <w:t xml:space="preserve">§8.9.a  </w:t>
      </w:r>
      <w:r>
        <w:rPr>
          <w:rFonts w:ascii="Garamond" w:cs="Garamond" w:eastAsia="Garamond" w:hAnsi="Garamond"/>
          <w:b/>
          <w:bCs/>
          <w:i w:val="false"/>
          <w:iCs w:val="false"/>
          <w:color w:val="1B2A4A"/>
          <w:sz w:val="22"/>
          <w:szCs w:val="22"/>
        </w:rPr>
        <w:t xml:space="preserve">State Designee Pools</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maintains a standing State Designee Pool. Any Republic citizen may be placed into a State's Pool through that State's own constitutional or statutory process, provided they meet the following eligibility requirements at the time of entry: (1) at least five continuous years of Republic citizenship; (2) no current federal elected or appointed office; (3) no federal elected or appointed office held within the three years prior to pool entry; (4) no pending federal criminal proceedings; (5) no current service in any Panel constituted under this Article. Pool membership is a public record maintained on the NRS by the LI. A member whose position is extinguished upon completing service in a proceeding may be re-added to the pool by their State in any subsequent calendar year within the annual addition cap.</w:t>
      </w:r>
    </w:p>
    <w:p>
      <w:pPr>
        <w:spacing w:after="60" w:before="200"/>
        <w:ind w:left="431"/>
        <w:jc w:val="left"/>
      </w:pPr>
      <w:r>
        <w:rPr>
          <w:rFonts w:ascii="Courier New" w:cs="Courier New" w:eastAsia="Courier New" w:hAnsi="Courier New"/>
          <w:b/>
          <w:bCs/>
          <w:color w:val="1B2A4A"/>
          <w:sz w:val="18"/>
          <w:szCs w:val="18"/>
        </w:rPr>
        <w:t xml:space="preserve">§8.9.b  </w:t>
      </w:r>
      <w:r>
        <w:rPr>
          <w:rFonts w:ascii="Garamond" w:cs="Garamond" w:eastAsia="Garamond" w:hAnsi="Garamond"/>
          <w:b/>
          <w:bCs/>
          <w:i w:val="false"/>
          <w:iCs w:val="false"/>
          <w:color w:val="1B2A4A"/>
          <w:sz w:val="22"/>
          <w:szCs w:val="22"/>
        </w:rPr>
        <w:t xml:space="preserve">Designee Pool Annual Addition Cap</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may add no more than five entrants to its Pool per calendar year. Unused addition slots do not carry forward; a year with fewer than five additions simply has fewer, and unused capacity is permanently lost. If a pool member voluntarily withdraws, becomes ineligible, or is drawn to serve in a proceeding, their position is extinguished and not replaced outside of the normal annual addition process and the mandatory designation provision of §8.9.b.i.</w:t>
      </w:r>
    </w:p>
    <w:p>
      <w:pPr>
        <w:spacing w:after="60" w:before="200"/>
        <w:ind w:left="431"/>
        <w:jc w:val="left"/>
      </w:pPr>
      <w:r>
        <w:rPr>
          <w:rFonts w:ascii="Courier New" w:cs="Courier New" w:eastAsia="Courier New" w:hAnsi="Courier New"/>
          <w:b/>
          <w:bCs/>
          <w:color w:val="1B2A4A"/>
          <w:sz w:val="18"/>
          <w:szCs w:val="18"/>
        </w:rPr>
        <w:t xml:space="preserve">§8.9.b.i  </w:t>
      </w:r>
      <w:r>
        <w:rPr>
          <w:rFonts w:ascii="Garamond" w:cs="Garamond" w:eastAsia="Garamond" w:hAnsi="Garamond"/>
          <w:b/>
          <w:bCs/>
          <w:i w:val="false"/>
          <w:iCs w:val="false"/>
          <w:color w:val="1B2A4A"/>
          <w:sz w:val="22"/>
          <w:szCs w:val="22"/>
        </w:rPr>
        <w:t xml:space="preserve">Mandatory State Designation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combined national pool contains fewer than thirty eligible members at the time any proceeding is activated, or if any State has made zero additions to its Pool for three or more consecutive calendar years and its Pool contains fewer than two eligible members, the JI issues a Mandatory Designation Notice to each State meeting either condition. Each notified State must designate one eligible person to its Pool within ten days of the notice. Designated persons must meet all eligibility requirements of §8.9.a; the mandatory designation process does not lower the eligibility standard. Mandatory designations are not subject to the annual addition cap of §8.9.b and do not consume a voluntary addition slot. Failure to make a mandatory designation within the required period is a constitutional compliance failure flagged by the LI in the annual State of the Republic Report and in a standalone NRS notice. The EI assumes mandatory designation oversight when an LI IG removal proceeding is the triggering event.</w:t>
      </w:r>
    </w:p>
    <w:p>
      <w:pPr>
        <w:spacing w:after="60" w:before="200"/>
        <w:ind w:left="431"/>
        <w:jc w:val="left"/>
      </w:pPr>
      <w:r>
        <w:rPr>
          <w:rFonts w:ascii="Courier New" w:cs="Courier New" w:eastAsia="Courier New" w:hAnsi="Courier New"/>
          <w:b/>
          <w:bCs/>
          <w:color w:val="1B2A4A"/>
          <w:sz w:val="18"/>
          <w:szCs w:val="18"/>
        </w:rPr>
        <w:t xml:space="preserve">§8.9.c  </w:t>
      </w:r>
      <w:r>
        <w:rPr>
          <w:rFonts w:ascii="Garamond" w:cs="Garamond" w:eastAsia="Garamond" w:hAnsi="Garamond"/>
          <w:b/>
          <w:bCs/>
          <w:i w:val="false"/>
          <w:iCs w:val="false"/>
          <w:color w:val="1B2A4A"/>
          <w:sz w:val="22"/>
          <w:szCs w:val="22"/>
        </w:rPr>
        <w:t xml:space="preserve">Pool Monitoring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monitors each State's Pool and publishes an annual Pool Status Report to the NRS. If any State's Pool falls below two eligible entrants, the LI publishes a Pool Health Notice — advisory, not compulsory. If the combined national pool falls below twenty eligible members at the time any proceeding is activated, the LI must convene an emergency pool-health session with State governments and publish its findings to the NRS within 30 days. A State's failure to maintain a pool is not a constitutional violation but is flagged in the annual State of the Republic Report. Exception: when an LI IG removal proceeding is active, the EI assumes pool monitoring duties for the duration of that proceeding.</w:t>
      </w:r>
    </w:p>
    <w:p>
      <w:pPr>
        <w:spacing w:after="60" w:before="200"/>
        <w:ind w:left="431"/>
        <w:jc w:val="left"/>
      </w:pPr>
      <w:r>
        <w:rPr>
          <w:rFonts w:ascii="Courier New" w:cs="Courier New" w:eastAsia="Courier New" w:hAnsi="Courier New"/>
          <w:b/>
          <w:bCs/>
          <w:color w:val="1B2A4A"/>
          <w:sz w:val="18"/>
          <w:szCs w:val="18"/>
        </w:rPr>
        <w:t xml:space="preserve">§8.9.d  </w:t>
      </w:r>
      <w:r>
        <w:rPr>
          <w:rFonts w:ascii="Garamond" w:cs="Garamond" w:eastAsia="Garamond" w:hAnsi="Garamond"/>
          <w:b/>
          <w:bCs/>
          <w:i w:val="false"/>
          <w:iCs w:val="false"/>
          <w:color w:val="1B2A4A"/>
          <w:sz w:val="22"/>
          <w:szCs w:val="22"/>
        </w:rPr>
        <w:t xml:space="preserve">Panel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Upon activation of a qualifying proceeding under §8.9.f, the JI constitutes the State Designee Panel by public lottery within five days of activation. The JI draws five members by lot from the combined national eligible pool — all State pools aggregated — plus two alternates, in a single session certified jointly by all three Inspectorates. The session may be conducted remotely under parameters set by statute. The full draw is recorded to the NRS in real time. Drawn members must accept or decline service within 48 hours of notification; a member who declines is replaced by the first available alternate in the order drawn. If both alternates are exhausted before five members have accepted, the JI conducts a supplemental draw from the remaining eligible pool by the same procedure. The Panel is constituted for the duration of the proceeding and dissolves upon publication of the finding under §8.9.h.</w:t>
      </w:r>
    </w:p>
    <w:p>
      <w:pPr>
        <w:spacing w:after="60" w:before="200"/>
        <w:ind w:left="431"/>
        <w:jc w:val="left"/>
      </w:pPr>
      <w:r>
        <w:rPr>
          <w:rFonts w:ascii="Courier New" w:cs="Courier New" w:eastAsia="Courier New" w:hAnsi="Courier New"/>
          <w:b/>
          <w:bCs/>
          <w:color w:val="1B2A4A"/>
          <w:sz w:val="18"/>
          <w:szCs w:val="18"/>
        </w:rPr>
        <w:t xml:space="preserve">§8.9.d.i  </w:t>
      </w:r>
      <w:r>
        <w:rPr>
          <w:rFonts w:ascii="Garamond" w:cs="Garamond" w:eastAsia="Garamond" w:hAnsi="Garamond"/>
          <w:b/>
          <w:bCs/>
          <w:i w:val="false"/>
          <w:iCs w:val="false"/>
          <w:color w:val="1B2A4A"/>
          <w:sz w:val="22"/>
          <w:szCs w:val="22"/>
        </w:rPr>
        <w:t xml:space="preserve">Draw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named officer subject to the proceeding, or the initiating body, may challenge a drawn member within 48 hours of NRS publication of the draw on grounds of a documented relationship or conflict of interest impairing impartiality. The JI rules on any challenge within 48 hours of filing. If sustained, the challenged member's seat is filled by the first available alternate in the order drawn; if no alternate remains, a supplemental draw is conducted. The 21-day review clock under §8.9.f is suspended during any pending challenge and resumes from the point of suspension upon JI ruling. No challenge may be filed solely on grounds of the member's State of origin, professional background, or prior pool membership.</w:t>
      </w:r>
    </w:p>
    <w:p>
      <w:pPr>
        <w:spacing w:after="60" w:before="200"/>
        <w:ind w:left="431"/>
        <w:jc w:val="left"/>
      </w:pPr>
      <w:r>
        <w:rPr>
          <w:rFonts w:ascii="Courier New" w:cs="Courier New" w:eastAsia="Courier New" w:hAnsi="Courier New"/>
          <w:b/>
          <w:bCs/>
          <w:color w:val="1B2A4A"/>
          <w:sz w:val="18"/>
          <w:szCs w:val="18"/>
        </w:rPr>
        <w:t xml:space="preserve">§8.9.e  </w:t>
      </w:r>
      <w:r>
        <w:rPr>
          <w:rFonts w:ascii="Garamond" w:cs="Garamond" w:eastAsia="Garamond" w:hAnsi="Garamond"/>
          <w:b/>
          <w:bCs/>
          <w:i w:val="false"/>
          <w:iCs w:val="false"/>
          <w:color w:val="1B2A4A"/>
          <w:sz w:val="22"/>
          <w:szCs w:val="22"/>
        </w:rPr>
        <w:t xml:space="preserve">Ongoing Eligibility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From the date a member accepts service through the date the Panel's finding is published, Panel members may not: assume any federal elected or appointed position; serve as retained legal counsel in any federal proceeding involving the Legislature, either executive, or any Inspectorate; or accept appointment to any State government executive position above the level of department director. Assumption of a disqualifying position extinguishes the seat; the first available alternate fills it in the order established at draw. A member may recuse themselves at any time; recusal extinguishes the seat without replacement beyond the available alternates.</w:t>
      </w:r>
    </w:p>
    <w:p>
      <w:pPr>
        <w:spacing w:after="60" w:before="200"/>
        <w:ind w:left="431"/>
        <w:jc w:val="left"/>
      </w:pPr>
      <w:r>
        <w:rPr>
          <w:rFonts w:ascii="Courier New" w:cs="Courier New" w:eastAsia="Courier New" w:hAnsi="Courier New"/>
          <w:b/>
          <w:bCs/>
          <w:color w:val="1B2A4A"/>
          <w:sz w:val="18"/>
          <w:szCs w:val="18"/>
        </w:rPr>
        <w:t xml:space="preserve">§8.9.f  </w:t>
      </w:r>
      <w:r>
        <w:rPr>
          <w:rFonts w:ascii="Garamond" w:cs="Garamond" w:eastAsia="Garamond" w:hAnsi="Garamond"/>
          <w:b/>
          <w:bCs/>
          <w:i w:val="false"/>
          <w:iCs w:val="false"/>
          <w:color w:val="1B2A4A"/>
          <w:sz w:val="22"/>
          <w:szCs w:val="22"/>
        </w:rPr>
        <w:t xml:space="preserve">Activation and Meeting Parameters</w:t>
      </w:r>
    </w:p>
    <w:p>
      <w:pPr>
        <w:spacing w:after="120" w:before="0"/>
        <w:ind w:left="431"/>
        <w:jc w:val="both"/>
      </w:pPr>
      <w:r>
        <w:rPr>
          <w:rFonts w:ascii="Garamond" w:cs="Garamond" w:eastAsia="Garamond" w:hAnsi="Garamond"/>
          <w:b w:val="false"/>
          <w:bCs w:val="false"/>
          <w:i w:val="false"/>
          <w:iCs w:val="false"/>
          <w:color w:val="2a2520"/>
          <w:sz w:val="22"/>
          <w:szCs w:val="22"/>
        </w:rPr>
        <w:t xml:space="preserve">A qualifying proceeding is initiated when the initiating body transmits the stated grounds and supporting documentary record to the JI, triggering the draw under §8.9.d. The 21-day review clock begins from the date the Panel is fully constituted — five members having accepted service and any draw challenges under §8.9.d.i having been resolved. The Legislature sets by statute the parameters under which the Panel conducts its review, including: authorization of and requirements for remote participation; quorum and voting requirements; secure platform specifications; and any other operational parameters. The Legislature may not set parameters that prevent effective deliberation or impose undue burden on members. The Panel may request additional documentary submissions from the initiating body within the first seven days of the review period; this does not extend the 21-day deadline. No submission received after day seven is required to be considered.</w:t>
      </w:r>
    </w:p>
    <w:p>
      <w:pPr>
        <w:spacing w:after="60" w:before="200"/>
        <w:ind w:left="431"/>
        <w:jc w:val="left"/>
      </w:pPr>
      <w:r>
        <w:rPr>
          <w:rFonts w:ascii="Courier New" w:cs="Courier New" w:eastAsia="Courier New" w:hAnsi="Courier New"/>
          <w:b/>
          <w:bCs/>
          <w:color w:val="1B2A4A"/>
          <w:sz w:val="18"/>
          <w:szCs w:val="18"/>
        </w:rPr>
        <w:t xml:space="preserve">§8.9.g  </w:t>
      </w:r>
      <w:r>
        <w:rPr>
          <w:rFonts w:ascii="Garamond" w:cs="Garamond" w:eastAsia="Garamond" w:hAnsi="Garamond"/>
          <w:b/>
          <w:bCs/>
          <w:i w:val="false"/>
          <w:iCs w:val="false"/>
          <w:color w:val="1B2A4A"/>
          <w:sz w:val="22"/>
          <w:szCs w:val="22"/>
        </w:rPr>
        <w:t xml:space="preserve">Scope of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Panel's review is categorical and bounded. The Panel determines only whether the stated grounds, as documented in the submitted record, constitute at least one of the enumerated constitutional categories for For-Cause removal applicable to the subject office. The Panel does not: independently investigate or gather evidence beyond the submitted record; assess the credibility of any witness or document; weigh competing factual accounts; evaluate whether removal is warranted as a policy matter; or issue any order, direction, or recommendation beyond the binary finding. The published finding states the conclusion and identifies which constitutional category or categories it finds present or absent in the submitted record.</w:t>
      </w:r>
    </w:p>
    <w:p>
      <w:pPr>
        <w:spacing w:after="60" w:before="200"/>
        <w:ind w:left="431"/>
        <w:jc w:val="left"/>
      </w:pPr>
      <w:r>
        <w:rPr>
          <w:rFonts w:ascii="Courier New" w:cs="Courier New" w:eastAsia="Courier New" w:hAnsi="Courier New"/>
          <w:b/>
          <w:bCs/>
          <w:color w:val="1B2A4A"/>
          <w:sz w:val="18"/>
          <w:szCs w:val="18"/>
        </w:rPr>
        <w:t xml:space="preserve">§8.9.h  </w:t>
      </w:r>
      <w:r>
        <w:rPr>
          <w:rFonts w:ascii="Garamond" w:cs="Garamond" w:eastAsia="Garamond" w:hAnsi="Garamond"/>
          <w:b/>
          <w:bCs/>
          <w:i w:val="false"/>
          <w:iCs w:val="false"/>
          <w:color w:val="1B2A4A"/>
          <w:sz w:val="22"/>
          <w:szCs w:val="22"/>
        </w:rPr>
        <w:t xml:space="preserve">Effect of Finding</w:t>
      </w:r>
    </w:p>
    <w:p>
      <w:pPr>
        <w:spacing w:after="120" w:before="0"/>
        <w:ind w:left="431"/>
        <w:jc w:val="both"/>
      </w:pPr>
      <w:r>
        <w:rPr>
          <w:rFonts w:ascii="Garamond" w:cs="Garamond" w:eastAsia="Garamond" w:hAnsi="Garamond"/>
          <w:b w:val="false"/>
          <w:bCs w:val="false"/>
          <w:i w:val="false"/>
          <w:iCs w:val="false"/>
          <w:color w:val="2a2520"/>
          <w:sz w:val="22"/>
          <w:szCs w:val="22"/>
        </w:rPr>
        <w:t xml:space="preserve">A finding of grounds substantiated: constitutes the condition precedent that authorizes the Legislature to proceed to a For-Cause removal vote at the applicable threshold; triggers the duty-suspension provisions of §8.5.a or §16.2.a as applicable; and is published permanently to the NRS alongside any subsequent legislative vote. A finding of grounds unsubstantiated: does not bar the Legislature from proceeding to a removal vote; is published permanently to the NRS alongside any subsequent legislative vote; and constitutes no legal determination as to the truth or falsity of the stated grounds. All constitutional voting thresholds for removal remain in effect regardless of the Panel's finding.</w:t>
      </w:r>
    </w:p>
    <w:p>
      <w:pPr>
        <w:spacing w:after="60" w:before="200"/>
        <w:ind w:left="431"/>
        <w:jc w:val="left"/>
      </w:pPr>
      <w:r>
        <w:rPr>
          <w:rFonts w:ascii="Courier New" w:cs="Courier New" w:eastAsia="Courier New" w:hAnsi="Courier New"/>
          <w:b/>
          <w:bCs/>
          <w:color w:val="1B2A4A"/>
          <w:sz w:val="18"/>
          <w:szCs w:val="18"/>
        </w:rPr>
        <w:t xml:space="preserve">§8.9.i  </w:t>
      </w:r>
      <w:r>
        <w:rPr>
          <w:rFonts w:ascii="Garamond" w:cs="Garamond" w:eastAsia="Garamond" w:hAnsi="Garamond"/>
          <w:b/>
          <w:bCs/>
          <w:i w:val="false"/>
          <w:iCs w:val="false"/>
          <w:color w:val="1B2A4A"/>
          <w:sz w:val="22"/>
          <w:szCs w:val="22"/>
        </w:rPr>
        <w:t xml:space="preserve">SC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Any named officer subject to a Panel finding may petition the Supreme Court for review within 14 days of NRS publication. The Court reviews only whether the Panel correctly applied the constitutional categories to the submitted record — it does not review the substance of the underlying grounds, the adequacy of the documentary record, or any subsequent legislative vote. A petition does not automatically stay a duty-suspension triggered by a substantiated finding; the Court may grant a temporary stay on a showing of probable constitutional error in the Panel's categorical determination. The Court must rule within 21 days of the petition. If the Court finds the Panel's determination constitutionally erroneous, the proceeding returns to the Panel for a corrected determination; the Legislature may not vote until the corrected determination is published.</w:t>
      </w:r>
    </w:p>
    <w:p>
      <w:pPr>
        <w:spacing w:after="60" w:before="200"/>
        <w:ind w:left="431"/>
        <w:jc w:val="left"/>
      </w:pPr>
      <w:r>
        <w:rPr>
          <w:rFonts w:ascii="Courier New" w:cs="Courier New" w:eastAsia="Courier New" w:hAnsi="Courier New"/>
          <w:b/>
          <w:bCs/>
          <w:color w:val="1B2A4A"/>
          <w:sz w:val="18"/>
          <w:szCs w:val="18"/>
        </w:rPr>
        <w:t xml:space="preserve">§8.9.j  </w:t>
      </w:r>
      <w:r>
        <w:rPr>
          <w:rFonts w:ascii="Garamond" w:cs="Garamond" w:eastAsia="Garamond" w:hAnsi="Garamond"/>
          <w:b/>
          <w:bCs/>
          <w:i w:val="false"/>
          <w:iCs w:val="false"/>
          <w:color w:val="1B2A4A"/>
          <w:sz w:val="22"/>
          <w:szCs w:val="22"/>
        </w:rPr>
        <w:t xml:space="preserve">Compensation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Panel members receive no compensation for pool membership. Members receive service-day compensation for each day of active service during a constituted proceeding, from the date of acceptance through the date of finding publication. Rates and any remote service equivalencies are set by statute. The member's State pays the service-day compensation; the federal government reimburses each State for compensation paid to its drawn member. Service-day records and compensation amounts are published to the NRS alongside each Panel finding.</w:t>
      </w:r>
    </w:p>
    <w:p>
      <w:pPr>
        <w:spacing w:after="60" w:before="200"/>
        <w:ind w:left="431"/>
        <w:jc w:val="left"/>
      </w:pPr>
      <w:r>
        <w:rPr>
          <w:rFonts w:ascii="Courier New" w:cs="Courier New" w:eastAsia="Courier New" w:hAnsi="Courier New"/>
          <w:b/>
          <w:bCs/>
          <w:color w:val="1B2A4A"/>
          <w:sz w:val="18"/>
          <w:szCs w:val="18"/>
        </w:rPr>
        <w:t xml:space="preserve">§8.10  </w:t>
      </w:r>
      <w:r>
        <w:rPr>
          <w:rFonts w:ascii="Garamond" w:cs="Garamond" w:eastAsia="Garamond" w:hAnsi="Garamond"/>
          <w:b/>
          <w:bCs/>
          <w:i w:val="false"/>
          <w:iCs w:val="false"/>
          <w:color w:val="1B2A4A"/>
          <w:sz w:val="22"/>
          <w:szCs w:val="22"/>
        </w:rPr>
        <w:t xml:space="preserve">Inspectorate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Inspectorate may not fall below the prior fiscal year's funding level without a 2/3 vote of both chambers simultaneously. This floor ensures that Inspectorate independence cannot be undermined through budgetary attrition by the branches they audit. The Monetary Authority certifies each Inspectorate's prior-year funding level annually and publishes the certified floor to the NRS before the Legislature begins its annual budget process.</w:t>
      </w:r>
    </w:p>
    <w:p>
      <w:pPr>
        <w:spacing w:after="60" w:before="200"/>
        <w:ind w:left="431"/>
        <w:jc w:val="left"/>
      </w:pPr>
      <w:r>
        <w:rPr>
          <w:rFonts w:ascii="Courier New" w:cs="Courier New" w:eastAsia="Courier New" w:hAnsi="Courier New"/>
          <w:b/>
          <w:bCs/>
          <w:color w:val="1B2A4A"/>
          <w:sz w:val="18"/>
          <w:szCs w:val="18"/>
        </w:rPr>
        <w:t xml:space="preserve">§8.11  </w:t>
      </w:r>
      <w:r>
        <w:rPr>
          <w:rFonts w:ascii="Garamond" w:cs="Garamond" w:eastAsia="Garamond" w:hAnsi="Garamond"/>
          <w:b/>
          <w:bCs/>
          <w:i w:val="false"/>
          <w:iCs w:val="false"/>
          <w:color w:val="1B2A4A"/>
          <w:sz w:val="22"/>
          <w:szCs w:val="22"/>
        </w:rPr>
        <w:t xml:space="preserve">Eighth-Year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eight years from the date of full constitutional operation, the three Inspectorates jointly assess the performance of the constitutional framework across all domains: (1) enforcement of Article I rights across all States, Territories, and compact jurisdictions; (2) functioning of the Inspectorate reporting mechanism and adequacy of Judicial Inspectorate mandate scope relative to operational capacity; (3) compliance with social state obligations — whether the healthcare insurance system is solvent and providing universal access, whether social assistance is meeting the §10.1 dignity standard, and whether States are meeting the compulsory education constitutional floor under §10.1.c; (4) completeness of military subordination to constitutional authority; (5) comprehensiveness of NRS coverage, node distribution, and cryptographic integrity; and (6) health of the constitutional pool and lottery selection mechanisms under §7.2.c, §8.9, and §9.3, including State participation rates and pool depth. The assessment is published to the NRS and transmitted to both chambers of the Legislature. Findings are classified by severity: No Finding, Deficiency, or Critical Failure. The Legislature must respond within 90 days. For a No Finding: acknowledgment is sufficient. For a Deficiency: the Legislature must publish a remediation plan specifying actions and timelines; acknowledgment without a plan is a constitutional compliance breach certified by the LI. For a Critical Failure: the Legislature must publish a remediation plan and any member of either chamber may petition the SC to determine whether the failure constitutes a constitutional breach requiring judicial remedy. Findings, responses, and remediation plans form a permanent longitudinal record of constitutional performance published to the NRS.</w:t>
      </w:r>
    </w:p>
    <w:p>
      <w:pPr>
        <w:spacing w:after="60" w:before="200"/>
        <w:jc w:val="left"/>
      </w:pPr>
      <w:r>
        <w:rPr>
          <w:rFonts w:ascii="Garamond" w:cs="Garamond" w:eastAsia="Garamond" w:hAnsi="Garamond"/>
          <w:b/>
          <w:bCs/>
          <w:i w:val="false"/>
          <w:iCs w:val="false"/>
          <w:color w:val="1B2A4A"/>
          <w:sz w:val="34"/>
          <w:szCs w:val="34"/>
        </w:rPr>
        <w:t xml:space="preserve">Article IX — The National Record System</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NRS Properties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government act required to be published must appear on the NRS before it takes legal effect. An act not on the NRS is constitutionally suspect. The NRS is not a government convenience — it is the mechanism by which Inhabitants verify that government acts exist and what they say.</w:t>
      </w:r>
    </w:p>
    <w:p>
      <w:pPr>
        <w:spacing w:after="60" w:before="200"/>
        <w:ind w:left="431"/>
        <w:jc w:val="left"/>
      </w:pPr>
      <w:r>
        <w:rPr>
          <w:rFonts w:ascii="Courier New" w:cs="Courier New" w:eastAsia="Courier New" w:hAnsi="Courier New"/>
          <w:b/>
          <w:bCs/>
          <w:color w:val="1B2A4A"/>
          <w:sz w:val="18"/>
          <w:szCs w:val="18"/>
        </w:rPr>
        <w:t xml:space="preserve">§9.1.a  </w:t>
      </w:r>
      <w:r>
        <w:rPr>
          <w:rFonts w:ascii="Garamond" w:cs="Garamond" w:eastAsia="Garamond" w:hAnsi="Garamond"/>
          <w:b/>
          <w:bCs/>
          <w:i w:val="false"/>
          <w:iCs w:val="false"/>
          <w:color w:val="1B2A4A"/>
          <w:sz w:val="22"/>
          <w:szCs w:val="22"/>
        </w:rPr>
        <w:t xml:space="preserve">Immutability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Records published to the NRS may not be deleted, altered, or reclassified after publication. Corrections are published as new entries alongside the original, not as replacements. The full history of any government act — including corrections, amendments, and subsequent interpretations — is permanently available.</w:t>
      </w:r>
    </w:p>
    <w:p>
      <w:pPr>
        <w:spacing w:after="60" w:before="200"/>
        <w:ind w:left="431"/>
        <w:jc w:val="left"/>
      </w:pPr>
      <w:r>
        <w:rPr>
          <w:rFonts w:ascii="Courier New" w:cs="Courier New" w:eastAsia="Courier New" w:hAnsi="Courier New"/>
          <w:b/>
          <w:bCs/>
          <w:color w:val="1B2A4A"/>
          <w:sz w:val="18"/>
          <w:szCs w:val="18"/>
        </w:rPr>
        <w:t xml:space="preserve">§9.1.b  </w:t>
      </w:r>
      <w:r>
        <w:rPr>
          <w:rFonts w:ascii="Garamond" w:cs="Garamond" w:eastAsia="Garamond" w:hAnsi="Garamond"/>
          <w:b/>
          <w:bCs/>
          <w:i w:val="false"/>
          <w:iCs w:val="false"/>
          <w:color w:val="1B2A4A"/>
          <w:sz w:val="22"/>
          <w:szCs w:val="22"/>
        </w:rPr>
        <w:t xml:space="preserve">NRS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Freely accessible to every Inhabitant at no cost. No registration, no fees, no identification required for read access. The Republic must provide free public access terminals in every State and Territory. The NRS is not a luxury service — it is the mechanism by which Inhabitants verify that government acts exist and what they say.</w:t>
      </w:r>
    </w:p>
    <w:p>
      <w:pPr>
        <w:spacing w:after="60" w:before="200"/>
        <w:ind w:left="431"/>
        <w:jc w:val="left"/>
      </w:pPr>
      <w:r>
        <w:rPr>
          <w:rFonts w:ascii="Courier New" w:cs="Courier New" w:eastAsia="Courier New" w:hAnsi="Courier New"/>
          <w:b/>
          <w:bCs/>
          <w:color w:val="1B2A4A"/>
          <w:sz w:val="18"/>
          <w:szCs w:val="18"/>
        </w:rPr>
        <w:t xml:space="preserve">§9.1.c  </w:t>
      </w:r>
      <w:r>
        <w:rPr>
          <w:rFonts w:ascii="Garamond" w:cs="Garamond" w:eastAsia="Garamond" w:hAnsi="Garamond"/>
          <w:b/>
          <w:bCs/>
          <w:i w:val="false"/>
          <w:iCs w:val="false"/>
          <w:color w:val="1B2A4A"/>
          <w:sz w:val="22"/>
          <w:szCs w:val="22"/>
        </w:rPr>
        <w:t xml:space="preserve">Public Accessibility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category of government act required to be published must be published within the time specified by the constitution or enabling statute. Acts not published within their required period are not void (except where the constitution specifically provides otherwise), but the publication failure is a constitutional breach reportable by the relevant Inspectorate.</w:t>
      </w:r>
    </w:p>
    <w:p>
      <w:pPr>
        <w:spacing w:after="60" w:before="200"/>
        <w:ind w:left="431"/>
        <w:jc w:val="left"/>
      </w:pPr>
      <w:r>
        <w:rPr>
          <w:rFonts w:ascii="Courier New" w:cs="Courier New" w:eastAsia="Courier New" w:hAnsi="Courier New"/>
          <w:b/>
          <w:bCs/>
          <w:color w:val="1B2A4A"/>
          <w:sz w:val="18"/>
          <w:szCs w:val="18"/>
        </w:rPr>
        <w:t xml:space="preserve">§9.1.d  </w:t>
      </w:r>
      <w:r>
        <w:rPr>
          <w:rFonts w:ascii="Garamond" w:cs="Garamond" w:eastAsia="Garamond" w:hAnsi="Garamond"/>
          <w:b/>
          <w:bCs/>
          <w:i w:val="false"/>
          <w:iCs w:val="false"/>
          <w:color w:val="1B2A4A"/>
          <w:sz w:val="22"/>
          <w:szCs w:val="22"/>
        </w:rPr>
        <w:t xml:space="preserve">NRS Technical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define the technical standards: format, metadata requirements, search and retrieval standards, and backup and redundancy requirements. The standards must ensure the NRS remains fully functional in the event of a localized technical failure. No single point of failure is constitutionally acceptable.</w:t>
      </w:r>
    </w:p>
    <w:p>
      <w:pPr>
        <w:spacing w:after="60" w:before="200"/>
        <w:ind w:left="431"/>
        <w:jc w:val="left"/>
      </w:pPr>
      <w:r>
        <w:rPr>
          <w:rFonts w:ascii="Courier New" w:cs="Courier New" w:eastAsia="Courier New" w:hAnsi="Courier New"/>
          <w:b/>
          <w:bCs/>
          <w:color w:val="1B2A4A"/>
          <w:sz w:val="18"/>
          <w:szCs w:val="18"/>
        </w:rPr>
        <w:t xml:space="preserve">§9.1.e  </w:t>
      </w:r>
      <w:r>
        <w:rPr>
          <w:rFonts w:ascii="Garamond" w:cs="Garamond" w:eastAsia="Garamond" w:hAnsi="Garamond"/>
          <w:b/>
          <w:bCs/>
          <w:i w:val="false"/>
          <w:iCs w:val="false"/>
          <w:color w:val="1B2A4A"/>
          <w:sz w:val="22"/>
          <w:szCs w:val="22"/>
        </w:rPr>
        <w:t xml:space="preserve">NRS Integrity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NRS integrity annually, verifying that: all required publications have been made; no records have been altered or deleted; search and retrieval functions are operating correctly; and access is genuinely free and unrestricted.</w:t>
      </w:r>
    </w:p>
    <w:p>
      <w:pPr>
        <w:spacing w:after="60" w:before="200"/>
        <w:ind w:left="431"/>
        <w:jc w:val="left"/>
      </w:pPr>
      <w:r>
        <w:rPr>
          <w:rFonts w:ascii="Courier New" w:cs="Courier New" w:eastAsia="Courier New" w:hAnsi="Courier New"/>
          <w:b/>
          <w:bCs/>
          <w:color w:val="1B2A4A"/>
          <w:sz w:val="18"/>
          <w:szCs w:val="18"/>
        </w:rPr>
        <w:t xml:space="preserve">§9.1.f  </w:t>
      </w:r>
      <w:r>
        <w:rPr>
          <w:rFonts w:ascii="Garamond" w:cs="Garamond" w:eastAsia="Garamond" w:hAnsi="Garamond"/>
          <w:b/>
          <w:bCs/>
          <w:i w:val="false"/>
          <w:iCs w:val="false"/>
          <w:color w:val="1B2A4A"/>
          <w:sz w:val="22"/>
          <w:szCs w:val="22"/>
        </w:rPr>
        <w:t xml:space="preserve">Third-Party NRS Mirrors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authorize non-governmental organizations to maintain verified mirrors of the NRS for redundancy. Mirrors must meet the same technical standards as the primary NRS. The primary NRS remains a government function — the authorization does not create a privatization pathway.</w:t>
      </w:r>
    </w:p>
    <w:p>
      <w:pPr>
        <w:spacing w:after="60" w:before="200"/>
        <w:ind w:left="431"/>
        <w:jc w:val="left"/>
      </w:pPr>
      <w:r>
        <w:rPr>
          <w:rFonts w:ascii="Courier New" w:cs="Courier New" w:eastAsia="Courier New" w:hAnsi="Courier New"/>
          <w:b/>
          <w:bCs/>
          <w:color w:val="1B2A4A"/>
          <w:sz w:val="18"/>
          <w:szCs w:val="18"/>
        </w:rPr>
        <w:t xml:space="preserve">§9.1.g  </w:t>
      </w:r>
      <w:r>
        <w:rPr>
          <w:rFonts w:ascii="Garamond" w:cs="Garamond" w:eastAsia="Garamond" w:hAnsi="Garamond"/>
          <w:b/>
          <w:bCs/>
          <w:i w:val="false"/>
          <w:iCs w:val="false"/>
          <w:color w:val="1B2A4A"/>
          <w:sz w:val="22"/>
          <w:szCs w:val="22"/>
        </w:rPr>
        <w:t xml:space="preserve">NRS Classification Exemption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 Reports published to the NRS are permanently exempt from classification, consistent with §8.6.d. The NRS itself may not apply classification restrictions to Inspectorate Reports — the publication platform cannot override the content exemption.</w:t>
      </w:r>
    </w:p>
    <w:p>
      <w:pPr>
        <w:spacing w:after="60" w:before="200"/>
        <w:ind w:left="431"/>
        <w:jc w:val="left"/>
      </w:pPr>
      <w:r>
        <w:rPr>
          <w:rFonts w:ascii="Courier New" w:cs="Courier New" w:eastAsia="Courier New" w:hAnsi="Courier New"/>
          <w:b/>
          <w:bCs/>
          <w:color w:val="1B2A4A"/>
          <w:sz w:val="18"/>
          <w:szCs w:val="18"/>
        </w:rPr>
        <w:t xml:space="preserve">§9.1.h  </w:t>
      </w:r>
      <w:r>
        <w:rPr>
          <w:rFonts w:ascii="Garamond" w:cs="Garamond" w:eastAsia="Garamond" w:hAnsi="Garamond"/>
          <w:b/>
          <w:bCs/>
          <w:i w:val="false"/>
          <w:iCs w:val="false"/>
          <w:color w:val="1B2A4A"/>
          <w:sz w:val="22"/>
          <w:szCs w:val="22"/>
        </w:rPr>
        <w:t xml:space="preserve">Cross-Jurisdictional Record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Records published to the NRS by any jurisdiction within the Republic are recognized as authentic records by all other jurisdictions without re-certification, apostille, or additional verification. The NRS publication is the authentication. A court, agency, or official that refuses to recognize an NRS-published record on the grounds that it originated in another jurisdiction acts in constitutional defiance of this provision.</w:t>
      </w:r>
    </w:p>
    <w:p>
      <w:pPr>
        <w:spacing w:after="60" w:before="200"/>
        <w:ind w:left="431"/>
        <w:jc w:val="left"/>
      </w:pPr>
      <w:r>
        <w:rPr>
          <w:rFonts w:ascii="Courier New" w:cs="Courier New" w:eastAsia="Courier New" w:hAnsi="Courier New"/>
          <w:b/>
          <w:bCs/>
          <w:color w:val="1B2A4A"/>
          <w:sz w:val="18"/>
          <w:szCs w:val="18"/>
        </w:rPr>
        <w:t xml:space="preserve">§9.2  </w:t>
      </w:r>
      <w:r>
        <w:rPr>
          <w:rFonts w:ascii="Garamond" w:cs="Garamond" w:eastAsia="Garamond" w:hAnsi="Garamond"/>
          <w:b/>
          <w:bCs/>
          <w:i w:val="false"/>
          <w:iCs w:val="false"/>
          <w:color w:val="1B2A4A"/>
          <w:sz w:val="22"/>
          <w:szCs w:val="22"/>
        </w:rPr>
        <w:t xml:space="preserve">Historical Records Preservation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includes a permanent historical archive of all prior legislative acts, executive orders, judicial decisions, and government documents dating to the Republic's founding. The Legislature may not delete records from the historical archive — it may annotate them to indicate supersession or repeal, but the original records remain.</w:t>
      </w:r>
    </w:p>
    <w:p>
      <w:pPr>
        <w:spacing w:after="60" w:before="200"/>
        <w:ind w:left="431"/>
        <w:jc w:val="left"/>
      </w:pPr>
      <w:r>
        <w:rPr>
          <w:rFonts w:ascii="Courier New" w:cs="Courier New" w:eastAsia="Courier New" w:hAnsi="Courier New"/>
          <w:b/>
          <w:bCs/>
          <w:color w:val="1B2A4A"/>
          <w:sz w:val="18"/>
          <w:szCs w:val="18"/>
        </w:rPr>
        <w:t xml:space="preserve">§9.3  </w:t>
      </w:r>
      <w:r>
        <w:rPr>
          <w:rFonts w:ascii="Garamond" w:cs="Garamond" w:eastAsia="Garamond" w:hAnsi="Garamond"/>
          <w:b/>
          <w:bCs/>
          <w:i w:val="false"/>
          <w:iCs w:val="false"/>
          <w:color w:val="1B2A4A"/>
          <w:sz w:val="22"/>
          <w:szCs w:val="22"/>
        </w:rPr>
        <w:t xml:space="preserve">Digital Infrastructure Technical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and the National Voting System are reviewed decennially by a Digital Infrastructure Technical Commission for compliance with their respective constitutional architectural requirements under §9.1 and §16.3. The Commission has publication authority only — it may not issue binding orders or direct the Digital Infrastructure Commission. Findings are published jointly by all three Inspectorates to the NRS and transmitted to the Commission Director and both panel chairs simultaneously.</w:t>
      </w:r>
    </w:p>
    <w:p>
      <w:pPr>
        <w:spacing w:after="60" w:before="200"/>
        <w:ind w:left="431"/>
        <w:jc w:val="left"/>
      </w:pPr>
      <w:r>
        <w:rPr>
          <w:rFonts w:ascii="Courier New" w:cs="Courier New" w:eastAsia="Courier New" w:hAnsi="Courier New"/>
          <w:b/>
          <w:bCs/>
          <w:color w:val="1B2A4A"/>
          <w:sz w:val="18"/>
          <w:szCs w:val="18"/>
        </w:rPr>
        <w:t xml:space="preserve">§9.3.a  </w:t>
      </w:r>
      <w:r>
        <w:rPr>
          <w:rFonts w:ascii="Garamond" w:cs="Garamond" w:eastAsia="Garamond" w:hAnsi="Garamond"/>
          <w:b/>
          <w:bCs/>
          <w:i w:val="false"/>
          <w:iCs w:val="false"/>
          <w:color w:val="1B2A4A"/>
          <w:sz w:val="22"/>
          <w:szCs w:val="22"/>
        </w:rPr>
        <w:t xml:space="preserve">Digital Infrastructure Technical Commission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Digital Infrastructure Technical Commission reviews whether the NRS and NVS architectures continue to meet their respective constitutional requirements under §9.1 and §16.3. The Commission has publication authority only — it may not issue binding orders, impose penalties, or direct the Commission Director. Its findings are published jointly by all three Inspectorates to the NRS and cannot be withheld, suppressed, or altered after publication. The Commission convenes every ten years from the date of the first Legislature convening under §19.3.d. Qualifications for pool eligibility, audit methodology and scope, working session parameters, and compensation are established by statute. The Legislature may not adjust the decennial trigger date by statute. If the LI's annual audit under §9.1.e identifies a critical architectural failure — defined as a finding that the NRS or NVS no longer meets its constitutional requirements for tamper-evident operation, distributed custody, ballot secrecy, or public auditability — the LI may declare an emergency review, triggering an extraordinary Commission draw from the current confirmed pool under §9.3.d. An emergency Commission draw does not reset the decennial clock.</w:t>
      </w:r>
    </w:p>
    <w:p>
      <w:pPr>
        <w:spacing w:after="60" w:before="200"/>
        <w:ind w:left="431"/>
        <w:jc w:val="left"/>
      </w:pPr>
      <w:r>
        <w:rPr>
          <w:rFonts w:ascii="Courier New" w:cs="Courier New" w:eastAsia="Courier New" w:hAnsi="Courier New"/>
          <w:b/>
          <w:bCs/>
          <w:color w:val="1B2A4A"/>
          <w:sz w:val="18"/>
          <w:szCs w:val="18"/>
        </w:rPr>
        <w:t xml:space="preserve">§9.3.b  </w:t>
      </w:r>
      <w:r>
        <w:rPr>
          <w:rFonts w:ascii="Garamond" w:cs="Garamond" w:eastAsia="Garamond" w:hAnsi="Garamond"/>
          <w:b/>
          <w:bCs/>
          <w:i w:val="false"/>
          <w:iCs w:val="false"/>
          <w:color w:val="1B2A4A"/>
          <w:sz w:val="22"/>
          <w:szCs w:val="22"/>
        </w:rPr>
        <w:t xml:space="preserve">RSA Technical Pool —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and PM each nominate one qualified person per year to the Digital Infrastructure Technical Pool. Each nominee must be confirmed by the Senate within 60 days of nomination by affirmative vote — no deemed-confirmed fallback applies to this position. Senate failure to vote within 60 days is a constitutional compliance failure published to the NRS by the LI. The pool is a public NRS record. Qualifications are defined by statute and certified by the JI at time of nomination. Over a ten-year cycle both executives may each nominate up to ten members, for a maximum pool of twenty confirmed members.</w:t>
      </w:r>
    </w:p>
    <w:p>
      <w:pPr>
        <w:spacing w:after="60" w:before="200"/>
        <w:ind w:left="431"/>
        <w:jc w:val="left"/>
      </w:pPr>
      <w:r>
        <w:rPr>
          <w:rFonts w:ascii="Courier New" w:cs="Courier New" w:eastAsia="Courier New" w:hAnsi="Courier New"/>
          <w:b/>
          <w:bCs/>
          <w:color w:val="1B2A4A"/>
          <w:sz w:val="18"/>
          <w:szCs w:val="18"/>
        </w:rPr>
        <w:t xml:space="preserve">§9.3.c  </w:t>
      </w:r>
      <w:r>
        <w:rPr>
          <w:rFonts w:ascii="Garamond" w:cs="Garamond" w:eastAsia="Garamond" w:hAnsi="Garamond"/>
          <w:b/>
          <w:bCs/>
          <w:i w:val="false"/>
          <w:iCs w:val="false"/>
          <w:color w:val="1B2A4A"/>
          <w:sz w:val="22"/>
          <w:szCs w:val="22"/>
        </w:rPr>
        <w:t xml:space="preserve">Pool Reset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Digital Infrastructure Technical Pool resets after each decennial commission cycle. Previously confirmed pool members who did not serve on the commission may be re-nominated by either executive in the new cycle; fresh Senate confirmation under §9.3.b is required and no member carries forward automatically. Members who served on the commission are not eligible for re-nomination to the pool.</w:t>
      </w:r>
    </w:p>
    <w:p>
      <w:pPr>
        <w:spacing w:after="60" w:before="200"/>
        <w:ind w:left="431"/>
        <w:jc w:val="left"/>
      </w:pPr>
      <w:r>
        <w:rPr>
          <w:rFonts w:ascii="Courier New" w:cs="Courier New" w:eastAsia="Courier New" w:hAnsi="Courier New"/>
          <w:b/>
          <w:bCs/>
          <w:color w:val="1B2A4A"/>
          <w:sz w:val="18"/>
          <w:szCs w:val="18"/>
        </w:rPr>
        <w:t xml:space="preserve">§9.3.d  </w:t>
      </w:r>
      <w:r>
        <w:rPr>
          <w:rFonts w:ascii="Garamond" w:cs="Garamond" w:eastAsia="Garamond" w:hAnsi="Garamond"/>
          <w:b/>
          <w:bCs/>
          <w:i w:val="false"/>
          <w:iCs w:val="false"/>
          <w:color w:val="1B2A4A"/>
          <w:sz w:val="22"/>
          <w:szCs w:val="22"/>
        </w:rPr>
        <w:t xml:space="preserve">Commission Draw</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decennial review is triggered, all three Inspectorates jointly constitute the Commission by public lottery, drawing five members at random from the eligible pool. The draw is conducted in a public session; all three Inspectorates certify the result and publish it to the NRS before the session closes. The remaining pool members constitute the standing replacement pool for the duration of the Commission's working period.</w:t>
      </w:r>
    </w:p>
    <w:p>
      <w:pPr>
        <w:spacing w:after="60" w:before="200"/>
        <w:ind w:left="431"/>
        <w:jc w:val="left"/>
      </w:pPr>
      <w:r>
        <w:rPr>
          <w:rFonts w:ascii="Courier New" w:cs="Courier New" w:eastAsia="Courier New" w:hAnsi="Courier New"/>
          <w:b/>
          <w:bCs/>
          <w:color w:val="1B2A4A"/>
          <w:sz w:val="18"/>
          <w:szCs w:val="18"/>
        </w:rPr>
        <w:t xml:space="preserve">§9.3.e  </w:t>
      </w:r>
      <w:r>
        <w:rPr>
          <w:rFonts w:ascii="Garamond" w:cs="Garamond" w:eastAsia="Garamond" w:hAnsi="Garamond"/>
          <w:b/>
          <w:bCs/>
          <w:i w:val="false"/>
          <w:iCs w:val="false"/>
          <w:color w:val="1B2A4A"/>
          <w:sz w:val="22"/>
          <w:szCs w:val="22"/>
        </w:rPr>
        <w:t xml:space="preserve">Commission Replacement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If a Commission member must be replaced during the review period — through ineligibility, withdrawal, or disqualification — all three Inspectorates draw one replacement at random from the remaining eligible pool members using the same public lottery procedure under §9.3.d. The replacement member holds the same authority and obligations as the member they replace.</w:t>
      </w:r>
    </w:p>
    <w:p>
      <w:pPr>
        <w:spacing w:after="60" w:before="200"/>
        <w:ind w:left="431"/>
        <w:jc w:val="left"/>
      </w:pPr>
      <w:r>
        <w:rPr>
          <w:rFonts w:ascii="Courier New" w:cs="Courier New" w:eastAsia="Courier New" w:hAnsi="Courier New"/>
          <w:b/>
          <w:bCs/>
          <w:color w:val="1B2A4A"/>
          <w:sz w:val="18"/>
          <w:szCs w:val="18"/>
        </w:rPr>
        <w:t xml:space="preserve">§9.3.f  </w:t>
      </w:r>
      <w:r>
        <w:rPr>
          <w:rFonts w:ascii="Garamond" w:cs="Garamond" w:eastAsia="Garamond" w:hAnsi="Garamond"/>
          <w:b/>
          <w:bCs/>
          <w:i w:val="false"/>
          <w:iCs w:val="false"/>
          <w:color w:val="1B2A4A"/>
          <w:sz w:val="22"/>
          <w:szCs w:val="22"/>
        </w:rPr>
        <w:t xml:space="preserve">Tri-Inspectorate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certify the draw under §9.3.d, oversee the Commission's working sessions to verify that the Commission has the access to records, systems, and personnel required by its statutory mandate, and review the Commission's findings before publication to confirm the findings reflect the Commission's genuine conclusions and have not been suppressed or modified. All three Inspectorate seals appear on findings published to the NRS. The Commission Director and both panel chairs receive a copy of published findings simultaneously with NRS publication.</w:t>
      </w:r>
    </w:p>
    <w:p>
      <w:pPr>
        <w:spacing w:after="60" w:before="200"/>
        <w:ind w:left="431"/>
        <w:jc w:val="left"/>
      </w:pPr>
      <w:r>
        <w:rPr>
          <w:rFonts w:ascii="Courier New" w:cs="Courier New" w:eastAsia="Courier New" w:hAnsi="Courier New"/>
          <w:b/>
          <w:bCs/>
          <w:color w:val="1B2A4A"/>
          <w:sz w:val="18"/>
          <w:szCs w:val="18"/>
        </w:rPr>
        <w:t xml:space="preserve">§9.3.g  </w:t>
      </w:r>
      <w:r>
        <w:rPr>
          <w:rFonts w:ascii="Garamond" w:cs="Garamond" w:eastAsia="Garamond" w:hAnsi="Garamond"/>
          <w:b/>
          <w:bCs/>
          <w:i w:val="false"/>
          <w:iCs w:val="false"/>
          <w:color w:val="1B2A4A"/>
          <w:sz w:val="22"/>
          <w:szCs w:val="22"/>
        </w:rPr>
        <w:t xml:space="preserve">Commission Findings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Commission findings are published directly and jointly to the NRS by all three Inspectorates upon completion of the decennial review. Findings may include assessments of cryptographic integrity, node distribution adequacy, technical standard compliance, and any architectural features that approach or breach constitutional requirements. The Commission Director, both panel chairs, and both executives receive findings simultaneously with NRS publication. The Commission's mandate ends upon publication; the Commission dissolves and the pool resets under §9.3.c. Where an Emergency RSA Commission has been constituted under §9.3.h since the prior decennial review, the next regularly scheduled decennial Commission must include in its scope a review of the emergency findings — assessing whether the remediation was adequate and making architectural recommendations to prevent recurrence. These findings are published as a dedicated section of the decennial report.</w:t>
      </w:r>
    </w:p>
    <w:p>
      <w:pPr>
        <w:spacing w:after="60" w:before="200"/>
        <w:ind w:left="431"/>
        <w:jc w:val="left"/>
      </w:pPr>
      <w:r>
        <w:rPr>
          <w:rFonts w:ascii="Courier New" w:cs="Courier New" w:eastAsia="Courier New" w:hAnsi="Courier New"/>
          <w:b/>
          <w:bCs/>
          <w:color w:val="1B2A4A"/>
          <w:sz w:val="18"/>
          <w:szCs w:val="18"/>
        </w:rPr>
        <w:t xml:space="preserve">§9.3.h  </w:t>
      </w:r>
      <w:r>
        <w:rPr>
          <w:rFonts w:ascii="Garamond" w:cs="Garamond" w:eastAsia="Garamond" w:hAnsi="Garamond"/>
          <w:b/>
          <w:bCs/>
          <w:i w:val="false"/>
          <w:iCs w:val="false"/>
          <w:color w:val="1B2A4A"/>
          <w:sz w:val="22"/>
          <w:szCs w:val="22"/>
        </w:rPr>
        <w:t xml:space="preserve">Emergency RSA Commission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LI has declared an emergency review under §9.3.a, the LI formally alerts the PM and publishes the emergency finding to the NRS. The PM requests each State to nominate one qualified person to an Emergency Technical Pool within 14 days. The LI certifies each nominee's qualifications against the statutory standard established under §9.3.b. All three Inspectorates then conduct a public lottery draw of five members from the certified nominees using the procedure under §9.3.d — the draw is published to the NRS before the session closes. The Emergency Commission's scope is limited to the specific architectural failure identified in the LI's emergency finding; it may not expand its mandate beyond that scope. Findings are published jointly by all three Inspectorates to the NRS upon completion. Senate confirmation is not required for Emergency Commission members; the mandatory Senate accountability session under §9.3.i provides accountability in lieu of confirmation. The Emergency Commission does not trigger a pool reset; the regular decennial pool and clock are unaffected. The Emergency Technical Pool dissolves upon conclusion of the Senate accountability session.</w:t>
      </w:r>
    </w:p>
    <w:p>
      <w:pPr>
        <w:spacing w:after="60" w:before="200"/>
        <w:ind w:left="431"/>
        <w:jc w:val="left"/>
      </w:pPr>
      <w:r>
        <w:rPr>
          <w:rFonts w:ascii="Courier New" w:cs="Courier New" w:eastAsia="Courier New" w:hAnsi="Courier New"/>
          <w:b/>
          <w:bCs/>
          <w:color w:val="1B2A4A"/>
          <w:sz w:val="18"/>
          <w:szCs w:val="18"/>
        </w:rPr>
        <w:t xml:space="preserve">§9.3.i  </w:t>
      </w:r>
      <w:r>
        <w:rPr>
          <w:rFonts w:ascii="Garamond" w:cs="Garamond" w:eastAsia="Garamond" w:hAnsi="Garamond"/>
          <w:b/>
          <w:bCs/>
          <w:i w:val="false"/>
          <w:iCs w:val="false"/>
          <w:color w:val="1B2A4A"/>
          <w:sz w:val="22"/>
          <w:szCs w:val="22"/>
        </w:rPr>
        <w:t xml:space="preserve">Emergency Commission Senate Accountability Session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30 days of the Emergency Commission's appointment under §9.3.h, the Senate must schedule a mandatory public accountability session. The session must occur within 90 days of the Emergency Commission's appointment. Emergency Commission members appear before the Senate, present their findings, and respond to questions from senators. The session is published in full to the NRS. Failure to schedule the session within 30 days of appointment is a constitutional compliance breach certified by the LI and published to the NRS. The Senate accountability session provides the legitimacy in lieu of Senate confirmation — the Commission's findings carry full constitutional weight upon NRS publication regardless of whether the session has yet occurred.</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(voter registration, ballot counts, audit trails, certification documents) must be published to the NRS within the timeframes specified by the Electoral Commission's constitutional mandate under Article XVI.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§9.5.b  </w:t>
      </w:r>
      <w:r>
        <w:rPr>
          <w:rFonts w:ascii="Garamond" w:cs="Garamond" w:eastAsia="Garamond" w:hAnsi="Garamond"/>
          <w:b/>
          <w:bCs/>
          <w:i w:val="false"/>
          <w:iCs w:val="false"/>
          <w:color w:val="1B2A4A"/>
          <w:sz w:val="22"/>
          <w:szCs w:val="22"/>
        </w:rPr>
        <w:t xml:space="preserve">NRS Downtime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In the event of a technical outage, government acts that would otherwise have required NRS publication to take effect are delayed until the outage is resolved. Emergency acts required for immediate public safety may be announced through alternative channels, but the NRS publication requirement applies from the moment the NRS is restored.</w:t>
      </w:r>
    </w:p>
    <w:p>
      <w:pPr>
        <w:spacing w:after="60" w:before="200"/>
        <w:ind w:left="431"/>
        <w:jc w:val="left"/>
      </w:pPr>
      <w:r>
        <w:rPr>
          <w:rFonts w:ascii="Courier New" w:cs="Courier New" w:eastAsia="Courier New" w:hAnsi="Courier New"/>
          <w:b/>
          <w:bCs/>
          <w:color w:val="1B2A4A"/>
          <w:sz w:val="18"/>
          <w:szCs w:val="18"/>
        </w:rPr>
        <w:t xml:space="preserve">§9.5.c  </w:t>
      </w:r>
      <w:r>
        <w:rPr>
          <w:rFonts w:ascii="Garamond" w:cs="Garamond" w:eastAsia="Garamond" w:hAnsi="Garamond"/>
          <w:b/>
          <w:bCs/>
          <w:i w:val="false"/>
          <w:iCs w:val="false"/>
          <w:color w:val="1B2A4A"/>
          <w:sz w:val="22"/>
          <w:szCs w:val="22"/>
        </w:rPr>
        <w:t xml:space="preserve">Citizen NRS Submissions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submit corrections, context, or additional documentation relating to any NRS record via a public submission mechanism maintained by the LI. Submissions are published alongside the original record after accuracy review. Citizens cannot alter government records — only add publicly visible commentary.</w:t>
      </w:r>
    </w:p>
    <w:p>
      <w:pPr>
        <w:spacing w:after="60" w:before="200"/>
        <w:ind w:left="431"/>
        <w:jc w:val="left"/>
      </w:pPr>
      <w:r>
        <w:rPr>
          <w:rFonts w:ascii="Courier New" w:cs="Courier New" w:eastAsia="Courier New" w:hAnsi="Courier New"/>
          <w:b/>
          <w:bCs/>
          <w:color w:val="1B2A4A"/>
          <w:sz w:val="18"/>
          <w:szCs w:val="18"/>
        </w:rPr>
        <w:t xml:space="preserve">§9.5.d  </w:t>
      </w:r>
      <w:r>
        <w:rPr>
          <w:rFonts w:ascii="Garamond" w:cs="Garamond" w:eastAsia="Garamond" w:hAnsi="Garamond"/>
          <w:b/>
          <w:bCs/>
          <w:i w:val="false"/>
          <w:iCs w:val="false"/>
          <w:color w:val="1B2A4A"/>
          <w:sz w:val="22"/>
          <w:szCs w:val="22"/>
        </w:rPr>
        <w:t xml:space="preserve">NRS Funding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Funding for the NRS may not be reduced below the prior year's level without a 2/3 vote of both chambers. The Legislature may increase NRS funding by simple majority. The funding floor protects the NRS from being defunded as a mechanism of opacity — reducing NRS functionality is treated as a constitutional concern.</w:t>
      </w:r>
    </w:p>
    <w:p>
      <w:pPr>
        <w:spacing w:after="60" w:before="200"/>
        <w:ind w:left="431"/>
        <w:jc w:val="left"/>
      </w:pPr>
      <w:r>
        <w:rPr>
          <w:rFonts w:ascii="Courier New" w:cs="Courier New" w:eastAsia="Courier New" w:hAnsi="Courier New"/>
          <w:b/>
          <w:bCs/>
          <w:color w:val="1B2A4A"/>
          <w:sz w:val="18"/>
          <w:szCs w:val="18"/>
        </w:rPr>
        <w:t xml:space="preserve">§9.5.e  </w:t>
      </w:r>
      <w:r>
        <w:rPr>
          <w:rFonts w:ascii="Garamond" w:cs="Garamond" w:eastAsia="Garamond" w:hAnsi="Garamond"/>
          <w:b/>
          <w:bCs/>
          <w:i w:val="false"/>
          <w:iCs w:val="false"/>
          <w:color w:val="1B2A4A"/>
          <w:sz w:val="22"/>
          <w:szCs w:val="22"/>
        </w:rPr>
        <w:t xml:space="preserve">Improper Classification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Classification used to conceal a constitutional violation, an illegal order, or embarrassing but non-sensitive information is constitutionally prohibited in itself. Improper classification is not an administrative error — it is a constitutional offense.</w:t>
      </w:r>
    </w:p>
    <w:p>
      <w:pPr>
        <w:spacing w:after="60" w:before="200"/>
        <w:jc w:val="left"/>
      </w:pPr>
      <w:r>
        <w:rPr>
          <w:rFonts w:ascii="Garamond" w:cs="Garamond" w:eastAsia="Garamond" w:hAnsi="Garamond"/>
          <w:b/>
          <w:bCs/>
          <w:i w:val="false"/>
          <w:iCs w:val="false"/>
          <w:color w:val="1B2A4A"/>
          <w:sz w:val="34"/>
          <w:szCs w:val="34"/>
        </w:rPr>
        <w:t xml:space="preserve">Article X — Economic Provisions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The Social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is a social state. Every Inhabitant is entitled to conditions of life consistent with human dignity. The Republic shall maintain universally accessible healthcare insurance and social assistance systems and shall ensure free compulsory education for all children, as established in §10.1.a through §10.1.e.</w:t>
      </w:r>
    </w:p>
    <w:p>
      <w:pPr>
        <w:spacing w:after="60" w:before="200"/>
        <w:ind w:left="431"/>
        <w:jc w:val="left"/>
      </w:pPr>
      <w:r>
        <w:rPr>
          <w:rFonts w:ascii="Courier New" w:cs="Courier New" w:eastAsia="Courier New" w:hAnsi="Courier New"/>
          <w:b/>
          <w:bCs/>
          <w:color w:val="1B2A4A"/>
          <w:sz w:val="18"/>
          <w:szCs w:val="18"/>
        </w:rPr>
        <w:t xml:space="preserve">§10.1.a  </w:t>
      </w:r>
      <w:r>
        <w:rPr>
          <w:rFonts w:ascii="Garamond" w:cs="Garamond" w:eastAsia="Garamond" w:hAnsi="Garamond"/>
          <w:b/>
          <w:bCs/>
          <w:i w:val="false"/>
          <w:iCs w:val="false"/>
          <w:color w:val="1B2A4A"/>
          <w:sz w:val="22"/>
          <w:szCs w:val="22"/>
        </w:rPr>
        <w:t xml:space="preserve">Universal Healthcare Insurance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shall maintain a universal healthcare insurance system providing every Inhabitant with access to essential medical care, preventive services, and necessary medications. The system is funded by mandatory employer, employee, and federal government contributions at rates defined by statute. The Republic is the contributor of last resort for Inhabitants without employment income — no Inhabitant may be excluded from the system by reason of inability to pay. The structure, governance, and coverage scope of the system are defined by statute; the statute must provide genuinely comprehensive coverage adequate for a dignified life. The MA certifies annually that the system is solvent and provides constitutionally required universal access. Where the MA certifies insolvency or access failure, the Legislature must respond within 90 days with a remediation plan; failure to respond is a constitutional compliance breach certified by the LI.</w:t>
      </w:r>
    </w:p>
    <w:p>
      <w:pPr>
        <w:spacing w:after="60" w:before="200"/>
        <w:ind w:left="431"/>
        <w:jc w:val="left"/>
      </w:pPr>
      <w:r>
        <w:rPr>
          <w:rFonts w:ascii="Courier New" w:cs="Courier New" w:eastAsia="Courier New" w:hAnsi="Courier New"/>
          <w:b/>
          <w:bCs/>
          <w:color w:val="1B2A4A"/>
          <w:sz w:val="18"/>
          <w:szCs w:val="18"/>
        </w:rPr>
        <w:t xml:space="preserve">§10.1.b  </w:t>
      </w:r>
      <w:r>
        <w:rPr>
          <w:rFonts w:ascii="Garamond" w:cs="Garamond" w:eastAsia="Garamond" w:hAnsi="Garamond"/>
          <w:b/>
          <w:bCs/>
          <w:i w:val="false"/>
          <w:iCs w:val="false"/>
          <w:color w:val="1B2A4A"/>
          <w:sz w:val="22"/>
          <w:szCs w:val="22"/>
        </w:rPr>
        <w:t xml:space="preserve">Social Assistance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Inhabitant cannot access the healthcare insurance system, employment income, or other means of support, the Republic provides social assistance sufficient to maintain conditions of life consistent with the §10.1 dignity standard. Eligibility, benefit levels, and delivery mechanisms are defined by statute; no statute may reduce social assistance below a level the MA certifies as consistent with the constitutional dignity standard. Social assistance is administered by the PM through the Domestic Affairs Council. The LI audits delivery annually.</w:t>
      </w:r>
    </w:p>
    <w:p>
      <w:pPr>
        <w:spacing w:after="60" w:before="200"/>
        <w:ind w:left="431"/>
        <w:jc w:val="left"/>
      </w:pPr>
      <w:r>
        <w:rPr>
          <w:rFonts w:ascii="Courier New" w:cs="Courier New" w:eastAsia="Courier New" w:hAnsi="Courier New"/>
          <w:b/>
          <w:bCs/>
          <w:color w:val="1B2A4A"/>
          <w:sz w:val="18"/>
          <w:szCs w:val="18"/>
        </w:rPr>
        <w:t xml:space="preserve">§10.1.c  </w:t>
      </w:r>
      <w:r>
        <w:rPr>
          <w:rFonts w:ascii="Garamond" w:cs="Garamond" w:eastAsia="Garamond" w:hAnsi="Garamond"/>
          <w:b/>
          <w:bCs/>
          <w:i w:val="false"/>
          <w:iCs w:val="false"/>
          <w:color w:val="1B2A4A"/>
          <w:sz w:val="22"/>
          <w:szCs w:val="22"/>
        </w:rPr>
        <w:t xml:space="preserve">Compulsory Education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in the Republic is entitled to free compulsory basic education. States deliver basic education within their territories and may establish standards above the constitutional floor. The constitutional floor requires: literacy and numeracy sufficient for full adult participation in economic and civic life; and civic education covering the structure, rights, and obligations of the Republic's constitutional framework. The Legislature establishes minimum per-pupil expenditure floors by statute. The LI audits State compliance with the constitutional education floor annually.</w:t>
      </w:r>
    </w:p>
    <w:p>
      <w:pPr>
        <w:spacing w:after="60" w:before="200"/>
        <w:ind w:left="431"/>
        <w:jc w:val="left"/>
      </w:pPr>
      <w:r>
        <w:rPr>
          <w:rFonts w:ascii="Courier New" w:cs="Courier New" w:eastAsia="Courier New" w:hAnsi="Courier New"/>
          <w:b/>
          <w:bCs/>
          <w:color w:val="1B2A4A"/>
          <w:sz w:val="18"/>
          <w:szCs w:val="18"/>
        </w:rPr>
        <w:t xml:space="preserve">§10.1.d  </w:t>
      </w:r>
      <w:r>
        <w:rPr>
          <w:rFonts w:ascii="Garamond" w:cs="Garamond" w:eastAsia="Garamond" w:hAnsi="Garamond"/>
          <w:b/>
          <w:bCs/>
          <w:i w:val="false"/>
          <w:iCs w:val="false"/>
          <w:color w:val="1B2A4A"/>
          <w:sz w:val="22"/>
          <w:szCs w:val="22"/>
        </w:rPr>
        <w:t xml:space="preserve">Non-Discrimination in Social Systems</w:t>
      </w:r>
    </w:p>
    <w:p>
      <w:pPr>
        <w:spacing w:after="120" w:before="0"/>
        <w:ind w:left="431"/>
        <w:jc w:val="both"/>
      </w:pPr>
      <w:r>
        <w:rPr>
          <w:rFonts w:ascii="Garamond" w:cs="Garamond" w:eastAsia="Garamond" w:hAnsi="Garamond"/>
          <w:b w:val="false"/>
          <w:bCs w:val="false"/>
          <w:i w:val="false"/>
          <w:iCs w:val="false"/>
          <w:color w:val="2a2520"/>
          <w:sz w:val="22"/>
          <w:szCs w:val="22"/>
        </w:rPr>
        <w:t xml:space="preserve">Access to the healthcare insurance system, social assistance, and compulsory education may not be conditioned on citizenship, residency status, political affiliation, or any characteristic protected under §1.9. Every Inhabitant is entitled to equal access. No statute may create tiered access or differential benefit levels based on any protected characteristic.</w:t>
      </w:r>
    </w:p>
    <w:p>
      <w:pPr>
        <w:spacing w:after="60" w:before="200"/>
        <w:ind w:left="431"/>
        <w:jc w:val="left"/>
      </w:pPr>
      <w:r>
        <w:rPr>
          <w:rFonts w:ascii="Courier New" w:cs="Courier New" w:eastAsia="Courier New" w:hAnsi="Courier New"/>
          <w:b/>
          <w:bCs/>
          <w:color w:val="1B2A4A"/>
          <w:sz w:val="18"/>
          <w:szCs w:val="18"/>
        </w:rPr>
        <w:t xml:space="preserve">§10.1.e  </w:t>
      </w:r>
      <w:r>
        <w:rPr>
          <w:rFonts w:ascii="Garamond" w:cs="Garamond" w:eastAsia="Garamond" w:hAnsi="Garamond"/>
          <w:b/>
          <w:bCs/>
          <w:i w:val="false"/>
          <w:iCs w:val="false"/>
          <w:color w:val="1B2A4A"/>
          <w:sz w:val="22"/>
          <w:szCs w:val="22"/>
        </w:rPr>
        <w:t xml:space="preserve">Emergency Protection and Revenue Contraction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domestic emergency may reduce, suspend, or diminish access to healthcare insurance, social assistance, or compulsory education. These social state obligations are explicitly excluded from emergency powers; an executive who redirects social insurance or assistance funds during an emergency has committed a constitutional breach reportable by the EI. Where the MA certifies a Severe Revenue Contraction, the National Endowment under §10.6 is automatically activated to backstop both the healthcare insurance system's solvency and social assistance appropriations below the §10.1 dignity standard — no legislative action is required for activation. Disbursements continue until the MA certifies the contraction has ended.</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Fiscal Accountability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constitutional framework for government spending discipline. The Legislature must pass a balanced budget or publish a structural deficit justification. The fiscal framework is enforced by the Inspectorates — the LI audits legislative fiscal claims, the EI audits executive spending certifications.</w:t>
      </w:r>
    </w:p>
    <w:p>
      <w:pPr>
        <w:spacing w:after="60" w:before="200"/>
        <w:ind w:left="431"/>
        <w:jc w:val="left"/>
      </w:pPr>
      <w:r>
        <w:rPr>
          <w:rFonts w:ascii="Courier New" w:cs="Courier New" w:eastAsia="Courier New" w:hAnsi="Courier New"/>
          <w:b/>
          <w:bCs/>
          <w:color w:val="1B2A4A"/>
          <w:sz w:val="18"/>
          <w:szCs w:val="18"/>
        </w:rPr>
        <w:t xml:space="preserve">§10.2.a  </w:t>
      </w:r>
      <w:r>
        <w:rPr>
          <w:rFonts w:ascii="Garamond" w:cs="Garamond" w:eastAsia="Garamond" w:hAnsi="Garamond"/>
          <w:b/>
          <w:bCs/>
          <w:i w:val="false"/>
          <w:iCs w:val="false"/>
          <w:color w:val="1B2A4A"/>
          <w:sz w:val="22"/>
          <w:szCs w:val="22"/>
        </w:rPr>
        <w:t xml:space="preserve">Deficit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Structural deficits above the constitutional threshold (defined by the MA by statute) require a published justification from the Legislature and a published plan for return to balance. The MA reviews the justification for fiscal accuracy — not political adequacy.</w:t>
      </w:r>
    </w:p>
    <w:p>
      <w:pPr>
        <w:spacing w:after="60" w:before="200"/>
        <w:ind w:left="431"/>
        <w:jc w:val="left"/>
      </w:pPr>
      <w:r>
        <w:rPr>
          <w:rFonts w:ascii="Courier New" w:cs="Courier New" w:eastAsia="Courier New" w:hAnsi="Courier New"/>
          <w:b/>
          <w:bCs/>
          <w:color w:val="1B2A4A"/>
          <w:sz w:val="18"/>
          <w:szCs w:val="18"/>
        </w:rPr>
        <w:t xml:space="preserve">§10.2.b  </w:t>
      </w:r>
      <w:r>
        <w:rPr>
          <w:rFonts w:ascii="Garamond" w:cs="Garamond" w:eastAsia="Garamond" w:hAnsi="Garamond"/>
          <w:b/>
          <w:bCs/>
          <w:i w:val="false"/>
          <w:iCs w:val="false"/>
          <w:color w:val="1B2A4A"/>
          <w:sz w:val="22"/>
          <w:szCs w:val="22"/>
        </w:rPr>
        <w:t xml:space="preserve">Legislative Pay Withholding</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discretionary government spending has been suspended due to budget failure, the pay of all members of both chambers is withheld from the same date on which government employee pay is withheld — no earlier and no later. Withheld legislator pay is held and released in full within 14 days of a budget being enacted. No member may receive advance pay, loans from government sources, or any substitute compensation from public funds during this period. The MA publishes a daily count of days withheld to the NRS, running concurrently with the equivalent count for government employees.</w:t>
      </w:r>
    </w:p>
    <w:p>
      <w:pPr>
        <w:spacing w:after="60" w:before="200"/>
        <w:ind w:left="431"/>
        <w:jc w:val="left"/>
      </w:pPr>
      <w:r>
        <w:rPr>
          <w:rFonts w:ascii="Courier New" w:cs="Courier New" w:eastAsia="Courier New" w:hAnsi="Courier New"/>
          <w:b/>
          <w:bCs/>
          <w:color w:val="1B2A4A"/>
          <w:sz w:val="18"/>
          <w:szCs w:val="18"/>
        </w:rPr>
        <w:t xml:space="preserve">§10.2.c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reserve fund for social state backstop purposes under §10.1.e is established and governed under §10.6. The Legislature must fund it by appropriation in years of fiscal surplus. Failure to establish or adequately fund the Endowment within the constitutionally required period is a compliance breach reportable by the LI.</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establish a public campaign financing system within 24 months of the first Legislature convening under §19.3.d. If it fails to do so, the failure is a constitutional compliance breach — the LI certifies the breach, the EI reports it, and citizens may petition for a citizen legislative initiative under §11.2.a to impose a public financing framework by direct mandate.</w:t>
      </w:r>
    </w:p>
    <w:p>
      <w:pPr>
        <w:spacing w:after="60" w:before="200"/>
        <w:ind w:left="431"/>
        <w:jc w:val="left"/>
      </w:pPr>
      <w:r>
        <w:rPr>
          <w:rFonts w:ascii="Courier New" w:cs="Courier New" w:eastAsia="Courier New" w:hAnsi="Courier New"/>
          <w:b/>
          <w:bCs/>
          <w:color w:val="1B2A4A"/>
          <w:sz w:val="18"/>
          <w:szCs w:val="18"/>
        </w:rPr>
        <w:t xml:space="preserve">§10.3.a  </w:t>
      </w:r>
      <w:r>
        <w:rPr>
          <w:rFonts w:ascii="Garamond" w:cs="Garamond" w:eastAsia="Garamond" w:hAnsi="Garamond"/>
          <w:b/>
          <w:bCs/>
          <w:i w:val="false"/>
          <w:iCs w:val="false"/>
          <w:color w:val="1B2A4A"/>
          <w:sz w:val="22"/>
          <w:szCs w:val="22"/>
        </w:rPr>
        <w:t xml:space="preserve">Campaign Financing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public financing system must provide all registered candidates with equal access to public funds. No incumbent advantage in the allocation formula. Private contributions are capped at the de minimis threshold under §18.3. Administered by the Electoral Commission — not by either executive or the Legislature.</w:t>
      </w:r>
    </w:p>
    <w:p>
      <w:pPr>
        <w:spacing w:after="60" w:before="200"/>
        <w:ind w:left="431"/>
        <w:jc w:val="left"/>
      </w:pPr>
      <w:r>
        <w:rPr>
          <w:rFonts w:ascii="Courier New" w:cs="Courier New" w:eastAsia="Courier New" w:hAnsi="Courier New"/>
          <w:b/>
          <w:bCs/>
          <w:color w:val="1B2A4A"/>
          <w:sz w:val="18"/>
          <w:szCs w:val="18"/>
        </w:rPr>
        <w:t xml:space="preserve">§10.3.b  </w:t>
      </w:r>
      <w:r>
        <w:rPr>
          <w:rFonts w:ascii="Garamond" w:cs="Garamond" w:eastAsia="Garamond" w:hAnsi="Garamond"/>
          <w:b/>
          <w:bCs/>
          <w:i w:val="false"/>
          <w:iCs w:val="false"/>
          <w:color w:val="1B2A4A"/>
          <w:sz w:val="22"/>
          <w:szCs w:val="22"/>
        </w:rPr>
        <w:t xml:space="preserve">Campaign Financing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Violations are a constitutional breach reportable by the EI. The EI audits all campaign finance records within 90 days of any election. Candidates who received impermissible contributions must refund them or have the amount treated as an undisclosed in-kind contribution.</w:t>
      </w:r>
    </w:p>
    <w:p>
      <w:pPr>
        <w:spacing w:after="60" w:before="200"/>
        <w:ind w:left="431"/>
        <w:jc w:val="left"/>
      </w:pPr>
      <w:r>
        <w:rPr>
          <w:rFonts w:ascii="Courier New" w:cs="Courier New" w:eastAsia="Courier New" w:hAnsi="Courier New"/>
          <w:b/>
          <w:bCs/>
          <w:color w:val="1B2A4A"/>
          <w:sz w:val="18"/>
          <w:szCs w:val="18"/>
        </w:rPr>
        <w:t xml:space="preserve">§10.4  </w:t>
      </w:r>
      <w:r>
        <w:rPr>
          <w:rFonts w:ascii="Garamond" w:cs="Garamond" w:eastAsia="Garamond" w:hAnsi="Garamond"/>
          <w:b/>
          <w:bCs/>
          <w:i w:val="false"/>
          <w:iCs w:val="false"/>
          <w:color w:val="1B2A4A"/>
          <w:sz w:val="22"/>
          <w:szCs w:val="22"/>
        </w:rPr>
        <w:t xml:space="preserve">The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Monetary Authority is the Republic's constitutionally independent central bank, governed by an elected Director and an appointed board. Its mandate hierarchy and independence from political direction are established in this section.</w:t>
      </w:r>
    </w:p>
    <w:p>
      <w:pPr>
        <w:spacing w:after="60" w:before="200"/>
        <w:ind w:left="431"/>
        <w:jc w:val="left"/>
      </w:pPr>
      <w:r>
        <w:rPr>
          <w:rFonts w:ascii="Courier New" w:cs="Courier New" w:eastAsia="Courier New" w:hAnsi="Courier New"/>
          <w:b/>
          <w:bCs/>
          <w:color w:val="1B2A4A"/>
          <w:sz w:val="18"/>
          <w:szCs w:val="18"/>
        </w:rPr>
        <w:t xml:space="preserve">§10.4.a  </w:t>
      </w:r>
      <w:r>
        <w:rPr>
          <w:rFonts w:ascii="Garamond" w:cs="Garamond" w:eastAsia="Garamond" w:hAnsi="Garamond"/>
          <w:b/>
          <w:bCs/>
          <w:i w:val="false"/>
          <w:iCs w:val="false"/>
          <w:color w:val="1B2A4A"/>
          <w:sz w:val="22"/>
          <w:szCs w:val="22"/>
        </w:rPr>
        <w:t xml:space="preserve">MA Director Election and Board Composition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 is governed by an elected Director and a board of five appointed members. The Director is elected by national RCV on National Election Day to a single non-renewable 8-year term, staggered from the board member appointment cycle. Board members are appointed by the PM and confirmed by the Senate to staggered 6-year non-renewable terms. No more than two board members may be appointed by the same PM. Board vacancies must be filled within 90 days of opening; if the PM fails to nominate within 60 days, the JI publishes a notice of constitutional non-compliance.</w:t>
      </w:r>
    </w:p>
    <w:p>
      <w:pPr>
        <w:spacing w:after="60" w:before="200"/>
        <w:ind w:left="431"/>
        <w:jc w:val="left"/>
      </w:pPr>
      <w:r>
        <w:rPr>
          <w:rFonts w:ascii="Courier New" w:cs="Courier New" w:eastAsia="Courier New" w:hAnsi="Courier New"/>
          <w:b/>
          <w:bCs/>
          <w:color w:val="1B2A4A"/>
          <w:sz w:val="18"/>
          <w:szCs w:val="18"/>
        </w:rPr>
        <w:t xml:space="preserve">§10.4.b  </w:t>
      </w:r>
      <w:r>
        <w:rPr>
          <w:rFonts w:ascii="Garamond" w:cs="Garamond" w:eastAsia="Garamond" w:hAnsi="Garamond"/>
          <w:b/>
          <w:bCs/>
          <w:i w:val="false"/>
          <w:iCs w:val="false"/>
          <w:color w:val="1B2A4A"/>
          <w:sz w:val="22"/>
          <w:szCs w:val="22"/>
        </w:rPr>
        <w:t xml:space="preserve">MA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MA's hierarchical mandate is constitutionally fixed: primary mandate is price stability and fiscal solvency; secondary mandate is regard for employment conditions and sustainable growth. The primary mandate takes precedence in all cases of conflict. This hierarchy cannot be altered by ordinary statute — only by constitutional amendment. No government may direct the MA to elevate its secondary mandate to co-equal status with the primary mandate.</w:t>
      </w:r>
    </w:p>
    <w:p>
      <w:pPr>
        <w:spacing w:after="60" w:before="200"/>
        <w:ind w:left="431"/>
        <w:jc w:val="left"/>
      </w:pPr>
      <w:r>
        <w:rPr>
          <w:rFonts w:ascii="Courier New" w:cs="Courier New" w:eastAsia="Courier New" w:hAnsi="Courier New"/>
          <w:b/>
          <w:bCs/>
          <w:color w:val="1B2A4A"/>
          <w:sz w:val="18"/>
          <w:szCs w:val="18"/>
        </w:rPr>
        <w:t xml:space="preserve">§10.4.b.i  </w:t>
      </w:r>
      <w:r>
        <w:rPr>
          <w:rFonts w:ascii="Garamond" w:cs="Garamond" w:eastAsia="Garamond" w:hAnsi="Garamond"/>
          <w:b/>
          <w:bCs/>
          <w:i w:val="false"/>
          <w:iCs w:val="false"/>
          <w:color w:val="1B2A4A"/>
          <w:sz w:val="22"/>
          <w:szCs w:val="22"/>
        </w:rPr>
        <w:t xml:space="preserve">Executive Non-Interference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Monetary Authority's operational independence is explicitly protected against executive direction. Neither executive may direct, modify, delay, or suppress an MA operational capacity certification. An acting MA Director who issues certifications under executive direction or pressure is subject to the same constitutional accountability framework as a confirmed Director and is constitutionally prohibited from issuing such certifications under political direction.</w:t>
      </w:r>
    </w:p>
    <w:p>
      <w:pPr>
        <w:spacing w:after="60" w:before="200"/>
        <w:ind w:left="431"/>
        <w:jc w:val="left"/>
      </w:pPr>
      <w:r>
        <w:rPr>
          <w:rFonts w:ascii="Courier New" w:cs="Courier New" w:eastAsia="Courier New" w:hAnsi="Courier New"/>
          <w:b/>
          <w:bCs/>
          <w:color w:val="1B2A4A"/>
          <w:sz w:val="18"/>
          <w:szCs w:val="18"/>
        </w:rPr>
        <w:t xml:space="preserve">§10.4.b.ii  </w:t>
      </w:r>
      <w:r>
        <w:rPr>
          <w:rFonts w:ascii="Garamond" w:cs="Garamond" w:eastAsia="Garamond" w:hAnsi="Garamond"/>
          <w:b/>
          <w:bCs/>
          <w:i w:val="false"/>
          <w:iCs w:val="false"/>
          <w:color w:val="1B2A4A"/>
          <w:sz w:val="22"/>
          <w:szCs w:val="22"/>
        </w:rPr>
        <w:t xml:space="preserve">Acting MA Director</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MA Director position is vacant or the Director is incapacitated, the board of five members selects an Acting Director from among themselves by majority vote within 7 days of the vacancy or incapacity being established. The Acting Director holds all Director powers except the veto right under §10.4.f, which is suspended until a new Director is elected under §10.4.a. An Acting Director may not be nominated to stand as the permanent elected Director for the vacancy period they filled. The JI publishes the vacancy notice to the NRS within 48 hours, triggering the electoral process for a replacement Director under the timeline established by statute.</w:t>
      </w:r>
    </w:p>
    <w:p>
      <w:pPr>
        <w:spacing w:after="60" w:before="200"/>
        <w:ind w:left="431"/>
        <w:jc w:val="left"/>
      </w:pPr>
      <w:r>
        <w:rPr>
          <w:rFonts w:ascii="Courier New" w:cs="Courier New" w:eastAsia="Courier New" w:hAnsi="Courier New"/>
          <w:b/>
          <w:bCs/>
          <w:color w:val="1B2A4A"/>
          <w:sz w:val="18"/>
          <w:szCs w:val="18"/>
        </w:rPr>
        <w:t xml:space="preserve">§10.4.c  </w:t>
      </w:r>
      <w:r>
        <w:rPr>
          <w:rFonts w:ascii="Garamond" w:cs="Garamond" w:eastAsia="Garamond" w:hAnsi="Garamond"/>
          <w:b/>
          <w:bCs/>
          <w:i w:val="false"/>
          <w:iCs w:val="false"/>
          <w:color w:val="1B2A4A"/>
          <w:sz w:val="22"/>
          <w:szCs w:val="22"/>
        </w:rPr>
        <w:t xml:space="preserve">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MA determinations, rate decisions, board votes, dissents, and mandate analyses must be published to the NRS within 48 hours of the board meeting. Board Member dissents are published alongside the majority determination.</w:t>
      </w:r>
    </w:p>
    <w:p>
      <w:pPr>
        <w:spacing w:after="60" w:before="200"/>
        <w:ind w:left="431"/>
        <w:jc w:val="left"/>
      </w:pPr>
      <w:r>
        <w:rPr>
          <w:rFonts w:ascii="Courier New" w:cs="Courier New" w:eastAsia="Courier New" w:hAnsi="Courier New"/>
          <w:b/>
          <w:bCs/>
          <w:color w:val="1B2A4A"/>
          <w:sz w:val="18"/>
          <w:szCs w:val="18"/>
        </w:rPr>
        <w:t xml:space="preserve">§10.4.d  </w:t>
      </w:r>
      <w:r>
        <w:rPr>
          <w:rFonts w:ascii="Garamond" w:cs="Garamond" w:eastAsia="Garamond" w:hAnsi="Garamond"/>
          <w:b/>
          <w:bCs/>
          <w:i w:val="false"/>
          <w:iCs w:val="false"/>
          <w:color w:val="1B2A4A"/>
          <w:sz w:val="22"/>
          <w:szCs w:val="22"/>
        </w:rPr>
        <w:t xml:space="preserve">Methodology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MA's calculation methodologies must be published and publicly available. The MA may not change its published methodology without 90 days' notice and a published explanation. Covert methodology changes — changing how the numbers are calculated without telling anyone — are a constitutional breach. Violations of the notice requirement are a constitutional breach reportable by the EI. The MA's methodology must maintain comparability with its prior published series — changes that retroactively alter historical measurements are void without an explicit published historical restatement reconciling old and new series.</w:t>
      </w:r>
    </w:p>
    <w:p>
      <w:pPr>
        <w:spacing w:after="60" w:before="200"/>
        <w:ind w:left="431"/>
        <w:jc w:val="left"/>
      </w:pPr>
      <w:r>
        <w:rPr>
          <w:rFonts w:ascii="Courier New" w:cs="Courier New" w:eastAsia="Courier New" w:hAnsi="Courier New"/>
          <w:b/>
          <w:bCs/>
          <w:color w:val="1B2A4A"/>
          <w:sz w:val="18"/>
          <w:szCs w:val="18"/>
        </w:rPr>
        <w:t xml:space="preserve">§10.4.e  </w:t>
      </w:r>
      <w:r>
        <w:rPr>
          <w:rFonts w:ascii="Garamond" w:cs="Garamond" w:eastAsia="Garamond" w:hAnsi="Garamond"/>
          <w:b/>
          <w:bCs/>
          <w:i w:val="false"/>
          <w:iCs w:val="false"/>
          <w:color w:val="1B2A4A"/>
          <w:sz w:val="22"/>
          <w:szCs w:val="22"/>
        </w:rPr>
        <w:t xml:space="preserve">Uncertifiable Inherited Fiscal 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MA cannot certify the incoming government's fiscal position because the inherited data is too incomplete or unreliable, the MA publishes a qualified certification explaining the limitations. The Legislature must respond within 30 days with a plan to establish reliable fiscal data.</w:t>
      </w:r>
    </w:p>
    <w:p>
      <w:pPr>
        <w:spacing w:after="60" w:before="200"/>
        <w:ind w:left="431"/>
        <w:jc w:val="left"/>
      </w:pPr>
      <w:r>
        <w:rPr>
          <w:rFonts w:ascii="Courier New" w:cs="Courier New" w:eastAsia="Courier New" w:hAnsi="Courier New"/>
          <w:b/>
          <w:bCs/>
          <w:color w:val="1B2A4A"/>
          <w:sz w:val="18"/>
          <w:szCs w:val="18"/>
        </w:rPr>
        <w:t xml:space="preserve">§10.4.f  </w:t>
      </w:r>
      <w:r>
        <w:rPr>
          <w:rFonts w:ascii="Garamond" w:cs="Garamond" w:eastAsia="Garamond" w:hAnsi="Garamond"/>
          <w:b/>
          <w:bCs/>
          <w:i w:val="false"/>
          <w:iCs w:val="false"/>
          <w:color w:val="1B2A4A"/>
          <w:sz w:val="22"/>
          <w:szCs w:val="22"/>
        </w:rPr>
        <w:t xml:space="preserve">Director-Board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 Director chairs the board and holds veto authority over board decisions. The board of five members decides by majority vote; the Director does not hold a board vote. The Director may veto any board decision by publishing written grounds to the NRS within the period the Legislature defines by statute; a veto without published grounds is constitutionally void. The board may override a Director veto by 4-of-5 supermajority; the override and its grounds are published to the NRS. Where a board decision takes effect following a 4-of-5 override and the Director believes it violates the §10.4.b primary mandate hierarchy, the Director may refer the question to the Executive Inspectorate. If the EI advises that a potential mandate hierarchy violation exists, the Director may petition the Supreme Court for a mandate determination. The veto period must be no fewer than 7 days; the board override period no fewer than 14 days; the EI advisory period no fewer than 30 days; the SC petition period no fewer than 60 days. The Legislature may extend but not shorten these floors by statute.</w:t>
      </w:r>
    </w:p>
    <w:p>
      <w:pPr>
        <w:spacing w:after="60" w:before="200"/>
        <w:ind w:left="431"/>
        <w:jc w:val="left"/>
      </w:pPr>
      <w:r>
        <w:rPr>
          <w:rFonts w:ascii="Courier New" w:cs="Courier New" w:eastAsia="Courier New" w:hAnsi="Courier New"/>
          <w:b/>
          <w:bCs/>
          <w:color w:val="1B2A4A"/>
          <w:sz w:val="18"/>
          <w:szCs w:val="18"/>
        </w:rPr>
        <w:t xml:space="preserve">§10.5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are subject to the ethics obligations of this section from the moment they take office. These obligations run concurrently with and do not replace any statutory ethics requirements the Legislature may establish.</w:t>
      </w:r>
    </w:p>
    <w:p>
      <w:pPr>
        <w:spacing w:after="60" w:before="200"/>
        <w:ind w:left="431"/>
        <w:jc w:val="left"/>
      </w:pPr>
      <w:r>
        <w:rPr>
          <w:rFonts w:ascii="Courier New" w:cs="Courier New" w:eastAsia="Courier New" w:hAnsi="Courier New"/>
          <w:b/>
          <w:bCs/>
          <w:color w:val="1B2A4A"/>
          <w:sz w:val="18"/>
          <w:szCs w:val="18"/>
        </w:rPr>
        <w:t xml:space="preserve">§10.5.a  </w:t>
      </w:r>
      <w:r>
        <w:rPr>
          <w:rFonts w:ascii="Garamond" w:cs="Garamond" w:eastAsia="Garamond" w:hAnsi="Garamond"/>
          <w:b/>
          <w:bCs/>
          <w:i w:val="false"/>
          <w:iCs w:val="false"/>
          <w:color w:val="1B2A4A"/>
          <w:sz w:val="22"/>
          <w:szCs w:val="22"/>
        </w:rPr>
        <w:t xml:space="preserve">Personal Financial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elected and appointed constitutional officers must disclose all financial interests, holdings, income sources, and liabilities to the EI within 30 days of taking office and annually thereafter. Disclosure records are published to the NRS. The standard for all official benefits, allowances, and in-office provisions — housing, healthcare, retirement — is that of a senior career public servant in a non-political role, not an executive, elected official, or political appointee. The Legislature defines the comparator by statute; any definition that produces a standard materially higher than senior career public service is constitutionally void. Departure above this standard is permitted only where an official's constitutional responsibilities create a demonstrable operational need, certified by the EI, and only to the minimum extent that need requires.</w:t>
      </w:r>
    </w:p>
    <w:p>
      <w:pPr>
        <w:spacing w:after="60" w:before="200"/>
        <w:ind w:left="431"/>
        <w:jc w:val="left"/>
      </w:pPr>
      <w:r>
        <w:rPr>
          <w:rFonts w:ascii="Courier New" w:cs="Courier New" w:eastAsia="Courier New" w:hAnsi="Courier New"/>
          <w:b/>
          <w:bCs/>
          <w:color w:val="1B2A4A"/>
          <w:sz w:val="18"/>
          <w:szCs w:val="18"/>
        </w:rPr>
        <w:t xml:space="preserve">§10.5.b  </w:t>
      </w:r>
      <w:r>
        <w:rPr>
          <w:rFonts w:ascii="Garamond" w:cs="Garamond" w:eastAsia="Garamond" w:hAnsi="Garamond"/>
          <w:b/>
          <w:bCs/>
          <w:i w:val="false"/>
          <w:iCs w:val="false"/>
          <w:color w:val="1B2A4A"/>
          <w:sz w:val="22"/>
          <w:szCs w:val="22"/>
        </w:rPr>
        <w:t xml:space="preserve">Conflict of Interest Recusal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constitutional officer with a direct financial interest in a decision within their authority must recuse themselves from that decision. Recusal is self-executing — the officer cannot be excused from recusal by the PM, President, or Legislature. Failure to recuse when required is a constitutional breach reportable by the EI.</w:t>
      </w:r>
    </w:p>
    <w:p>
      <w:pPr>
        <w:spacing w:after="60" w:before="200"/>
        <w:ind w:left="431"/>
        <w:jc w:val="left"/>
      </w:pPr>
      <w:r>
        <w:rPr>
          <w:rFonts w:ascii="Courier New" w:cs="Courier New" w:eastAsia="Courier New" w:hAnsi="Courier New"/>
          <w:b/>
          <w:bCs/>
          <w:color w:val="1B2A4A"/>
          <w:sz w:val="18"/>
          <w:szCs w:val="18"/>
        </w:rPr>
        <w:t xml:space="preserve">§10.5.c  </w:t>
      </w:r>
      <w:r>
        <w:rPr>
          <w:rFonts w:ascii="Garamond" w:cs="Garamond" w:eastAsia="Garamond" w:hAnsi="Garamond"/>
          <w:b/>
          <w:bCs/>
          <w:i w:val="false"/>
          <w:iCs w:val="false"/>
          <w:color w:val="1B2A4A"/>
          <w:sz w:val="22"/>
          <w:szCs w:val="22"/>
        </w:rPr>
        <w:t xml:space="preserve">Post-Service and Revolving Door Restrictions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officers may not, for 5 years after leaving office, engage in any activity that monetizes, exploits, or draws on non-public information, relationships, or access accumulated during service. This covers lobbying, consulting, advisory roles, and employment in regulated industries directly affected by the officer's prior decisions — regardless of whether the officer characterizes the engagement as drawing on their prior role. The EI determines whether a post-service engagement falls within this restriction; the officer bears the burden of demonstrating it does not. Violations are a constitutional breach and the officer forfeits any compensation received during the restricted period to the public treasury.</w:t>
      </w:r>
    </w:p>
    <w:p>
      <w:pPr>
        <w:spacing w:after="60" w:before="200"/>
        <w:ind w:left="431"/>
        <w:jc w:val="left"/>
      </w:pPr>
      <w:r>
        <w:rPr>
          <w:rFonts w:ascii="Courier New" w:cs="Courier New" w:eastAsia="Courier New" w:hAnsi="Courier New"/>
          <w:b/>
          <w:bCs/>
          <w:color w:val="1B2A4A"/>
          <w:sz w:val="18"/>
          <w:szCs w:val="18"/>
        </w:rPr>
        <w:t xml:space="preserve">§10.5.d  </w:t>
      </w:r>
      <w:r>
        <w:rPr>
          <w:rFonts w:ascii="Garamond" w:cs="Garamond" w:eastAsia="Garamond" w:hAnsi="Garamond"/>
          <w:b/>
          <w:bCs/>
          <w:i w:val="false"/>
          <w:iCs w:val="false"/>
          <w:color w:val="1B2A4A"/>
          <w:sz w:val="22"/>
          <w:szCs w:val="22"/>
        </w:rPr>
        <w:t xml:space="preserve">Gift and Hospitality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officers may not accept gifts or hospitality above a de minimis threshold defined by statute. All gifts above the threshold must be disclosed to the EI within 30 days and deposited with the relevant treasury. Retention without disclosure is a constitutional breach. Foreign gifts are subject to the same rules.</w:t>
      </w:r>
    </w:p>
    <w:p>
      <w:pPr>
        <w:spacing w:after="60" w:before="200"/>
        <w:ind w:left="431"/>
        <w:jc w:val="left"/>
      </w:pPr>
      <w:r>
        <w:rPr>
          <w:rFonts w:ascii="Courier New" w:cs="Courier New" w:eastAsia="Courier New" w:hAnsi="Courier New"/>
          <w:b/>
          <w:bCs/>
          <w:color w:val="1B2A4A"/>
          <w:sz w:val="18"/>
          <w:szCs w:val="18"/>
        </w:rPr>
        <w:t xml:space="preserve">§10.5.e  </w:t>
      </w:r>
      <w:r>
        <w:rPr>
          <w:rFonts w:ascii="Garamond" w:cs="Garamond" w:eastAsia="Garamond" w:hAnsi="Garamond"/>
          <w:b/>
          <w:bCs/>
          <w:i w:val="false"/>
          <w:iCs w:val="false"/>
          <w:color w:val="1B2A4A"/>
          <w:sz w:val="22"/>
          <w:szCs w:val="22"/>
        </w:rPr>
        <w:t xml:space="preserve">Official Records Belong to the Republic</w:t>
      </w:r>
    </w:p>
    <w:p>
      <w:pPr>
        <w:spacing w:after="120" w:before="0"/>
        <w:ind w:left="431"/>
        <w:jc w:val="both"/>
      </w:pPr>
      <w:r>
        <w:rPr>
          <w:rFonts w:ascii="Garamond" w:cs="Garamond" w:eastAsia="Garamond" w:hAnsi="Garamond"/>
          <w:b w:val="false"/>
          <w:bCs w:val="false"/>
          <w:i w:val="false"/>
          <w:iCs w:val="false"/>
          <w:color w:val="2a2520"/>
          <w:sz w:val="22"/>
          <w:szCs w:val="22"/>
        </w:rPr>
        <w:t xml:space="preserve">All records created in the exercise of official functions are public records. Constitutional officers may not retain, destroy, or remove official records after leaving office. Records physically retained without authorization are subject to forfeiture.</w:t>
      </w:r>
    </w:p>
    <w:p>
      <w:pPr>
        <w:spacing w:after="60" w:before="200"/>
        <w:ind w:left="431"/>
        <w:jc w:val="left"/>
      </w:pPr>
      <w:r>
        <w:rPr>
          <w:rFonts w:ascii="Courier New" w:cs="Courier New" w:eastAsia="Courier New" w:hAnsi="Courier New"/>
          <w:b/>
          <w:bCs/>
          <w:color w:val="1B2A4A"/>
          <w:sz w:val="18"/>
          <w:szCs w:val="18"/>
        </w:rPr>
        <w:t xml:space="preserve">§10.5.f  </w:t>
      </w:r>
      <w:r>
        <w:rPr>
          <w:rFonts w:ascii="Garamond" w:cs="Garamond" w:eastAsia="Garamond" w:hAnsi="Garamond"/>
          <w:b/>
          <w:bCs/>
          <w:i w:val="false"/>
          <w:iCs w:val="false"/>
          <w:color w:val="1B2A4A"/>
          <w:sz w:val="22"/>
          <w:szCs w:val="22"/>
        </w:rPr>
        <w:t xml:space="preserve">Revolving Door — see §10.5.c</w:t>
      </w:r>
    </w:p>
    <w:p>
      <w:pPr>
        <w:spacing w:after="120" w:before="0"/>
        <w:ind w:left="431"/>
        <w:jc w:val="both"/>
      </w:pPr>
      <w:r>
        <w:rPr>
          <w:rFonts w:ascii="Garamond" w:cs="Garamond" w:eastAsia="Garamond" w:hAnsi="Garamond"/>
          <w:b w:val="false"/>
          <w:bCs w:val="false"/>
          <w:i w:val="false"/>
          <w:iCs w:val="false"/>
          <w:color w:val="2a2520"/>
          <w:sz w:val="22"/>
          <w:szCs w:val="22"/>
        </w:rPr>
        <w:t xml:space="preserve">Post-service restrictions including the revolving door prohibition are consolidated in §10.5.c.</w:t>
      </w:r>
    </w:p>
    <w:p>
      <w:pPr>
        <w:spacing w:after="60" w:before="200"/>
        <w:ind w:left="431"/>
        <w:jc w:val="left"/>
      </w:pPr>
      <w:r>
        <w:rPr>
          <w:rFonts w:ascii="Courier New" w:cs="Courier New" w:eastAsia="Courier New" w:hAnsi="Courier New"/>
          <w:b/>
          <w:bCs/>
          <w:color w:val="1B2A4A"/>
          <w:sz w:val="18"/>
          <w:szCs w:val="18"/>
        </w:rPr>
        <w:t xml:space="preserve">§10.5.g  </w:t>
      </w:r>
      <w:r>
        <w:rPr>
          <w:rFonts w:ascii="Garamond" w:cs="Garamond" w:eastAsia="Garamond" w:hAnsi="Garamond"/>
          <w:b/>
          <w:bCs/>
          <w:i w:val="false"/>
          <w:iCs w:val="false"/>
          <w:color w:val="1B2A4A"/>
          <w:sz w:val="22"/>
          <w:szCs w:val="22"/>
        </w:rPr>
        <w:t xml:space="preserve">Official Intellectual Property</w:t>
      </w:r>
    </w:p>
    <w:p>
      <w:pPr>
        <w:spacing w:after="120" w:before="0"/>
        <w:ind w:left="431"/>
        <w:jc w:val="both"/>
      </w:pPr>
      <w:r>
        <w:rPr>
          <w:rFonts w:ascii="Garamond" w:cs="Garamond" w:eastAsia="Garamond" w:hAnsi="Garamond"/>
          <w:b w:val="false"/>
          <w:bCs w:val="false"/>
          <w:i w:val="false"/>
          <w:iCs w:val="false"/>
          <w:color w:val="2a2520"/>
          <w:sz w:val="22"/>
          <w:szCs w:val="22"/>
        </w:rPr>
        <w:t xml:space="preserve">Ideas, analyses, and work product created during official service belong to the Republic. An officer may not monetize work done in their official capacity for 5 years following service.</w:t>
      </w:r>
    </w:p>
    <w:p>
      <w:pPr>
        <w:spacing w:after="60" w:before="200"/>
        <w:ind w:left="431"/>
        <w:jc w:val="left"/>
      </w:pPr>
      <w:r>
        <w:rPr>
          <w:rFonts w:ascii="Courier New" w:cs="Courier New" w:eastAsia="Courier New" w:hAnsi="Courier New"/>
          <w:b/>
          <w:bCs/>
          <w:color w:val="1B2A4A"/>
          <w:sz w:val="18"/>
          <w:szCs w:val="18"/>
        </w:rPr>
        <w:t xml:space="preserve">§10.5.h  </w:t>
      </w:r>
      <w:r>
        <w:rPr>
          <w:rFonts w:ascii="Garamond" w:cs="Garamond" w:eastAsia="Garamond" w:hAnsi="Garamond"/>
          <w:b/>
          <w:bCs/>
          <w:i w:val="false"/>
          <w:iCs w:val="false"/>
          <w:color w:val="1B2A4A"/>
          <w:sz w:val="22"/>
          <w:szCs w:val="22"/>
        </w:rPr>
        <w:t xml:space="preserve">Ethics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is the primary enforcement mechanism for the §10.5 ethics provisions. The EI publishes all disclosed conflicts, all flagged violations, and all referrals to the Legislature for removal proceedings. The EI publishes facts and refers serious violations — it does not impose penalties directly.</w:t>
      </w:r>
    </w:p>
    <w:p>
      <w:pPr>
        <w:spacing w:after="60" w:before="200"/>
        <w:ind w:left="431"/>
        <w:jc w:val="left"/>
      </w:pPr>
      <w:r>
        <w:rPr>
          <w:rFonts w:ascii="Courier New" w:cs="Courier New" w:eastAsia="Courier New" w:hAnsi="Courier New"/>
          <w:b/>
          <w:bCs/>
          <w:color w:val="1B2A4A"/>
          <w:sz w:val="18"/>
          <w:szCs w:val="18"/>
        </w:rPr>
        <w:t xml:space="preserve">§10.6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backstops the Republic's social state obligations under §10.1.e during periods of Severe Revenue Contraction. It operates independently of the annual budget process. The Endowment's dual mandate is: (1) maintaining the solvency of the universal healthcare insurance system where contribution revenues are insufficient; and (2) supplementing social assistance appropriations that fall below the §10.1 dignity standard. Both mandates are activated simultaneously on MA certification of Severe Revenue Contraction.</w:t>
      </w:r>
    </w:p>
    <w:p>
      <w:pPr>
        <w:spacing w:after="60" w:before="200"/>
        <w:ind w:left="431"/>
        <w:jc w:val="left"/>
      </w:pPr>
      <w:r>
        <w:rPr>
          <w:rFonts w:ascii="Courier New" w:cs="Courier New" w:eastAsia="Courier New" w:hAnsi="Courier New"/>
          <w:b/>
          <w:bCs/>
          <w:color w:val="1B2A4A"/>
          <w:sz w:val="18"/>
          <w:szCs w:val="18"/>
        </w:rPr>
        <w:t xml:space="preserve">§10.6.a  </w:t>
      </w:r>
      <w:r>
        <w:rPr>
          <w:rFonts w:ascii="Garamond" w:cs="Garamond" w:eastAsia="Garamond" w:hAnsi="Garamond"/>
          <w:b/>
          <w:bCs/>
          <w:i w:val="false"/>
          <w:iCs w:val="false"/>
          <w:color w:val="1B2A4A"/>
          <w:sz w:val="22"/>
          <w:szCs w:val="22"/>
        </w:rPr>
        <w:t xml:space="preserve">National Endowment Trustee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governed by a board of five trustees selected by public lottery from a constitutionally maintained Trustee Pool. The President and PM each nominate one qualified person per year to the Trustee Pool. Each nominee must hold demonstrable expertise in investment management, public finance, or fiduciary governance as determined by a qualifications standard published by the Legislature by statute. Each nominee must be confirmed by the Senate within 60 days of nomination by affirmative vote — no deemed confirmation applies. Unconfirmed nominees are returned without prejudice; the nominating executive may submit a replacement within 30 days. No more than two confirmed Pool members may be nominees of the same executive at any time. The Pool must maintain a minimum of ten confirmed members; if it falls below ten, both executives must nominate within 30 days and the JI publishes a notice of pool deficiency to the NRS.</w:t>
      </w:r>
    </w:p>
    <w:p>
      <w:pPr>
        <w:spacing w:after="60" w:before="200"/>
        <w:ind w:left="431"/>
        <w:jc w:val="left"/>
      </w:pPr>
      <w:r>
        <w:rPr>
          <w:rFonts w:ascii="Courier New" w:cs="Courier New" w:eastAsia="Courier New" w:hAnsi="Courier New"/>
          <w:b/>
          <w:bCs/>
          <w:color w:val="1B2A4A"/>
          <w:sz w:val="18"/>
          <w:szCs w:val="18"/>
        </w:rPr>
        <w:t xml:space="preserve">§10.6.a.i  </w:t>
      </w:r>
      <w:r>
        <w:rPr>
          <w:rFonts w:ascii="Garamond" w:cs="Garamond" w:eastAsia="Garamond" w:hAnsi="Garamond"/>
          <w:b/>
          <w:bCs/>
          <w:i w:val="false"/>
          <w:iCs w:val="false"/>
          <w:color w:val="1B2A4A"/>
          <w:sz w:val="22"/>
          <w:szCs w:val="22"/>
        </w:rPr>
        <w:t xml:space="preserve">Trustee Draw and Terms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Endowment board has a vacancy, all three Inspectorates jointly conduct a public lottery draw from the confirmed Trustee Pool, excluding current serving trustees. The draw selects one trustee per vacancy. Trustees serve staggered 6-year non-renewable terms. A trustee drawn to fill a mid-term vacancy serves only the remainder of that term. The JI certifies each draw and publishes the result to the NRS within 24 hours. No trustee may be removed except for cause under the same grounds applicable to independent constitutional officers — the board's independence from political direction is constitutionally protected.</w:t>
      </w:r>
    </w:p>
    <w:p>
      <w:pPr>
        <w:spacing w:after="60" w:before="200"/>
        <w:ind w:left="431"/>
        <w:jc w:val="left"/>
      </w:pPr>
      <w:r>
        <w:rPr>
          <w:rFonts w:ascii="Courier New" w:cs="Courier New" w:eastAsia="Courier New" w:hAnsi="Courier New"/>
          <w:b/>
          <w:bCs/>
          <w:color w:val="1B2A4A"/>
          <w:sz w:val="18"/>
          <w:szCs w:val="18"/>
        </w:rPr>
        <w:t xml:space="preserve">§10.6.a.ii  </w:t>
      </w:r>
      <w:r>
        <w:rPr>
          <w:rFonts w:ascii="Garamond" w:cs="Garamond" w:eastAsia="Garamond" w:hAnsi="Garamond"/>
          <w:b/>
          <w:bCs/>
          <w:i w:val="false"/>
          <w:iCs w:val="false"/>
          <w:color w:val="1B2A4A"/>
          <w:sz w:val="22"/>
          <w:szCs w:val="22"/>
        </w:rPr>
        <w:t xml:space="preserve">Trustee Mandate and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board's sole mandate is to preserve and grow the Endowment fund for BNF backstop purposes. The board may not be directed to any other investment goal by either executive or the Legislature. All board decisions, investment mandates, and performance reports are published to the NRS quarterly. The EI audits the board annually for compliance with the sole-mandate requirement and publishes findings to the NRS. A trustee who acts outside the sole mandate has committed a constitutional breach.</w:t>
      </w:r>
    </w:p>
    <w:p>
      <w:pPr>
        <w:spacing w:after="60" w:before="200"/>
        <w:ind w:left="431"/>
        <w:jc w:val="left"/>
      </w:pPr>
      <w:r>
        <w:rPr>
          <w:rFonts w:ascii="Courier New" w:cs="Courier New" w:eastAsia="Courier New" w:hAnsi="Courier New"/>
          <w:b/>
          <w:bCs/>
          <w:color w:val="1B2A4A"/>
          <w:sz w:val="18"/>
          <w:szCs w:val="18"/>
        </w:rPr>
        <w:t xml:space="preserve">§10.6.b  </w:t>
      </w:r>
      <w:r>
        <w:rPr>
          <w:rFonts w:ascii="Garamond" w:cs="Garamond" w:eastAsia="Garamond" w:hAnsi="Garamond"/>
          <w:b/>
          <w:bCs/>
          <w:i w:val="false"/>
          <w:iCs w:val="false"/>
          <w:color w:val="1B2A4A"/>
          <w:sz w:val="22"/>
          <w:szCs w:val="22"/>
        </w:rPr>
        <w:t xml:space="preserve">National Endowment Activation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MA certifies a Severe Revenue Contraction, the Endowment is automatically activated under §10.1.e. The board must begin disbursements within 30 days: to the healthcare insurance system where its contribution revenues are insufficient to meet its obligations; and to social assistance where appropriations fall below the MA-certified dignity standard. The board may not withhold disbursements during a certified contraction. Disbursements continue until the MA certifies the contraction has ended and both social state systems are self-sufficient.</w:t>
      </w:r>
    </w:p>
    <w:p>
      <w:pPr>
        <w:spacing w:after="60" w:before="200"/>
        <w:ind w:left="431"/>
        <w:jc w:val="left"/>
      </w:pPr>
      <w:r>
        <w:rPr>
          <w:rFonts w:ascii="Courier New" w:cs="Courier New" w:eastAsia="Courier New" w:hAnsi="Courier New"/>
          <w:b/>
          <w:bCs/>
          <w:color w:val="1B2A4A"/>
          <w:sz w:val="18"/>
          <w:szCs w:val="18"/>
        </w:rPr>
        <w:t xml:space="preserve">§10.7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House statute and is public record on the NRS.</w:t>
      </w:r>
    </w:p>
    <w:p>
      <w:pPr>
        <w:spacing w:after="60" w:before="200"/>
        <w:ind w:left="431"/>
        <w:jc w:val="left"/>
      </w:pPr>
      <w:r>
        <w:rPr>
          <w:rFonts w:ascii="Courier New" w:cs="Courier New" w:eastAsia="Courier New" w:hAnsi="Courier New"/>
          <w:b/>
          <w:bCs/>
          <w:color w:val="1B2A4A"/>
          <w:sz w:val="18"/>
          <w:szCs w:val="18"/>
        </w:rPr>
        <w:t xml:space="preserve">§10.7.a  </w:t>
      </w:r>
      <w:r>
        <w:rPr>
          <w:rFonts w:ascii="Garamond" w:cs="Garamond" w:eastAsia="Garamond" w:hAnsi="Garamond"/>
          <w:b/>
          <w:bCs/>
          <w:i w:val="false"/>
          <w:iCs w:val="false"/>
          <w:color w:val="1B2A4A"/>
          <w:sz w:val="22"/>
          <w:szCs w:val="22"/>
        </w:rPr>
        <w:t xml:space="preserve">Jury Service — see §4.5</w:t>
      </w:r>
    </w:p>
    <w:p>
      <w:pPr>
        <w:spacing w:after="120" w:before="0"/>
        <w:ind w:left="431"/>
        <w:jc w:val="both"/>
      </w:pPr>
      <w:r>
        <w:rPr>
          <w:rFonts w:ascii="Garamond" w:cs="Garamond" w:eastAsia="Garamond" w:hAnsi="Garamond"/>
          <w:b w:val="false"/>
          <w:bCs w:val="false"/>
          <w:i w:val="false"/>
          <w:iCs w:val="false"/>
          <w:color w:val="2a2520"/>
          <w:sz w:val="22"/>
          <w:szCs w:val="22"/>
        </w:rPr>
        <w:t xml:space="preserve">Jury service obligations, compensation, and enforcement are established in §4.5.</w:t>
      </w:r>
    </w:p>
    <w:p>
      <w:pPr>
        <w:spacing w:after="60" w:before="200"/>
        <w:jc w:val="left"/>
      </w:pPr>
      <w:r>
        <w:rPr>
          <w:rFonts w:ascii="Garamond" w:cs="Garamond" w:eastAsia="Garamond" w:hAnsi="Garamond"/>
          <w:b/>
          <w:bCs/>
          <w:i w:val="false"/>
          <w:iCs w:val="false"/>
          <w:color w:val="1B2A4A"/>
          <w:sz w:val="34"/>
          <w:szCs w:val="34"/>
        </w:rPr>
        <w:t xml:space="preserve">Article XI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The LI screens petitions for eligibility — laws that solely or primarily expand an Article I right are not eligible for referendum (the Bill of Rights cannot be repealed by popular vote). Simple majority of votes cast overturns the law.</w:t>
      </w:r>
    </w:p>
    <w:p>
      <w:pPr>
        <w:spacing w:after="60" w:before="200"/>
        <w:ind w:left="431"/>
        <w:jc w:val="left"/>
      </w:pPr>
      <w:r>
        <w:rPr>
          <w:rFonts w:ascii="Courier New" w:cs="Courier New" w:eastAsia="Courier New" w:hAnsi="Courier New"/>
          <w:b/>
          <w:bCs/>
          <w:color w:val="1B2A4A"/>
          <w:sz w:val="18"/>
          <w:szCs w:val="18"/>
        </w:rPr>
        <w:t xml:space="preserve">§11.1.a  </w:t>
      </w:r>
      <w:r>
        <w:rPr>
          <w:rFonts w:ascii="Garamond" w:cs="Garamond" w:eastAsia="Garamond" w:hAnsi="Garamond"/>
          <w:b/>
          <w:bCs/>
          <w:i w:val="false"/>
          <w:iCs w:val="false"/>
          <w:color w:val="1B2A4A"/>
          <w:sz w:val="22"/>
          <w:szCs w:val="22"/>
        </w:rPr>
        <w:t xml:space="preserve">Citizen Petition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5% petition must be collected within 90 days of the law's enactment. The EC verifies petition signatures for eligibility. If the threshold is met, the EC administers the referendum within 90 days of verification. Petitioners may withdraw the petition before the referendum is scheduled, but not after.</w:t>
      </w:r>
    </w:p>
    <w:p>
      <w:pPr>
        <w:spacing w:after="60" w:before="200"/>
        <w:ind w:left="431"/>
        <w:jc w:val="left"/>
      </w:pPr>
      <w:r>
        <w:rPr>
          <w:rFonts w:ascii="Courier New" w:cs="Courier New" w:eastAsia="Courier New" w:hAnsi="Courier New"/>
          <w:b/>
          <w:bCs/>
          <w:color w:val="1B2A4A"/>
          <w:sz w:val="18"/>
          <w:szCs w:val="18"/>
        </w:rPr>
        <w:t xml:space="preserve">§11.1.b  </w:t>
      </w:r>
      <w:r>
        <w:rPr>
          <w:rFonts w:ascii="Garamond" w:cs="Garamond" w:eastAsia="Garamond" w:hAnsi="Garamond"/>
          <w:b/>
          <w:bCs/>
          <w:i w:val="false"/>
          <w:iCs w:val="false"/>
          <w:color w:val="1B2A4A"/>
          <w:sz w:val="22"/>
          <w:szCs w:val="22"/>
        </w:rPr>
        <w:t xml:space="preserve">Eligibility Screen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Legislative Inspectorate determines whether a targeted law is eligible for referendum. Laws that solely or primarily expand an Article I right are ineligible; a law cannot be repealed by referendum if its primary effect is to broaden individual protections. Budget laws and laws implementing a constitutionally mandated obligation are also ineligible. The LI publishes its eligibility determination to the NRS within 14 days of petition submission. An ineligibility determination may be challenged in the Appellate Court within 7 days; the Court must rule within 21 days.</w:t>
      </w:r>
    </w:p>
    <w:p>
      <w:pPr>
        <w:spacing w:after="60" w:before="200"/>
        <w:ind w:left="431"/>
        <w:jc w:val="left"/>
      </w:pPr>
      <w:r>
        <w:rPr>
          <w:rFonts w:ascii="Courier New" w:cs="Courier New" w:eastAsia="Courier New" w:hAnsi="Courier New"/>
          <w:b/>
          <w:bCs/>
          <w:color w:val="1B2A4A"/>
          <w:sz w:val="18"/>
          <w:szCs w:val="18"/>
        </w:rPr>
        <w:t xml:space="preserve">§11.1.c  </w:t>
      </w:r>
      <w:r>
        <w:rPr>
          <w:rFonts w:ascii="Garamond" w:cs="Garamond" w:eastAsia="Garamond" w:hAnsi="Garamond"/>
          <w:b/>
          <w:bCs/>
          <w:i w:val="false"/>
          <w:iCs w:val="false"/>
          <w:color w:val="1B2A4A"/>
          <w:sz w:val="22"/>
          <w:szCs w:val="22"/>
        </w:rPr>
        <w:t xml:space="preserve">Referendum Thresholds and Finality</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referendum passes (simple majority of votes cast, subject to the Legislature-defined turnout threshold), the law is repealed immediately upon EC certification. If it fails, the law remains in effect and cannot be subjected to referendum on the same grounds for 5 years. The Legislature may re-enact a repealed law, but the re-enacted version is again subject to referendum.</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hold the right to propose legislation directly to the Legislature through the initiative mechanism. The initiative is distinct from the referendum — it creates new law rather than repealing enacted law.</w:t>
      </w:r>
    </w:p>
    <w:p>
      <w:pPr>
        <w:spacing w:after="60" w:before="200"/>
        <w:ind w:left="431"/>
        <w:jc w:val="left"/>
      </w:pPr>
      <w:r>
        <w:rPr>
          <w:rFonts w:ascii="Courier New" w:cs="Courier New" w:eastAsia="Courier New" w:hAnsi="Courier New"/>
          <w:b/>
          <w:bCs/>
          <w:color w:val="1B2A4A"/>
          <w:sz w:val="18"/>
          <w:szCs w:val="18"/>
        </w:rPr>
        <w:t xml:space="preserve">§11.2.a  </w:t>
      </w:r>
      <w:r>
        <w:rPr>
          <w:rFonts w:ascii="Garamond" w:cs="Garamond" w:eastAsia="Garamond" w:hAnsi="Garamond"/>
          <w:b/>
          <w:bCs/>
          <w:i w:val="false"/>
          <w:iCs w:val="false"/>
          <w:color w:val="1B2A4A"/>
          <w:sz w:val="22"/>
          <w:szCs w:val="22"/>
        </w:rPr>
        <w:t xml:space="preserve">Initiative Process and Thresholds</w:t>
      </w:r>
    </w:p>
    <w:p>
      <w:pPr>
        <w:spacing w:after="120" w:before="0"/>
        <w:ind w:left="431"/>
        <w:jc w:val="both"/>
      </w:pPr>
      <w:r>
        <w:rPr>
          <w:rFonts w:ascii="Garamond" w:cs="Garamond" w:eastAsia="Garamond" w:hAnsi="Garamond"/>
          <w:b w:val="false"/>
          <w:bCs w:val="false"/>
          <w:i w:val="false"/>
          <w:iCs w:val="false"/>
          <w:color w:val="2a2520"/>
          <w:sz w:val="22"/>
          <w:szCs w:val="22"/>
        </w:rPr>
        <w:t xml:space="preserve">10% of eligible voters petition for a specific legislative proposal. The Legislature must vote on the proposal within 90 days. If it fails or is not voted on, the proposal proceeds to a national referendum at the §15.1.c thresholds — citizen-initiated legislation that bypasses the Legislature requires a higher democratic mandate than simple repeal.</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the primary points of contact between citizens and government. They are entitled to reasonable fiscal capacity to carry out their constitutional functions. States may not starve local governments to achieve de facto state centralization.</w:t>
      </w:r>
    </w:p>
    <w:p>
      <w:pPr>
        <w:spacing w:after="60" w:before="200"/>
        <w:jc w:val="left"/>
      </w:pPr>
      <w:r>
        <w:rPr>
          <w:rFonts w:ascii="Garamond" w:cs="Garamond" w:eastAsia="Garamond" w:hAnsi="Garamond"/>
          <w:b/>
          <w:bCs/>
          <w:i w:val="false"/>
          <w:iCs w:val="false"/>
          <w:color w:val="1B2A4A"/>
          <w:sz w:val="34"/>
          <w:szCs w:val="34"/>
        </w:rPr>
        <w:t xml:space="preserve">Article XII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limits military force to three purposes: border protection and territorial integrity; defense of treaty allies within defined triggering thresholds; and prevention of genocide or civilizational collapse. Three prohibited purposes are equally significant: nation-building, resource extraction, and ideological imposition. A Tier 3 Legislative Declaration must state which authorized purpose it serves — declarations that cannot be linked to an authorized purpose are constitutionally void.</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Legislative Declaration of Defense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Emergency Defense Allocation is the automatic funding mechanism that activates with a Tier 3 Declaration. The PM certifies funds concurrent with the Legislative Declaration — no Declaration takes effect without PM certification. The allocation covers specific categories of military expenditure defined by the Declaration.</w:t>
      </w:r>
    </w:p>
    <w:p>
      <w:pPr>
        <w:spacing w:after="60" w:before="200"/>
        <w:ind w:left="431"/>
        <w:jc w:val="left"/>
      </w:pPr>
      <w:r>
        <w:rPr>
          <w:rFonts w:ascii="Courier New" w:cs="Courier New" w:eastAsia="Courier New" w:hAnsi="Courier New"/>
          <w:b/>
          <w:bCs/>
          <w:color w:val="1B2A4A"/>
          <w:sz w:val="18"/>
          <w:szCs w:val="18"/>
        </w:rPr>
        <w:t xml:space="preserve">§12.2.a  </w:t>
      </w:r>
      <w:r>
        <w:rPr>
          <w:rFonts w:ascii="Garamond" w:cs="Garamond" w:eastAsia="Garamond" w:hAnsi="Garamond"/>
          <w:b/>
          <w:bCs/>
          <w:i w:val="false"/>
          <w:iCs w:val="false"/>
          <w:color w:val="1B2A4A"/>
          <w:sz w:val="22"/>
          <w:szCs w:val="22"/>
        </w:rPr>
        <w:t xml:space="preserve">Defense Allocation Categories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Declaration must specify which expenditure categories are authorized: operational costs, equipment, personnel, intelligence support, logistics, and post-conflict obligations. Expenditure in uncategorized areas requires a supplementary PM certification. The categorization requirement prevents the Declaration from becoming a blank check.</w:t>
      </w:r>
    </w:p>
    <w:p>
      <w:pPr>
        <w:spacing w:after="60" w:before="200"/>
        <w:ind w:left="431"/>
        <w:jc w:val="left"/>
      </w:pPr>
      <w:r>
        <w:rPr>
          <w:rFonts w:ascii="Courier New" w:cs="Courier New" w:eastAsia="Courier New" w:hAnsi="Courier New"/>
          <w:b/>
          <w:bCs/>
          <w:color w:val="1B2A4A"/>
          <w:sz w:val="18"/>
          <w:szCs w:val="18"/>
        </w:rPr>
        <w:t xml:space="preserve">§12.2.b  </w:t>
      </w:r>
      <w:r>
        <w:rPr>
          <w:rFonts w:ascii="Garamond" w:cs="Garamond" w:eastAsia="Garamond" w:hAnsi="Garamond"/>
          <w:b/>
          <w:bCs/>
          <w:i w:val="false"/>
          <w:iCs w:val="false"/>
          <w:color w:val="1B2A4A"/>
          <w:sz w:val="22"/>
          <w:szCs w:val="22"/>
        </w:rPr>
        <w:t xml:space="preserve">Emergency Defense Allocation Renewal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Emergency Defense Allocation renews automatically with each 180-day Declaration renewal, subject to PM certification. If the Legislature renews the Declaration but the PM withholds certification, the Declaration is voided — the PM's fiscal certification is an independent constitutional check on military operations.</w:t>
      </w:r>
    </w:p>
    <w:p>
      <w:pPr>
        <w:spacing w:after="60" w:before="200"/>
        <w:ind w:left="431"/>
        <w:jc w:val="left"/>
      </w:pPr>
      <w:r>
        <w:rPr>
          <w:rFonts w:ascii="Courier New" w:cs="Courier New" w:eastAsia="Courier New" w:hAnsi="Courier New"/>
          <w:b/>
          <w:bCs/>
          <w:color w:val="1B2A4A"/>
          <w:sz w:val="18"/>
          <w:szCs w:val="18"/>
        </w:rPr>
        <w:t xml:space="preserve">§12.2.c  </w:t>
      </w:r>
      <w:r>
        <w:rPr>
          <w:rFonts w:ascii="Garamond" w:cs="Garamond" w:eastAsia="Garamond" w:hAnsi="Garamond"/>
          <w:b/>
          <w:bCs/>
          <w:i w:val="false"/>
          <w:iCs w:val="false"/>
          <w:color w:val="1B2A4A"/>
          <w:sz w:val="22"/>
          <w:szCs w:val="22"/>
        </w:rPr>
        <w:t xml:space="preserve">Allocation Termination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Tier 3 Declaration expires or is not renewed, all Emergency Defense Allocation expenditure ceases automatically within 48 hours. Ongoing contracts within the certified allocation may continue to wind down for 30 days. New commitments may not be entered after Declaration expiry. The EI monitors wind-down expenditure throughout the 30-day period. Where irregularities are identified, the EI reports directly and confidentially to the Senate Armed Services Committee without NRS publication; operational security during wind-down is preserved by this confidential channel. The full wind-down expenditure record is published to the NRS as part of the §12.2.e post-allocation accountability report after military operations are fully concluded — defined as the end of the 30-day wind-down period.</w:t>
      </w:r>
    </w:p>
    <w:p>
      <w:pPr>
        <w:spacing w:after="60" w:before="200"/>
        <w:ind w:left="431"/>
        <w:jc w:val="left"/>
      </w:pPr>
      <w:r>
        <w:rPr>
          <w:rFonts w:ascii="Courier New" w:cs="Courier New" w:eastAsia="Courier New" w:hAnsi="Courier New"/>
          <w:b/>
          <w:bCs/>
          <w:color w:val="1B2A4A"/>
          <w:sz w:val="18"/>
          <w:szCs w:val="18"/>
        </w:rPr>
        <w:t xml:space="preserve">§12.2.d  </w:t>
      </w:r>
      <w:r>
        <w:rPr>
          <w:rFonts w:ascii="Garamond" w:cs="Garamond" w:eastAsia="Garamond" w:hAnsi="Garamond"/>
          <w:b/>
          <w:bCs/>
          <w:i w:val="false"/>
          <w:iCs w:val="false"/>
          <w:color w:val="1B2A4A"/>
          <w:sz w:val="22"/>
          <w:szCs w:val="22"/>
        </w:rPr>
        <w:t xml:space="preserve">Oversight of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Emergency Defense Allocation spending quarterly during any active Tier 3 Declaration and publishes findings to the NRS. The audit covers whether expenditure falls within certified categories, whether PM certifications were obtained, and whether expenditure complied with emergency procurement standards.</w:t>
      </w:r>
    </w:p>
    <w:p>
      <w:pPr>
        <w:spacing w:after="60" w:before="200"/>
        <w:ind w:left="431"/>
        <w:jc w:val="left"/>
      </w:pPr>
      <w:r>
        <w:rPr>
          <w:rFonts w:ascii="Courier New" w:cs="Courier New" w:eastAsia="Courier New" w:hAnsi="Courier New"/>
          <w:b/>
          <w:bCs/>
          <w:color w:val="1B2A4A"/>
          <w:sz w:val="18"/>
          <w:szCs w:val="18"/>
        </w:rPr>
        <w:t xml:space="preserve">§12.2.e  </w:t>
      </w:r>
      <w:r>
        <w:rPr>
          <w:rFonts w:ascii="Garamond" w:cs="Garamond" w:eastAsia="Garamond" w:hAnsi="Garamond"/>
          <w:b/>
          <w:bCs/>
          <w:i w:val="false"/>
          <w:iCs w:val="false"/>
          <w:color w:val="1B2A4A"/>
          <w:sz w:val="22"/>
          <w:szCs w:val="22"/>
        </w:rPr>
        <w:t xml:space="preserve">Post-Allocation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180 days of a Declaration's final expiry, the EI publishes a comprehensive allocation accountability report covering the entire period: total expenditure by category, compliance with PM certifications, and any identified irregularities.</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use of intelligence capabilities in support of authorized military operations. The §1.30.d Intelligence Firewall applies at all times — no military operation authorizes domestic intelligence collection against citizens. Intelligence activities must be published to the NRS in classified summary form within 90 days of military operations being fully concluded as defined in §12.2.c.</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90 days of a Tier 3 Declaration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the executive. If the Senate fails to approve a Plan within the required period, the LI certifies a constitutional compliance breach. The PM may provisionally authorize continued operations under the existing Declaration pending Senate action, as specified in §12.4.a.</w:t>
      </w:r>
    </w:p>
    <w:p>
      <w:pPr>
        <w:spacing w:after="60" w:before="200"/>
        <w:ind w:left="431"/>
        <w:jc w:val="left"/>
      </w:pPr>
      <w:r>
        <w:rPr>
          <w:rFonts w:ascii="Courier New" w:cs="Courier New" w:eastAsia="Courier New" w:hAnsi="Courier New"/>
          <w:b/>
          <w:bCs/>
          <w:color w:val="1B2A4A"/>
          <w:sz w:val="18"/>
          <w:szCs w:val="18"/>
        </w:rPr>
        <w:t xml:space="preserve">§12.4.a  </w:t>
      </w:r>
      <w:r>
        <w:rPr>
          <w:rFonts w:ascii="Garamond" w:cs="Garamond" w:eastAsia="Garamond" w:hAnsi="Garamond"/>
          <w:b/>
          <w:bCs/>
          <w:i w:val="false"/>
          <w:iCs w:val="false"/>
          <w:color w:val="1B2A4A"/>
          <w:sz w:val="22"/>
          <w:szCs w:val="22"/>
        </w:rPr>
        <w:t xml:space="preserve">Provisional PM Authorization — Transition Plan Failure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LI has certified a compliance breach under §12.4, the PM may provisionally authorize continued military operations under the existing Declaration using their fiscal certification authority under §2.1.d. Provisional authorization is granted in two extensions of 30 days each — 60 days total maximum. At each extension the PM must: notify the Senate Armed Services Committee in writing of the extension and its duration; certify to the LI and EI that operations remain within the scope of the existing Declaration and that no new commitments have been entered; and publish a notice of provisional authorization to the NRS. The LI and EI monitor compliance with these requirements and publish any breach findings immediately to the NRS. The PM's provisional authorization is a fiscal continuation of existing authority — it does not expand the scope of operations, authorize new commitments, or displace the President's operational command. Once the two 30-day extensions are exhausted, no further Declaration renewals are permitted until the Senate approves a Transition and Reconstruction Plan. The current Declaration continues to its natural expiry date and wind-down proceeds under §12.2.c. The Senate may approve a Plan at any point during the provisional authorization period and restore the standard renewal process immediately upon approval.</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invoke Treaty Emergency Certification as an alternative to the standard Tier authorization process, subject to the requirements of §12.5.a and §12.5.b. Treaty Emergency Certification does not displace the Legislature's ultimate authority over sustained operations — it provides an expedited initial response pathway only.</w:t>
      </w:r>
    </w:p>
    <w:p>
      <w:pPr>
        <w:spacing w:after="60" w:before="200"/>
        <w:ind w:left="431"/>
        <w:jc w:val="left"/>
      </w:pPr>
      <w:r>
        <w:rPr>
          <w:rFonts w:ascii="Courier New" w:cs="Courier New" w:eastAsia="Courier New" w:hAnsi="Courier New"/>
          <w:b/>
          <w:bCs/>
          <w:color w:val="1B2A4A"/>
          <w:sz w:val="18"/>
          <w:szCs w:val="18"/>
        </w:rPr>
        <w:t xml:space="preserve">§12.5.a  </w:t>
      </w:r>
      <w:r>
        <w:rPr>
          <w:rFonts w:ascii="Garamond" w:cs="Garamond" w:eastAsia="Garamond" w:hAnsi="Garamond"/>
          <w:b/>
          <w:bCs/>
          <w:i w:val="false"/>
          <w:iCs w:val="false"/>
          <w:color w:val="1B2A4A"/>
          <w:sz w:val="22"/>
          <w:szCs w:val="22"/>
        </w:rPr>
        <w:t xml:space="preserve">Treaty Emergency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invoke Treaty Emergency Certification as an alternative to the standard Tier authorization process. The certification must be published to the NRS within 6 hours with the specific treaty obligation cited. The Senate Armed Services Committee reviews the certification within 48 hours.</w:t>
      </w:r>
    </w:p>
    <w:p>
      <w:pPr>
        <w:spacing w:after="60" w:before="200"/>
        <w:ind w:left="431"/>
        <w:jc w:val="left"/>
      </w:pPr>
      <w:r>
        <w:rPr>
          <w:rFonts w:ascii="Courier New" w:cs="Courier New" w:eastAsia="Courier New" w:hAnsi="Courier New"/>
          <w:b/>
          <w:bCs/>
          <w:color w:val="1B2A4A"/>
          <w:sz w:val="18"/>
          <w:szCs w:val="18"/>
        </w:rPr>
        <w:t xml:space="preserve">§12.5.b  </w:t>
      </w:r>
      <w:r>
        <w:rPr>
          <w:rFonts w:ascii="Garamond" w:cs="Garamond" w:eastAsia="Garamond" w:hAnsi="Garamond"/>
          <w:b/>
          <w:bCs/>
          <w:i w:val="false"/>
          <w:iCs w:val="false"/>
          <w:color w:val="1B2A4A"/>
          <w:sz w:val="22"/>
          <w:szCs w:val="22"/>
        </w:rPr>
        <w:t xml:space="preserve">Treaty Emergency Procedures</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Emergency Certification activates the same 96-hour Senate Armed Services Committee review as Tier 2 authorization. The President must notify both chambers and the PM within 12 hours of invoking certification, specifying the treaty obligation triggered and the anticipated scope of operations. If the Senate Armed Services Committee does not authorize continued operations within 96 hours, operations must cease except for immediate defensive protection of Republic territory. Upon receiving the §12.5.b notification, the PM must within 6 hours either certify funding under §2.1.d or publish a formal objection to the NRS. If the PM does not respond within 6 hours, funding certification is deemed granted and the EI records the non-response as a constitutional lapse. If the PM formally objects, the matter is referred immediately to the SC for emergency resolution; operations may continue during SC review but no new commitments may be entered until the SC rules.</w:t>
      </w:r>
    </w:p>
    <w:p>
      <w:pPr>
        <w:spacing w:after="60" w:before="200"/>
        <w:ind w:left="431"/>
        <w:jc w:val="left"/>
      </w:pPr>
      <w:r>
        <w:rPr>
          <w:rFonts w:ascii="Courier New" w:cs="Courier New" w:eastAsia="Courier New" w:hAnsi="Courier New"/>
          <w:b/>
          <w:bCs/>
          <w:color w:val="1B2A4A"/>
          <w:sz w:val="18"/>
          <w:szCs w:val="18"/>
        </w:rPr>
        <w:t xml:space="preserve">§12.5.c  </w:t>
      </w:r>
      <w:r>
        <w:rPr>
          <w:rFonts w:ascii="Garamond" w:cs="Garamond" w:eastAsia="Garamond" w:hAnsi="Garamond"/>
          <w:b/>
          <w:bCs/>
          <w:i w:val="false"/>
          <w:iCs w:val="false"/>
          <w:color w:val="1B2A4A"/>
          <w:sz w:val="22"/>
          <w:szCs w:val="22"/>
        </w:rPr>
        <w:t xml:space="preserve">No Blank Check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Treaty Emergency Certification covers operational costs for the initial response and triggers parliamentary authorization for any extended engagement. Treaties cannot be blank checks for extended military commitment — each sustained engagement requires parliamentary authorization regardless of what the treaty says.</w:t>
      </w:r>
    </w:p>
    <w:p>
      <w:pPr>
        <w:spacing w:after="60" w:before="200"/>
        <w:jc w:val="left"/>
      </w:pPr>
      <w:r>
        <w:rPr>
          <w:rFonts w:ascii="Garamond" w:cs="Garamond" w:eastAsia="Garamond" w:hAnsi="Garamond"/>
          <w:b/>
          <w:bCs/>
          <w:i w:val="false"/>
          <w:iCs w:val="false"/>
          <w:color w:val="1B2A4A"/>
          <w:sz w:val="34"/>
          <w:szCs w:val="34"/>
        </w:rPr>
        <w:t xml:space="preserve">Article XIII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category for non-State jurisdictions within the Republic. A Territory operates under a Territorial Compact, has federal protections under Article I, accesses social state systems under §10.1, and may begin the Statehood pathway under §13.2. Territories hold House seats proportional to their population under §3.1.a and participate in the House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successfully completing the Statehood Audit and Provisional Membership Period. No political vote in Congress is required once the audit is passed — statehood is a constitutional entitlement for any Territory that meets the criteria, not a political grant.</w:t>
      </w:r>
    </w:p>
    <w:p>
      <w:pPr>
        <w:spacing w:after="60" w:before="200"/>
        <w:ind w:left="431"/>
        <w:jc w:val="left"/>
      </w:pPr>
      <w:r>
        <w:rPr>
          <w:rFonts w:ascii="Courier New" w:cs="Courier New" w:eastAsia="Courier New" w:hAnsi="Courier New"/>
          <w:b/>
          <w:bCs/>
          <w:color w:val="1B2A4A"/>
          <w:sz w:val="18"/>
          <w:szCs w:val="18"/>
        </w:rPr>
        <w:t xml:space="preserve">§13.2.a  </w:t>
      </w:r>
      <w:r>
        <w:rPr>
          <w:rFonts w:ascii="Garamond" w:cs="Garamond" w:eastAsia="Garamond" w:hAnsi="Garamond"/>
          <w:b/>
          <w:bCs/>
          <w:i w:val="false"/>
          <w:iCs w:val="false"/>
          <w:color w:val="1B2A4A"/>
          <w:sz w:val="22"/>
          <w:szCs w:val="22"/>
        </w:rPr>
        <w:t xml:space="preserve">Fiscal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the territory's government finances for basic fiscal sustainability, absence of structural insolvency that would require federal bailout, and basic public financial management standards. The audit checks whether the territory can function as a financially independent State — not whether its fiscal policy is optimal.</w:t>
      </w:r>
    </w:p>
    <w:p>
      <w:pPr>
        <w:spacing w:after="60" w:before="200"/>
        <w:ind w:left="431"/>
        <w:jc w:val="left"/>
      </w:pPr>
      <w:r>
        <w:rPr>
          <w:rFonts w:ascii="Courier New" w:cs="Courier New" w:eastAsia="Courier New" w:hAnsi="Courier New"/>
          <w:b/>
          <w:bCs/>
          <w:color w:val="1B2A4A"/>
          <w:sz w:val="18"/>
          <w:szCs w:val="18"/>
        </w:rPr>
        <w:t xml:space="preserve">§13.2.b  </w:t>
      </w:r>
      <w:r>
        <w:rPr>
          <w:rFonts w:ascii="Garamond" w:cs="Garamond" w:eastAsia="Garamond" w:hAnsi="Garamond"/>
          <w:b/>
          <w:bCs/>
          <w:i w:val="false"/>
          <w:iCs w:val="false"/>
          <w:color w:val="1B2A4A"/>
          <w:sz w:val="22"/>
          <w:szCs w:val="22"/>
        </w:rPr>
        <w:t xml:space="preserve">Legal Sync</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the territory's legal system for compliance with every Article I right. Statehood is not granted to jurisdictions that are constitutionally non-compliant — a territory that applies Article I rights inconsistently cannot become a State while those violations persist.</w:t>
      </w:r>
    </w:p>
    <w:p>
      <w:pPr>
        <w:spacing w:after="60" w:before="200"/>
        <w:ind w:left="431"/>
        <w:jc w:val="left"/>
      </w:pPr>
      <w:r>
        <w:rPr>
          <w:rFonts w:ascii="Courier New" w:cs="Courier New" w:eastAsia="Courier New" w:hAnsi="Courier New"/>
          <w:b/>
          <w:bCs/>
          <w:color w:val="1B2A4A"/>
          <w:sz w:val="18"/>
          <w:szCs w:val="18"/>
        </w:rPr>
        <w:t xml:space="preserve">§13.2.c  </w:t>
      </w:r>
      <w:r>
        <w:rPr>
          <w:rFonts w:ascii="Garamond" w:cs="Garamond" w:eastAsia="Garamond" w:hAnsi="Garamond"/>
          <w:b/>
          <w:bCs/>
          <w:i w:val="false"/>
          <w:iCs w:val="false"/>
          <w:color w:val="1B2A4A"/>
          <w:sz w:val="22"/>
          <w:szCs w:val="22"/>
        </w:rPr>
        <w:t xml:space="preserve">The Provisional Membership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Upon passing the Statehood Audit, the territory enters a Provisional Membership Period of between 365 and 900 days (Legislature defines by statute). Clean completion results in automatic Statehood — no further action required.</w:t>
      </w:r>
    </w:p>
    <w:p>
      <w:pPr>
        <w:spacing w:after="60" w:before="200"/>
        <w:ind w:left="431"/>
        <w:jc w:val="left"/>
      </w:pPr>
      <w:r>
        <w:rPr>
          <w:rFonts w:ascii="Courier New" w:cs="Courier New" w:eastAsia="Courier New" w:hAnsi="Courier New"/>
          <w:b/>
          <w:bCs/>
          <w:color w:val="1B2A4A"/>
          <w:sz w:val="18"/>
          <w:szCs w:val="18"/>
        </w:rPr>
        <w:t xml:space="preserve">§13.2.d  </w:t>
      </w:r>
      <w:r>
        <w:rPr>
          <w:rFonts w:ascii="Garamond" w:cs="Garamond" w:eastAsia="Garamond" w:hAnsi="Garamond"/>
          <w:b/>
          <w:bCs/>
          <w:i w:val="false"/>
          <w:iCs w:val="false"/>
          <w:color w:val="1B2A4A"/>
          <w:sz w:val="22"/>
          <w:szCs w:val="22"/>
        </w:rPr>
        <w:t xml:space="preserve">Partial Territory Statehood</w:t>
      </w:r>
    </w:p>
    <w:p>
      <w:pPr>
        <w:spacing w:after="120" w:before="0"/>
        <w:ind w:left="431"/>
        <w:jc w:val="both"/>
      </w:pPr>
      <w:r>
        <w:rPr>
          <w:rFonts w:ascii="Garamond" w:cs="Garamond" w:eastAsia="Garamond" w:hAnsi="Garamond"/>
          <w:b w:val="false"/>
          <w:bCs w:val="false"/>
          <w:i w:val="false"/>
          <w:iCs w:val="false"/>
          <w:color w:val="2a2520"/>
          <w:sz w:val="22"/>
          <w:szCs w:val="22"/>
        </w:rPr>
        <w:t xml:space="preserve">A defined geographic subdivision of a Territory may petition for Statehood independently of the remainder. The petitioning subdivision must meet the same Statehood criteria as a whole Territory. Used where a Territory contains a region with clearly different institutional development.</w:t>
      </w:r>
    </w:p>
    <w:p>
      <w:pPr>
        <w:spacing w:after="60" w:before="200"/>
        <w:ind w:left="431"/>
        <w:jc w:val="left"/>
      </w:pPr>
      <w:r>
        <w:rPr>
          <w:rFonts w:ascii="Courier New" w:cs="Courier New" w:eastAsia="Courier New" w:hAnsi="Courier New"/>
          <w:b/>
          <w:bCs/>
          <w:color w:val="1B2A4A"/>
          <w:sz w:val="18"/>
          <w:szCs w:val="18"/>
        </w:rPr>
        <w:t xml:space="preserve">§13.2.e  </w:t>
      </w:r>
      <w:r>
        <w:rPr>
          <w:rFonts w:ascii="Garamond" w:cs="Garamond" w:eastAsia="Garamond" w:hAnsi="Garamond"/>
          <w:b/>
          <w:bCs/>
          <w:i w:val="false"/>
          <w:iCs w:val="false"/>
          <w:color w:val="1B2A4A"/>
          <w:sz w:val="22"/>
          <w:szCs w:val="22"/>
        </w:rPr>
        <w:t xml:space="preserve">Minimum Democratic Legitimacy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State must maintain three ongoing conditions: functioning electoral processes under Article XVI, basic rule of law and judicial function, and Article I rights compliance. Annual Statehood Audit verifies continued compliance. A State that fails receives Early Warning under §13.3.b — it enters a remediation process, not automatic devolution. The annual Statehood Audit for existing States includes assessment of all three conditions in this provision in addition to the criteria in §13.2.a and §13.2.b.</w:t>
      </w:r>
    </w:p>
    <w:p>
      <w:pPr>
        <w:spacing w:after="60" w:before="200"/>
        <w:ind w:left="431"/>
        <w:jc w:val="left"/>
      </w:pPr>
      <w:r>
        <w:rPr>
          <w:rFonts w:ascii="Courier New" w:cs="Courier New" w:eastAsia="Courier New" w:hAnsi="Courier New"/>
          <w:b/>
          <w:bCs/>
          <w:color w:val="1B2A4A"/>
          <w:sz w:val="18"/>
          <w:szCs w:val="18"/>
        </w:rPr>
        <w:t xml:space="preserve">§13.2.f  </w:t>
      </w:r>
      <w:r>
        <w:rPr>
          <w:rFonts w:ascii="Garamond" w:cs="Garamond" w:eastAsia="Garamond" w:hAnsi="Garamond"/>
          <w:b/>
          <w:bCs/>
          <w:i w:val="false"/>
          <w:iCs w:val="false"/>
          <w:color w:val="1B2A4A"/>
          <w:sz w:val="22"/>
          <w:szCs w:val="22"/>
        </w:rPr>
        <w:t xml:space="preserve">Territorial Minimum Institutional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Territory must maintain basic governance infrastructure: a governance council with defined membership and published authority, basic public financial reporting, and access to federal court jurisdiction for Article I claims. Territories that cannot maintain this floor may be placed in federal receivership pending institutional restoration.</w:t>
      </w:r>
    </w:p>
    <w:p>
      <w:pPr>
        <w:spacing w:after="60" w:before="200"/>
        <w:ind w:left="431"/>
        <w:jc w:val="left"/>
      </w:pPr>
      <w:r>
        <w:rPr>
          <w:rFonts w:ascii="Courier New" w:cs="Courier New" w:eastAsia="Courier New" w:hAnsi="Courier New"/>
          <w:b/>
          <w:bCs/>
          <w:color w:val="1B2A4A"/>
          <w:sz w:val="18"/>
          <w:szCs w:val="18"/>
        </w:rPr>
        <w:t xml:space="preserve">§13.2.g  </w:t>
      </w:r>
      <w:r>
        <w:rPr>
          <w:rFonts w:ascii="Garamond" w:cs="Garamond" w:eastAsia="Garamond" w:hAnsi="Garamond"/>
          <w:b/>
          <w:bCs/>
          <w:i w:val="false"/>
          <w:iCs w:val="false"/>
          <w:color w:val="1B2A4A"/>
          <w:sz w:val="22"/>
          <w:szCs w:val="22"/>
        </w:rPr>
        <w:t xml:space="preserve">Conflict-Affected State Provisional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active conflict prevents completion of the annual Statehood Audit in a significant portion (&gt;25% population) of a State's territory, the LI may grant provisional status for that audit cycle. Preserves State constitutional standing and social state protections under §10.1. Cannot be used where the conflict is attributable to the State government's own governance failures (§13.2.g.i).</w:t>
      </w:r>
    </w:p>
    <w:p>
      <w:pPr>
        <w:spacing w:after="60" w:before="200"/>
        <w:ind w:left="431"/>
        <w:jc w:val="left"/>
      </w:pPr>
      <w:r>
        <w:rPr>
          <w:rFonts w:ascii="Courier New" w:cs="Courier New" w:eastAsia="Courier New" w:hAnsi="Courier New"/>
          <w:b/>
          <w:bCs/>
          <w:color w:val="1B2A4A"/>
          <w:sz w:val="18"/>
          <w:szCs w:val="18"/>
        </w:rPr>
        <w:t xml:space="preserve">§13.2.g.i  </w:t>
      </w:r>
      <w:r>
        <w:rPr>
          <w:rFonts w:ascii="Garamond" w:cs="Garamond" w:eastAsia="Garamond" w:hAnsi="Garamond"/>
          <w:b/>
          <w:bCs/>
          <w:i w:val="false"/>
          <w:iCs w:val="false"/>
          <w:color w:val="1B2A4A"/>
          <w:sz w:val="22"/>
          <w:szCs w:val="22"/>
        </w:rPr>
        <w:t xml:space="preserve">Governance Contribution Standard</w:t>
      </w:r>
    </w:p>
    <w:p>
      <w:pPr>
        <w:spacing w:after="120" w:before="0"/>
        <w:ind w:left="431"/>
        <w:jc w:val="both"/>
      </w:pPr>
      <w:r>
        <w:rPr>
          <w:rFonts w:ascii="Garamond" w:cs="Garamond" w:eastAsia="Garamond" w:hAnsi="Garamond"/>
          <w:b w:val="false"/>
          <w:bCs w:val="false"/>
          <w:i w:val="false"/>
          <w:iCs w:val="false"/>
          <w:color w:val="2a2520"/>
          <w:sz w:val="22"/>
          <w:szCs w:val="22"/>
        </w:rPr>
        <w:t xml:space="preserve">Provisional status is unavailable where the joint assessment of all three Inspectorates finds that the State government materially contributed to the conditions producing conflict, or failed to take reasonable steps to prevent them when it knew or should have known of those conditions — even where direct State contribution cannot be established. Where this standard is met, the Statehood Audit proceeds on available evidence from accessible areas. Provisional status certification under §13.2.g requires the joint assessment of all three Inspectorates; no single Inspectorate's finding is sufficient to grant or deny provisional status.</w:t>
      </w:r>
    </w:p>
    <w:p>
      <w:pPr>
        <w:spacing w:after="60" w:before="200"/>
        <w:ind w:left="431"/>
        <w:jc w:val="left"/>
      </w:pPr>
      <w:r>
        <w:rPr>
          <w:rFonts w:ascii="Courier New" w:cs="Courier New" w:eastAsia="Courier New" w:hAnsi="Courier New"/>
          <w:b/>
          <w:bCs/>
          <w:color w:val="1B2A4A"/>
          <w:sz w:val="18"/>
          <w:szCs w:val="18"/>
        </w:rPr>
        <w:t xml:space="preserve">§13.2.g.ii  </w:t>
      </w:r>
      <w:r>
        <w:rPr>
          <w:rFonts w:ascii="Garamond" w:cs="Garamond" w:eastAsia="Garamond" w:hAnsi="Garamond"/>
          <w:b/>
          <w:bCs/>
          <w:i w:val="false"/>
          <w:iCs w:val="false"/>
          <w:color w:val="1B2A4A"/>
          <w:sz w:val="22"/>
          <w:szCs w:val="22"/>
        </w:rPr>
        <w:t xml:space="preserve">Provisional Status Monitoring</w:t>
      </w:r>
    </w:p>
    <w:p>
      <w:pPr>
        <w:spacing w:after="120" w:before="0"/>
        <w:ind w:left="431"/>
        <w:jc w:val="both"/>
      </w:pPr>
      <w:r>
        <w:rPr>
          <w:rFonts w:ascii="Garamond" w:cs="Garamond" w:eastAsia="Garamond" w:hAnsi="Garamond"/>
          <w:b w:val="false"/>
          <w:bCs w:val="false"/>
          <w:i w:val="false"/>
          <w:iCs w:val="false"/>
          <w:color w:val="2a2520"/>
          <w:sz w:val="22"/>
          <w:szCs w:val="22"/>
        </w:rPr>
        <w:t xml:space="preserve">During any provisional status period, the LI conducts a modified annual Statehood Audit assessing only the criteria that can be meaningfully evaluated given the conflict's geographic scope. The three Inspectorates jointly publish a quarterly status report to the NRS documenting: the percentage of territory where normal audit conditions have been restored, the governance functions operating normally, and the estimated timeline to full audit resumption. The State government retains all constitutional functions in territory not affected by the conflict.</w:t>
      </w:r>
    </w:p>
    <w:p>
      <w:pPr>
        <w:spacing w:after="60" w:before="200"/>
        <w:ind w:left="431"/>
        <w:jc w:val="left"/>
      </w:pPr>
      <w:r>
        <w:rPr>
          <w:rFonts w:ascii="Courier New" w:cs="Courier New" w:eastAsia="Courier New" w:hAnsi="Courier New"/>
          <w:b/>
          <w:bCs/>
          <w:color w:val="1B2A4A"/>
          <w:sz w:val="18"/>
          <w:szCs w:val="18"/>
        </w:rPr>
        <w:t xml:space="preserve">§13.2.g.iii  </w:t>
      </w:r>
      <w:r>
        <w:rPr>
          <w:rFonts w:ascii="Garamond" w:cs="Garamond" w:eastAsia="Garamond" w:hAnsi="Garamond"/>
          <w:b/>
          <w:bCs/>
          <w:i w:val="false"/>
          <w:iCs w:val="false"/>
          <w:color w:val="1B2A4A"/>
          <w:sz w:val="22"/>
          <w:szCs w:val="22"/>
        </w:rPr>
        <w:t xml:space="preserve">Prior Provisional Status — Renewal Conditions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has previously held provisional status under §13.2.g, a new petition requires the joint Inspectorate assessment to certify both that the new conflict is genuinely distinct from the prior episode and that the State has completed at least one full Statehood Audit cycle since the prior provisional status ended.</w:t>
      </w:r>
    </w:p>
    <w:p>
      <w:pPr>
        <w:spacing w:after="60" w:before="200"/>
        <w:ind w:left="431"/>
        <w:jc w:val="left"/>
      </w:pPr>
      <w:r>
        <w:rPr>
          <w:rFonts w:ascii="Courier New" w:cs="Courier New" w:eastAsia="Courier New" w:hAnsi="Courier New"/>
          <w:b/>
          <w:bCs/>
          <w:color w:val="1B2A4A"/>
          <w:sz w:val="18"/>
          <w:szCs w:val="18"/>
        </w:rPr>
        <w:t xml:space="preserve">§13.2.g.iv  </w:t>
      </w:r>
      <w:r>
        <w:rPr>
          <w:rFonts w:ascii="Garamond" w:cs="Garamond" w:eastAsia="Garamond" w:hAnsi="Garamond"/>
          <w:b/>
          <w:bCs/>
          <w:i w:val="false"/>
          <w:iCs w:val="false"/>
          <w:color w:val="1B2A4A"/>
          <w:sz w:val="22"/>
          <w:szCs w:val="22"/>
        </w:rPr>
        <w:t xml:space="preserve">Maximum Provisional Period and Default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Provisional status may not continue indefinitely. The Legislature must by statute define the maximum provisional period, not to exceed five years. Where the Legislature has not enacted an alternative resolution statute within the maximum provisional period, a default mechanism activates automatically: the State is placed under joint federal-State administration within the PM's domestic domain, with full State constitutional rights preserved and State executive functions supervised by a joint commission until security conditions allow audit completion or the Legislature enacts a specific alternative mechanism. Joint administration is not devolution — it preserves the State's constitutional status while ensuring its functions are performed.</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remedial process for States that have failed to meet minimum governance standards over a sustained period. Devolution restructures the State's relationship with the federal government while preserving its constitutional status.</w:t>
      </w:r>
    </w:p>
    <w:p>
      <w:pPr>
        <w:spacing w:after="60" w:before="200"/>
        <w:ind w:left="431"/>
        <w:jc w:val="left"/>
      </w:pPr>
      <w:r>
        <w:rPr>
          <w:rFonts w:ascii="Courier New" w:cs="Courier New" w:eastAsia="Courier New" w:hAnsi="Courier New"/>
          <w:b/>
          <w:bCs/>
          <w:color w:val="1B2A4A"/>
          <w:sz w:val="18"/>
          <w:szCs w:val="18"/>
        </w:rPr>
        <w:t xml:space="preserve">§13.3.a  </w:t>
      </w:r>
      <w:r>
        <w:rPr>
          <w:rFonts w:ascii="Garamond" w:cs="Garamond" w:eastAsia="Garamond" w:hAnsi="Garamond"/>
          <w:b/>
          <w:bCs/>
          <w:i w:val="false"/>
          <w:iCs w:val="false"/>
          <w:color w:val="1B2A4A"/>
          <w:sz w:val="22"/>
          <w:szCs w:val="22"/>
        </w:rPr>
        <w:t xml:space="preserve">Devolution Triggers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if it fails three consecutive annual Statehood Audits after passing through the Early Warning (Year 1-2) and Devolution Vote (Year 3) stages without correction. The LI certifies the trigger; the EI and JI jointly confirm; the SC reviews the factual basis.</w:t>
      </w:r>
    </w:p>
    <w:p>
      <w:pPr>
        <w:spacing w:after="60" w:before="200"/>
        <w:ind w:left="431"/>
        <w:jc w:val="left"/>
      </w:pPr>
      <w:r>
        <w:rPr>
          <w:rFonts w:ascii="Courier New" w:cs="Courier New" w:eastAsia="Courier New" w:hAnsi="Courier New"/>
          <w:b/>
          <w:bCs/>
          <w:color w:val="1B2A4A"/>
          <w:sz w:val="18"/>
          <w:szCs w:val="18"/>
        </w:rPr>
        <w:t xml:space="preserve">§13.3.b  </w:t>
      </w:r>
      <w:r>
        <w:rPr>
          <w:rFonts w:ascii="Garamond" w:cs="Garamond" w:eastAsia="Garamond" w:hAnsi="Garamond"/>
          <w:b/>
          <w:bCs/>
          <w:i w:val="false"/>
          <w:iCs w:val="false"/>
          <w:color w:val="1B2A4A"/>
          <w:sz w:val="22"/>
          <w:szCs w:val="22"/>
        </w:rPr>
        <w:t xml:space="preserve">Early Warning — Years 1 and 2</w:t>
      </w:r>
    </w:p>
    <w:p>
      <w:pPr>
        <w:spacing w:after="120" w:before="0"/>
        <w:ind w:left="431"/>
        <w:jc w:val="both"/>
      </w:pPr>
      <w:r>
        <w:rPr>
          <w:rFonts w:ascii="Garamond" w:cs="Garamond" w:eastAsia="Garamond" w:hAnsi="Garamond"/>
          <w:b w:val="false"/>
          <w:bCs w:val="false"/>
          <w:i w:val="false"/>
          <w:iCs w:val="false"/>
          <w:color w:val="2a2520"/>
          <w:sz w:val="22"/>
          <w:szCs w:val="22"/>
        </w:rPr>
        <w:t xml:space="preserve">Year 1 and 2 audit failures trigger Early Warning: the LI publishes specific compliance requirements, the State submits a Remediation Plan within 60 days, and the LI monitors implementation quarterly. A cooperative remediation process — the federal government assists the State in correcting identified failures rather than immediately proceeding to devolution.</w:t>
      </w:r>
    </w:p>
    <w:p>
      <w:pPr>
        <w:spacing w:after="60" w:before="200"/>
        <w:ind w:left="431"/>
        <w:jc w:val="left"/>
      </w:pPr>
      <w:r>
        <w:rPr>
          <w:rFonts w:ascii="Courier New" w:cs="Courier New" w:eastAsia="Courier New" w:hAnsi="Courier New"/>
          <w:b/>
          <w:bCs/>
          <w:color w:val="1B2A4A"/>
          <w:sz w:val="18"/>
          <w:szCs w:val="18"/>
        </w:rPr>
        <w:t xml:space="preserve">§13.3.c  </w:t>
      </w:r>
      <w:r>
        <w:rPr>
          <w:rFonts w:ascii="Garamond" w:cs="Garamond" w:eastAsia="Garamond" w:hAnsi="Garamond"/>
          <w:b/>
          <w:bCs/>
          <w:i w:val="false"/>
          <w:iCs w:val="false"/>
          <w:color w:val="1B2A4A"/>
          <w:sz w:val="22"/>
          <w:szCs w:val="22"/>
        </w:rPr>
        <w:t xml:space="preserve">Devolution Vote — Year 3</w:t>
      </w:r>
    </w:p>
    <w:p>
      <w:pPr>
        <w:spacing w:after="120" w:before="0"/>
        <w:ind w:left="431"/>
        <w:jc w:val="both"/>
      </w:pPr>
      <w:r>
        <w:rPr>
          <w:rFonts w:ascii="Garamond" w:cs="Garamond" w:eastAsia="Garamond" w:hAnsi="Garamond"/>
          <w:b w:val="false"/>
          <w:bCs w:val="false"/>
          <w:i w:val="false"/>
          <w:iCs w:val="false"/>
          <w:color w:val="2a2520"/>
          <w:sz w:val="22"/>
          <w:szCs w:val="22"/>
        </w:rPr>
        <w:t xml:space="preserve">Year 3 failure triggers a State-level referendum: citizens vote on whether to proceed to devolution or accept a federal remediation commission. If the State chooses the remediation commission, devolution is suspended for 2 years. If devolution is chosen or the commission fails, §13.3.d applies.</w:t>
      </w:r>
    </w:p>
    <w:p>
      <w:pPr>
        <w:spacing w:after="60" w:before="200"/>
        <w:ind w:left="431"/>
        <w:jc w:val="left"/>
      </w:pPr>
      <w:r>
        <w:rPr>
          <w:rFonts w:ascii="Courier New" w:cs="Courier New" w:eastAsia="Courier New" w:hAnsi="Courier New"/>
          <w:b/>
          <w:bCs/>
          <w:color w:val="1B2A4A"/>
          <w:sz w:val="18"/>
          <w:szCs w:val="18"/>
        </w:rPr>
        <w:t xml:space="preserve">§13.3.d  </w:t>
      </w:r>
      <w:r>
        <w:rPr>
          <w:rFonts w:ascii="Garamond" w:cs="Garamond" w:eastAsia="Garamond" w:hAnsi="Garamond"/>
          <w:b/>
          <w:bCs/>
          <w:i w:val="false"/>
          <w:iCs w:val="false"/>
          <w:color w:val="1B2A4A"/>
          <w:sz w:val="22"/>
          <w:szCs w:val="22"/>
        </w:rPr>
        <w:t xml:space="preserve">Effect of 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devolved State loses its Senate seats on the date the Senate Motion of Devolution takes effect and returns to administrative oversight of the Domestic Affairs Council. The following consequences apply immediately and remain in effect throughout the Territory period: (1) Legislative representation — the two Senate seats are vacated with no special election; existing House members continue their terms to completion; (2) House reapportionment — House seats are recalculated based on population under §3.1.b at the next census cycle; the Territory retains current House representation until then; (3) Taxation — the Territory is exempt from federal income tax throughout the mandatory Territory period, effective at the start of the next fiscal year; this exemption is remedial and expires automatically when the Territory passes the Statehood Audit and enters the Provisional Membership Period, at which point federal income tax obligations resume at the standard rate; (4) Social state systems — healthcare insurance, social assistance, and compulsory education under §10.1 continue without interruption to Territory residents; (5) Article I rights — all protections remain fully in force and are enforced by federal courts with no reduction in scope; (6) State-level governance — elected officials continue their terms and govern under State law; the Domestic Affairs Council exercises oversight without replacing State government; Article I-compliant State laws remain operative; (7) Statehood Audit — the LI assesses the Territory annually; criteria are measured from the current baseline, not the failed-State baseline; the Territory may pass the audit at any annual assessment; (8) Path to restoration — full Statehood is restored automatically upon passing the Statehood Audit and completing the Provisional Membership Period under §13.2; no additional parliamentary vote is required. No additional consequences beyond those listed above may be imposed on the Territory by statute or executive action.</w:t>
      </w:r>
    </w:p>
    <w:p>
      <w:pPr>
        <w:spacing w:after="60" w:before="200"/>
        <w:ind w:left="431"/>
        <w:jc w:val="left"/>
      </w:pPr>
      <w:r>
        <w:rPr>
          <w:rFonts w:ascii="Courier New" w:cs="Courier New" w:eastAsia="Courier New" w:hAnsi="Courier New"/>
          <w:b/>
          <w:bCs/>
          <w:color w:val="1B2A4A"/>
          <w:sz w:val="18"/>
          <w:szCs w:val="18"/>
        </w:rPr>
        <w:t xml:space="preserve">§13.3.e  </w:t>
      </w:r>
      <w:r>
        <w:rPr>
          <w:rFonts w:ascii="Garamond" w:cs="Garamond" w:eastAsia="Garamond" w:hAnsi="Garamond"/>
          <w:b/>
          <w:bCs/>
          <w:i w:val="false"/>
          <w:iCs w:val="false"/>
          <w:color w:val="1B2A4A"/>
          <w:sz w:val="22"/>
          <w:szCs w:val="22"/>
        </w:rPr>
        <w:t xml:space="preserve">Constitutional Challenge to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30 days of a Senate Devolution vote, the affected State may petition the Supreme Court for expedited review on a single, narrow ground: whether the Legislative Inspectorate's published audit findings, as a factual matter, meet the constitutional trigger standards of §13.3.a. The Court reviews the factual basis of the audit findings — not the Senate's political judgment, not the policy merits of Devolution, and not the State's economic circumstances. The Court may overturn a Devolution vote only if it finds, by clear and convincing evidence, that the LI's findings are factually insufficient to establish one or more of the three triggers. A finding that the triggers were correctly established but that the State disagrees with the outcome is not grounds for reversal. The petition does not stay the Senate vote or delay Devolution unless the Court orders a temporary stay pending its ruling. The Court must rule within 14 days of the petition being filed.</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i w:val="false"/>
          <w:iCs w:val="false"/>
          <w:color w:val="1B2A4A"/>
          <w:sz w:val="22"/>
          <w:szCs w:val="22"/>
        </w:rPr>
        <w:t xml:space="preserve">Voluntary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seek to restructure its relationship with the Republic. Requires a State referendum (60% of voters), a negotiated restructuring agreement approved by the Senate, and a Transition Plan published to the NRS. The voluntary path preserves far more State agency than mandatory devolution.</w:t>
      </w:r>
    </w:p>
    <w:p>
      <w:pPr>
        <w:spacing w:after="60" w:before="200"/>
        <w:ind w:left="431"/>
        <w:jc w:val="left"/>
      </w:pPr>
      <w:r>
        <w:rPr>
          <w:rFonts w:ascii="Courier New" w:cs="Courier New" w:eastAsia="Courier New" w:hAnsi="Courier New"/>
          <w:b/>
          <w:bCs/>
          <w:color w:val="1B2A4A"/>
          <w:sz w:val="18"/>
          <w:szCs w:val="18"/>
        </w:rPr>
        <w:t xml:space="preserve">§13.4.a  </w:t>
      </w:r>
      <w:r>
        <w:rPr>
          <w:rFonts w:ascii="Garamond" w:cs="Garamond" w:eastAsia="Garamond" w:hAnsi="Garamond"/>
          <w:b/>
          <w:bCs/>
          <w:i w:val="false"/>
          <w:iCs w:val="false"/>
          <w:color w:val="1B2A4A"/>
          <w:sz w:val="22"/>
          <w:szCs w:val="22"/>
        </w:rPr>
        <w:t xml:space="preserve">Voluntary Devolution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60% of State voters must approve the voluntary devolution petition. The referendum must specify the proposed restructuring: subdivision, merger, conversion to Territory status, or other arrangement. Citizens vote on the specific proposal, not on abstract devolution.</w:t>
      </w:r>
    </w:p>
    <w:p>
      <w:pPr>
        <w:spacing w:after="60" w:before="200"/>
        <w:ind w:left="431"/>
        <w:jc w:val="left"/>
      </w:pPr>
      <w:r>
        <w:rPr>
          <w:rFonts w:ascii="Courier New" w:cs="Courier New" w:eastAsia="Courier New" w:hAnsi="Courier New"/>
          <w:b/>
          <w:bCs/>
          <w:color w:val="1B2A4A"/>
          <w:sz w:val="18"/>
          <w:szCs w:val="18"/>
        </w:rPr>
        <w:t xml:space="preserve">§13.4.b  </w:t>
      </w:r>
      <w:r>
        <w:rPr>
          <w:rFonts w:ascii="Garamond" w:cs="Garamond" w:eastAsia="Garamond" w:hAnsi="Garamond"/>
          <w:b/>
          <w:bCs/>
          <w:i w:val="false"/>
          <w:iCs w:val="false"/>
          <w:color w:val="1B2A4A"/>
          <w:sz w:val="22"/>
          <w:szCs w:val="22"/>
        </w:rPr>
        <w:t xml:space="preserve">Negotiated Restructuring Agreement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Following a successful referendum, the State and the federal government negotiate restructuring terms: asset and liability allocation, transition timeline, continuing federal obligations, and constitutional status of successor jurisdictions. Senate approval by 2/3 majority required. The agreement is published to the NRS and is legally binding on both parties.</w:t>
      </w:r>
    </w:p>
    <w:p>
      <w:pPr>
        <w:spacing w:after="60" w:before="200"/>
        <w:ind w:left="431"/>
        <w:jc w:val="left"/>
      </w:pPr>
      <w:r>
        <w:rPr>
          <w:rFonts w:ascii="Courier New" w:cs="Courier New" w:eastAsia="Courier New" w:hAnsi="Courier New"/>
          <w:b/>
          <w:bCs/>
          <w:color w:val="1B2A4A"/>
          <w:sz w:val="18"/>
          <w:szCs w:val="18"/>
        </w:rPr>
        <w:t xml:space="preserve">§13.4.c  </w:t>
      </w:r>
      <w:r>
        <w:rPr>
          <w:rFonts w:ascii="Garamond" w:cs="Garamond" w:eastAsia="Garamond" w:hAnsi="Garamond"/>
          <w:b/>
          <w:bCs/>
          <w:i w:val="false"/>
          <w:iCs w:val="false"/>
          <w:color w:val="1B2A4A"/>
          <w:sz w:val="22"/>
          <w:szCs w:val="22"/>
        </w:rPr>
        <w:t xml:space="preserve">Transition Plan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 Plan specifies which functions transfer and when, how citizen rights are maintained during transition, and what remedies apply if transition encounters implementation problems. The LI monitors Transition Plan implementation and publishes quarterly compliance reports to the NRS.</w:t>
      </w:r>
    </w:p>
    <w:p>
      <w:pPr>
        <w:spacing w:after="60" w:before="200"/>
        <w:ind w:left="431"/>
        <w:jc w:val="left"/>
      </w:pPr>
      <w:r>
        <w:rPr>
          <w:rFonts w:ascii="Courier New" w:cs="Courier New" w:eastAsia="Courier New" w:hAnsi="Courier New"/>
          <w:b/>
          <w:bCs/>
          <w:color w:val="1B2A4A"/>
          <w:sz w:val="18"/>
          <w:szCs w:val="18"/>
        </w:rPr>
        <w:t xml:space="preserve">§13.4.d  </w:t>
      </w:r>
      <w:r>
        <w:rPr>
          <w:rFonts w:ascii="Garamond" w:cs="Garamond" w:eastAsia="Garamond" w:hAnsi="Garamond"/>
          <w:b/>
          <w:bCs/>
          <w:i w:val="false"/>
          <w:iCs w:val="false"/>
          <w:color w:val="1B2A4A"/>
          <w:sz w:val="22"/>
          <w:szCs w:val="22"/>
        </w:rPr>
        <w:t xml:space="preserve">Effect of Voluntary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Following voluntary devolution, successor jurisdiction(s) begin their constitutional status from the starting point specified in the restructuring agreement. A subdivision that becomes a Territory enters the Statehood pathway immediately.</w:t>
      </w:r>
    </w:p>
    <w:p>
      <w:pPr>
        <w:spacing w:after="60" w:before="200"/>
        <w:ind w:left="431"/>
        <w:jc w:val="left"/>
      </w:pPr>
      <w:r>
        <w:rPr>
          <w:rFonts w:ascii="Courier New" w:cs="Courier New" w:eastAsia="Courier New" w:hAnsi="Courier New"/>
          <w:b/>
          <w:bCs/>
          <w:color w:val="1B2A4A"/>
          <w:sz w:val="18"/>
          <w:szCs w:val="18"/>
        </w:rPr>
        <w:t xml:space="preserve">§13.4.e  </w:t>
      </w:r>
      <w:r>
        <w:rPr>
          <w:rFonts w:ascii="Garamond" w:cs="Garamond" w:eastAsia="Garamond" w:hAnsi="Garamond"/>
          <w:b/>
          <w:bCs/>
          <w:i w:val="false"/>
          <w:iCs w:val="false"/>
          <w:color w:val="1B2A4A"/>
          <w:sz w:val="22"/>
          <w:szCs w:val="22"/>
        </w:rPr>
        <w:t xml:space="preserve">Negotiated Devolution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contemplating voluntary devolution may request a formal negotiated devolution agreement with the Republic before the vote. The agreement defines: any statutory commitments the Republic makes regarding Provisional Membership Period duration; the PM's technical assistance obligations during the Territory period; infrastructure and shared-service continuity arrangements; and any transition period for federal program unwinding. The negotiated agreement is published to the NRS and voted upon simultaneously with the devolution vote — residents approve or reject both the devolution and its negotiated terms together. A negotiated agreement may not reduce the two-thirds vote threshold or waive the Fiscal Incidence Study requirement of §13.4.b.</w:t>
      </w:r>
    </w:p>
    <w:p>
      <w:pPr>
        <w:spacing w:after="60" w:before="200"/>
        <w:ind w:left="431"/>
        <w:jc w:val="left"/>
      </w:pPr>
      <w:r>
        <w:rPr>
          <w:rFonts w:ascii="Courier New" w:cs="Courier New" w:eastAsia="Courier New" w:hAnsi="Courier New"/>
          <w:b/>
          <w:bCs/>
          <w:color w:val="1B2A4A"/>
          <w:sz w:val="18"/>
          <w:szCs w:val="18"/>
        </w:rPr>
        <w:t xml:space="preserve">§13.4.f  </w:t>
      </w:r>
      <w:r>
        <w:rPr>
          <w:rFonts w:ascii="Garamond" w:cs="Garamond" w:eastAsia="Garamond" w:hAnsi="Garamond"/>
          <w:b/>
          <w:bCs/>
          <w:i w:val="false"/>
          <w:iCs w:val="false"/>
          <w:color w:val="1B2A4A"/>
          <w:sz w:val="22"/>
          <w:szCs w:val="22"/>
        </w:rPr>
        <w:t xml:space="preserve">Independence Transition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Despite §10.1 applying to Republic Inhabitants, the Republic's obligations to the departing territory during the transition period must be specified in the framework agreement. Independence does not end Republic obligations to former Territory residents immediately. The transition period is a period of defined ongoing obligation.</w:t>
      </w:r>
    </w:p>
    <w:p>
      <w:pPr>
        <w:spacing w:after="60" w:before="200"/>
        <w:ind w:left="431"/>
        <w:jc w:val="left"/>
      </w:pPr>
      <w:r>
        <w:rPr>
          <w:rFonts w:ascii="Courier New" w:cs="Courier New" w:eastAsia="Courier New" w:hAnsi="Courier New"/>
          <w:b/>
          <w:bCs/>
          <w:color w:val="1B2A4A"/>
          <w:sz w:val="18"/>
          <w:szCs w:val="18"/>
        </w:rPr>
        <w:t xml:space="preserve">§13.5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§13.2 immediately upon the effective date of devolution. No additional political vote is required to begin the pathway. The Territory's re-qualification proceeds under the same Statehood Audit criteria that apply to any other Territory seeking Statehood.</w:t>
      </w:r>
    </w:p>
    <w:p>
      <w:pPr>
        <w:spacing w:after="60" w:before="200"/>
        <w:ind w:left="431"/>
        <w:jc w:val="left"/>
      </w:pPr>
      <w:r>
        <w:rPr>
          <w:rFonts w:ascii="Courier New" w:cs="Courier New" w:eastAsia="Courier New" w:hAnsi="Courier New"/>
          <w:b/>
          <w:bCs/>
          <w:color w:val="1B2A4A"/>
          <w:sz w:val="18"/>
          <w:szCs w:val="18"/>
        </w:rPr>
        <w:t xml:space="preserve">§13.6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petitioning entity's own legislature or assembly by a 2/3 majority, confirmed by a citizen referendum achieving simple majority approval on a minimum 50% participation threshold — both are required; the Judicial Inspectorate's assessment of whether the entity systematically violates any unamendable Article I provision, published to the NRS within 90 days of petition receipt; and acceptance by the Legislature by a 2/3 majority of both chambers. If the Legislature declines it must publish its reasons to the NRS within 30 days. An accepted petition produces an incorporation agreement specifying a transition period not exceeding 48 months, the institutional adjustments required to meet §13.2.f, and the federal support framework. The incorporated entity immediately holds all Territory protections under §13.1. The Republic may not compel, incentivise, or pressure any sovereign entity to initiate this process. An indigenous nation recognised under Article XIV that wishes to pursue territorial incorporation must first make a status election through §14.6 before this provision applies.</w:t>
      </w:r>
    </w:p>
    <w:p>
      <w:pPr>
        <w:spacing w:after="60" w:before="200"/>
        <w:ind w:left="431"/>
        <w:jc w:val="left"/>
      </w:pPr>
      <w:r>
        <w:rPr>
          <w:rFonts w:ascii="Courier New" w:cs="Courier New" w:eastAsia="Courier New" w:hAnsi="Courier New"/>
          <w:b/>
          <w:bCs/>
          <w:color w:val="1B2A4A"/>
          <w:sz w:val="18"/>
          <w:szCs w:val="18"/>
        </w:rPr>
        <w:t xml:space="preserve">§13.7  </w:t>
      </w:r>
      <w:r>
        <w:rPr>
          <w:rFonts w:ascii="Garamond" w:cs="Garamond" w:eastAsia="Garamond" w:hAnsi="Garamond"/>
          <w:b/>
          <w:bCs/>
          <w:i w:val="false"/>
          <w:iCs w:val="false"/>
          <w:color w:val="1B2A4A"/>
          <w:sz w:val="22"/>
          <w:szCs w:val="22"/>
        </w:rPr>
        <w:t xml:space="preserve">Territorial Merger with Existing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or a defined geographic portion of a Territory, may merge with an adjacent, geographically contiguous existing State rather than pursuing standalone Statehood. Merger requires approval from both the Territory population and the existing State, a joint Statehood Audit of the combined entity, and Senate ratification. The merged territory becomes fully part of the existing State — it does not create a new State or alter the existing State's constitutional standing.</w:t>
      </w:r>
    </w:p>
    <w:p>
      <w:pPr>
        <w:spacing w:after="60" w:before="200"/>
        <w:ind w:left="431"/>
        <w:jc w:val="left"/>
      </w:pPr>
      <w:r>
        <w:rPr>
          <w:rFonts w:ascii="Courier New" w:cs="Courier New" w:eastAsia="Courier New" w:hAnsi="Courier New"/>
          <w:b/>
          <w:bCs/>
          <w:color w:val="1B2A4A"/>
          <w:sz w:val="18"/>
          <w:szCs w:val="18"/>
        </w:rPr>
        <w:t xml:space="preserve">§13.7.a  </w:t>
      </w:r>
      <w:r>
        <w:rPr>
          <w:rFonts w:ascii="Garamond" w:cs="Garamond" w:eastAsia="Garamond" w:hAnsi="Garamond"/>
          <w:b/>
          <w:bCs/>
          <w:i w:val="false"/>
          <w:iCs w:val="false"/>
          <w:color w:val="1B2A4A"/>
          <w:sz w:val="22"/>
          <w:szCs w:val="22"/>
        </w:rPr>
        <w:t xml:space="preserve">Petition and Eligibility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or defined geographic subdivision may petition the Senate to merge with a specific existing State. Eligibility requires: (1) geographic contiguity — the merging territory must share a land or navigable water border with the existing State; (2) a petition resolution adopted by the Territory's governance council or equivalent body; and (3) certification by the LI that the proposed merger boundaries are clearly defined and published to the NRS. A non-contiguous territory may not merge with a distant State regardless of other qualifications.</w:t>
      </w:r>
    </w:p>
    <w:p>
      <w:pPr>
        <w:spacing w:after="60" w:before="200"/>
        <w:ind w:left="431"/>
        <w:jc w:val="left"/>
      </w:pPr>
      <w:r>
        <w:rPr>
          <w:rFonts w:ascii="Courier New" w:cs="Courier New" w:eastAsia="Courier New" w:hAnsi="Courier New"/>
          <w:b/>
          <w:bCs/>
          <w:color w:val="1B2A4A"/>
          <w:sz w:val="18"/>
          <w:szCs w:val="18"/>
        </w:rPr>
        <w:t xml:space="preserve">§13.7.b  </w:t>
      </w:r>
      <w:r>
        <w:rPr>
          <w:rFonts w:ascii="Garamond" w:cs="Garamond" w:eastAsia="Garamond" w:hAnsi="Garamond"/>
          <w:b/>
          <w:bCs/>
          <w:i w:val="false"/>
          <w:iCs w:val="false"/>
          <w:color w:val="1B2A4A"/>
          <w:sz w:val="22"/>
          <w:szCs w:val="22"/>
        </w:rPr>
        <w:t xml:space="preserve">Dual Approval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Merger requires affirmative approval from both parties: (1) Territory approval — a referendum of eligible voters in the merging territory achieving 60% affirmative support with at least 50% participation. Where a partial territory merges, only the population of the merging portion votes; the remainder of the Territory does not participate in this referendum. (2) State approval — the existing State approves through its own constitutional or statutory process as the State defines; the approval method and result must be published to the NRS. Both approvals must be achieved within 18 months of each other. If either approval fails or expires without the other being obtained, the petition lapses and may be resubmitted after 5 years or after a material change in circumstances.</w:t>
      </w:r>
    </w:p>
    <w:p>
      <w:pPr>
        <w:spacing w:after="60" w:before="200"/>
        <w:ind w:left="431"/>
        <w:jc w:val="left"/>
      </w:pPr>
      <w:r>
        <w:rPr>
          <w:rFonts w:ascii="Courier New" w:cs="Courier New" w:eastAsia="Courier New" w:hAnsi="Courier New"/>
          <w:b/>
          <w:bCs/>
          <w:color w:val="1B2A4A"/>
          <w:sz w:val="18"/>
          <w:szCs w:val="18"/>
        </w:rPr>
        <w:t xml:space="preserve">§13.7.c  </w:t>
      </w:r>
      <w:r>
        <w:rPr>
          <w:rFonts w:ascii="Garamond" w:cs="Garamond" w:eastAsia="Garamond" w:hAnsi="Garamond"/>
          <w:b/>
          <w:bCs/>
          <w:i w:val="false"/>
          <w:iCs w:val="false"/>
          <w:color w:val="1B2A4A"/>
          <w:sz w:val="22"/>
          <w:szCs w:val="22"/>
        </w:rPr>
        <w:t xml:space="preserve">Joint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Following both approvals, the LI and JI conduct a joint Statehood Audit of the combined entity under the criteria of §13.2.a and §13.2.b. The audit assesses whether the existing State's fiscal integrity and legal compliance are maintained when the merging territory is included. The existing State retains its constitutional status throughout the audit process — audit failure blocks the merger but does not affect the State's existing Statehood. If the combined entity fails the audit, the merger may not proceed. The petition may be resubmitted once the audit criteria are met without requiring new dual approval under §13.7.b, provided resubmission occurs within 5 years of the original approvals.</w:t>
      </w:r>
    </w:p>
    <w:p>
      <w:pPr>
        <w:spacing w:after="60" w:before="200"/>
        <w:ind w:left="431"/>
        <w:jc w:val="left"/>
      </w:pPr>
      <w:r>
        <w:rPr>
          <w:rFonts w:ascii="Courier New" w:cs="Courier New" w:eastAsia="Courier New" w:hAnsi="Courier New"/>
          <w:b/>
          <w:bCs/>
          <w:color w:val="1B2A4A"/>
          <w:sz w:val="18"/>
          <w:szCs w:val="18"/>
        </w:rPr>
        <w:t xml:space="preserve">§13.7.d  </w:t>
      </w:r>
      <w:r>
        <w:rPr>
          <w:rFonts w:ascii="Garamond" w:cs="Garamond" w:eastAsia="Garamond" w:hAnsi="Garamond"/>
          <w:b/>
          <w:bCs/>
          <w:i w:val="false"/>
          <w:iCs w:val="false"/>
          <w:color w:val="1B2A4A"/>
          <w:sz w:val="22"/>
          <w:szCs w:val="22"/>
        </w:rPr>
        <w:t xml:space="preserve">Remaining Territory Viability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partial Territory merges with an existing State, the LI assesses the remaining Territory's viability for eventual standalone Statehood and publishes its assessment to the NRS within 90 days of the merger petition. Viability does not require the remaining Territory to currently meet Statehood Audit criteria — only that a credible path to meeting them exists given its population, fiscal capacity, and geographic coherence. If the LI finds the remaining Territory is not viable for standalone Statehood, the partial merger may not proceed unless the Republic commits by statute to a specific development and support program for the remaining Territory, published to the NRS before the Senate ratification vote. A Territory that is reduced to non-viability by a partial merger that proceeded in error is entitled to full social state protection under §10.1 and federal support as a constitutional matter.</w:t>
      </w:r>
    </w:p>
    <w:p>
      <w:pPr>
        <w:spacing w:after="60" w:before="200"/>
        <w:ind w:left="431"/>
        <w:jc w:val="left"/>
      </w:pPr>
      <w:r>
        <w:rPr>
          <w:rFonts w:ascii="Courier New" w:cs="Courier New" w:eastAsia="Courier New" w:hAnsi="Courier New"/>
          <w:b/>
          <w:bCs/>
          <w:color w:val="1B2A4A"/>
          <w:sz w:val="18"/>
          <w:szCs w:val="18"/>
        </w:rPr>
        <w:t xml:space="preserve">§13.7.e  </w:t>
      </w:r>
      <w:r>
        <w:rPr>
          <w:rFonts w:ascii="Garamond" w:cs="Garamond" w:eastAsia="Garamond" w:hAnsi="Garamond"/>
          <w:b/>
          <w:bCs/>
          <w:i w:val="false"/>
          <w:iCs w:val="false"/>
          <w:color w:val="1B2A4A"/>
          <w:sz w:val="22"/>
          <w:szCs w:val="22"/>
        </w:rPr>
        <w:t xml:space="preserve">Senate Ratification and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ratification requires a simple majority of full seated membership. Upon ratification: the merging territory is incorporated into the existing State by operation of law from the date of ratification; the existing State's House seat allocation is recalculated at the next census; the existing State's two Senate seats remain unchanged; all residents of the merging territory become citizens and residents of the State for all constitutional purposes; and the LI publishes the updated State boundaries to the NRS within 30 days. Where a partial Territory merges, the remaining Territory continues under §13.1 and begins or continues the §13.2 Statehood Audit process from its current baseline.</w:t>
      </w:r>
    </w:p>
    <w:p>
      <w:pPr>
        <w:spacing w:after="60" w:before="200"/>
        <w:ind w:left="431"/>
        <w:jc w:val="left"/>
      </w:pPr>
      <w:r>
        <w:rPr>
          <w:rFonts w:ascii="Courier New" w:cs="Courier New" w:eastAsia="Courier New" w:hAnsi="Courier New"/>
          <w:b/>
          <w:bCs/>
          <w:color w:val="1B2A4A"/>
          <w:sz w:val="18"/>
          <w:szCs w:val="18"/>
        </w:rPr>
        <w:t xml:space="preserve">§13.8  </w:t>
      </w:r>
      <w:r>
        <w:rPr>
          <w:rFonts w:ascii="Garamond" w:cs="Garamond" w:eastAsia="Garamond" w:hAnsi="Garamond"/>
          <w:b/>
          <w:bCs/>
          <w:i w:val="false"/>
          <w:iCs w:val="false"/>
          <w:color w:val="1B2A4A"/>
          <w:sz w:val="22"/>
          <w:szCs w:val="22"/>
        </w:rPr>
        <w:t xml:space="preserve">State Immutability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Where a State seeks to subdivide, it must first voluntarily devolve to Territory status under §13.4 — each resulting Territory then pursues Statehood independently through §13.2 or §13.2.d. The same requirement applies to any partial subdivision: the separating portion must first become a Territory before it may seek independent Statehood. A State undergoing this process retains its constitutional status until devolution takes effect; the resulting Territories re-qualify from their current baseline without prejudice.</w:t>
      </w:r>
    </w:p>
    <w:p>
      <w:pPr>
        <w:spacing w:after="60" w:before="200"/>
        <w:jc w:val="left"/>
      </w:pPr>
      <w:r>
        <w:rPr>
          <w:rFonts w:ascii="Garamond" w:cs="Garamond" w:eastAsia="Garamond" w:hAnsi="Garamond"/>
          <w:b/>
          <w:bCs/>
          <w:i w:val="false"/>
          <w:iCs w:val="false"/>
          <w:color w:val="1B2A4A"/>
          <w:sz w:val="34"/>
          <w:szCs w:val="34"/>
        </w:rPr>
        <w:t xml:space="preserve">Article XIV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provision recognizing that Indigenous Nations within the Republic's territory hold a distinct constitutional relationship based on prior sovereignty. The compact relationship is bilateral: the Republic acknowledges Indigenous prior sovereignty; Indigenous Nations acknowledge the Republic's constitutional framework.</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PM's domestic affairs office, with JI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Indigenous Nations with compacts hold governance, judicial, and resource sovereignty within their territories, subject to the specific terms of this section.</w:t>
      </w:r>
    </w:p>
    <w:p>
      <w:pPr>
        <w:spacing w:after="60" w:before="200"/>
        <w:ind w:left="431"/>
        <w:jc w:val="left"/>
      </w:pPr>
      <w:r>
        <w:rPr>
          <w:rFonts w:ascii="Courier New" w:cs="Courier New" w:eastAsia="Courier New" w:hAnsi="Courier New"/>
          <w:b/>
          <w:bCs/>
          <w:color w:val="1B2A4A"/>
          <w:sz w:val="18"/>
          <w:szCs w:val="18"/>
        </w:rPr>
        <w:t xml:space="preserve">§14.3.a  </w:t>
      </w:r>
      <w:r>
        <w:rPr>
          <w:rFonts w:ascii="Garamond" w:cs="Garamond" w:eastAsia="Garamond" w:hAnsi="Garamond"/>
          <w:b/>
          <w:bCs/>
          <w:i w:val="false"/>
          <w:iCs w:val="false"/>
          <w:color w:val="1B2A4A"/>
          <w:sz w:val="22"/>
          <w:szCs w:val="22"/>
        </w:rPr>
        <w:t xml:space="preserve">Article I Rights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compact territories. No compact provision may limit or qualify any Article I right. The compact creates a framework for Indigenous governance, not a carve-out from constitutional rights. Where compact governance conflicts with an Article I right, Article I prevails.</w:t>
      </w:r>
    </w:p>
    <w:p>
      <w:pPr>
        <w:spacing w:after="60" w:before="200"/>
        <w:ind w:left="431"/>
        <w:jc w:val="left"/>
      </w:pPr>
      <w:r>
        <w:rPr>
          <w:rFonts w:ascii="Courier New" w:cs="Courier New" w:eastAsia="Courier New" w:hAnsi="Courier New"/>
          <w:b/>
          <w:bCs/>
          <w:color w:val="1B2A4A"/>
          <w:sz w:val="18"/>
          <w:szCs w:val="18"/>
        </w:rPr>
        <w:t xml:space="preserve">§14.3.b  </w:t>
      </w:r>
      <w:r>
        <w:rPr>
          <w:rFonts w:ascii="Garamond" w:cs="Garamond" w:eastAsia="Garamond" w:hAnsi="Garamond"/>
          <w:b/>
          <w:bCs/>
          <w:i w:val="false"/>
          <w:iCs w:val="false"/>
          <w:color w:val="1B2A4A"/>
          <w:sz w:val="22"/>
          <w:szCs w:val="22"/>
        </w:rPr>
        <w:t xml:space="preserve">Compact Judicial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Nations with compacts may establish their own courts with jurisdiction over matters within compact scope. These courts operate in parallel with federal courts. Citizens may bring Article I claims directly to federal courts regardless of whether a matter is within compact scope.</w:t>
      </w:r>
    </w:p>
    <w:p>
      <w:pPr>
        <w:spacing w:after="60" w:before="200"/>
        <w:ind w:left="431"/>
        <w:jc w:val="left"/>
      </w:pPr>
      <w:r>
        <w:rPr>
          <w:rFonts w:ascii="Courier New" w:cs="Courier New" w:eastAsia="Courier New" w:hAnsi="Courier New"/>
          <w:b/>
          <w:bCs/>
          <w:color w:val="1B2A4A"/>
          <w:sz w:val="18"/>
          <w:szCs w:val="18"/>
        </w:rPr>
        <w:t xml:space="preserve">§14.3.c  </w:t>
      </w:r>
      <w:r>
        <w:rPr>
          <w:rFonts w:ascii="Garamond" w:cs="Garamond" w:eastAsia="Garamond" w:hAnsi="Garamond"/>
          <w:b/>
          <w:bCs/>
          <w:i w:val="false"/>
          <w:iCs w:val="false"/>
          <w:color w:val="1B2A4A"/>
          <w:sz w:val="22"/>
          <w:szCs w:val="22"/>
        </w:rPr>
        <w:t xml:space="preserve">Land and Resource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 territories include explicit land and resource sovereignty provisions negotiated between the Nation and the Republic. The Republic may not alter compact land provisions without Nation consent. Resource extraction within compact territories requires both Republic and Nation approval.</w:t>
      </w:r>
    </w:p>
    <w:p>
      <w:pPr>
        <w:spacing w:after="60" w:before="200"/>
        <w:ind w:left="431"/>
        <w:jc w:val="left"/>
      </w:pPr>
      <w:r>
        <w:rPr>
          <w:rFonts w:ascii="Courier New" w:cs="Courier New" w:eastAsia="Courier New" w:hAnsi="Courier New"/>
          <w:b/>
          <w:bCs/>
          <w:color w:val="1B2A4A"/>
          <w:sz w:val="18"/>
          <w:szCs w:val="18"/>
        </w:rPr>
        <w:t xml:space="preserve">§14.3.d  </w:t>
      </w:r>
      <w:r>
        <w:rPr>
          <w:rFonts w:ascii="Garamond" w:cs="Garamond" w:eastAsia="Garamond" w:hAnsi="Garamond"/>
          <w:b/>
          <w:bCs/>
          <w:i w:val="false"/>
          <w:iCs w:val="false"/>
          <w:color w:val="1B2A4A"/>
          <w:sz w:val="22"/>
          <w:szCs w:val="22"/>
        </w:rPr>
        <w:t xml:space="preserve">Compact Governance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recognizes the Indigenous Nation's governance structures as legitimate political institutions within compact scope. Federal agencies must coordinate with compact governance bodies. The Republic may not impose federal administrative structures on compact governance without Nation consent.</w:t>
      </w:r>
    </w:p>
    <w:p>
      <w:pPr>
        <w:spacing w:after="60" w:before="200"/>
        <w:ind w:left="431"/>
        <w:jc w:val="left"/>
      </w:pPr>
      <w:r>
        <w:rPr>
          <w:rFonts w:ascii="Courier New" w:cs="Courier New" w:eastAsia="Courier New" w:hAnsi="Courier New"/>
          <w:b/>
          <w:bCs/>
          <w:color w:val="1B2A4A"/>
          <w:sz w:val="18"/>
          <w:szCs w:val="18"/>
        </w:rPr>
        <w:t xml:space="preserve">§14.3.e  </w:t>
      </w:r>
      <w:r>
        <w:rPr>
          <w:rFonts w:ascii="Garamond" w:cs="Garamond" w:eastAsia="Garamond" w:hAnsi="Garamond"/>
          <w:b/>
          <w:bCs/>
          <w:i w:val="false"/>
          <w:iCs w:val="false"/>
          <w:color w:val="1B2A4A"/>
          <w:sz w:val="22"/>
          <w:szCs w:val="22"/>
        </w:rPr>
        <w:t xml:space="preserve">Compact Education and Language</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must include provisions for preservation and transmission of Indigenous languages and cultural practices. The Republic provides federal education funding that supports Indigenous-language instruction within compact territories.</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This section governs dispute resolution, review cycles, and the conditions under which a compact may be modified or terminated.</w:t>
      </w:r>
    </w:p>
    <w:p>
      <w:pPr>
        <w:spacing w:after="60" w:before="200"/>
        <w:ind w:left="431"/>
        <w:jc w:val="left"/>
      </w:pPr>
      <w:r>
        <w:rPr>
          <w:rFonts w:ascii="Courier New" w:cs="Courier New" w:eastAsia="Courier New" w:hAnsi="Courier New"/>
          <w:b/>
          <w:bCs/>
          <w:color w:val="1B2A4A"/>
          <w:sz w:val="18"/>
          <w:szCs w:val="18"/>
        </w:rPr>
        <w:t xml:space="preserve">§14.4.a  </w:t>
      </w:r>
      <w:r>
        <w:rPr>
          <w:rFonts w:ascii="Garamond" w:cs="Garamond" w:eastAsia="Garamond" w:hAnsi="Garamond"/>
          <w:b/>
          <w:bCs/>
          <w:i w:val="false"/>
          <w:iCs w:val="false"/>
          <w:color w:val="1B2A4A"/>
          <w:sz w:val="22"/>
          <w:szCs w:val="22"/>
        </w:rPr>
        <w:t xml:space="preserve">Compact Dispute Resolution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Disputes about compact terms are resolved through a Joint Compact Review Council (equal representation of the Nation and the Republic) with appeal to the SC on constitutional questions. The Council's decisions are binding on both parties within the scope of the compact. Neither party may unilaterally declare a compact dispute resolved.</w:t>
      </w:r>
    </w:p>
    <w:p>
      <w:pPr>
        <w:spacing w:after="60" w:before="200"/>
        <w:ind w:left="431"/>
        <w:jc w:val="left"/>
      </w:pPr>
      <w:r>
        <w:rPr>
          <w:rFonts w:ascii="Courier New" w:cs="Courier New" w:eastAsia="Courier New" w:hAnsi="Courier New"/>
          <w:b/>
          <w:bCs/>
          <w:color w:val="1B2A4A"/>
          <w:sz w:val="18"/>
          <w:szCs w:val="18"/>
        </w:rPr>
        <w:t xml:space="preserve">§14.4.b  </w:t>
      </w:r>
      <w:r>
        <w:rPr>
          <w:rFonts w:ascii="Garamond" w:cs="Garamond" w:eastAsia="Garamond" w:hAnsi="Garamond"/>
          <w:b/>
          <w:bCs/>
          <w:i w:val="false"/>
          <w:iCs w:val="false"/>
          <w:color w:val="1B2A4A"/>
          <w:sz w:val="22"/>
          <w:szCs w:val="22"/>
        </w:rPr>
        <w:t xml:space="preserve">Compact Review Cycle</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reviewed on a schedule defined in the compact terms, minimum every 20 years. Either party may request a review outside the scheduled cycle. Reviews are conducted by the Joint Compact Review Council. The review may result in compact amendment by mutual agreement — neither party can impose amendments.</w:t>
      </w:r>
    </w:p>
    <w:p>
      <w:pPr>
        <w:spacing w:after="60" w:before="200"/>
        <w:ind w:left="431"/>
        <w:jc w:val="left"/>
      </w:pPr>
      <w:r>
        <w:rPr>
          <w:rFonts w:ascii="Courier New" w:cs="Courier New" w:eastAsia="Courier New" w:hAnsi="Courier New"/>
          <w:b/>
          <w:bCs/>
          <w:color w:val="1B2A4A"/>
          <w:sz w:val="18"/>
          <w:szCs w:val="18"/>
        </w:rPr>
        <w:t xml:space="preserve">§14.4.c  </w:t>
      </w:r>
      <w:r>
        <w:rPr>
          <w:rFonts w:ascii="Garamond" w:cs="Garamond" w:eastAsia="Garamond" w:hAnsi="Garamond"/>
          <w:b/>
          <w:bCs/>
          <w:i w:val="false"/>
          <w:iCs w:val="false"/>
          <w:color w:val="1B2A4A"/>
          <w:sz w:val="22"/>
          <w:szCs w:val="22"/>
        </w:rPr>
        <w:t xml:space="preserve">Compact Termination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may be terminated by mutual agreement only. Neither party may unilaterally terminate a compact. If the Nation seeks termination, the Republic must negotiate exit terms within 2 years. If no agreement is reached, the compact continues and the dispute is referred to the SC. The Republic holds no right to initiate compact termination. Only the Nation may initiate; the Republic's role is to negotiate exit terms if the Nation so elects.</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Indigenous communities that do not currently hold a compact retain the right to petition for compact recognition under this section.</w:t>
      </w:r>
    </w:p>
    <w:p>
      <w:pPr>
        <w:spacing w:after="60" w:before="200"/>
        <w:ind w:left="431"/>
        <w:jc w:val="left"/>
      </w:pPr>
      <w:r>
        <w:rPr>
          <w:rFonts w:ascii="Courier New" w:cs="Courier New" w:eastAsia="Courier New" w:hAnsi="Courier New"/>
          <w:b/>
          <w:bCs/>
          <w:color w:val="1B2A4A"/>
          <w:sz w:val="18"/>
          <w:szCs w:val="18"/>
        </w:rPr>
        <w:t xml:space="preserve">§14.5.a  </w:t>
      </w:r>
      <w:r>
        <w:rPr>
          <w:rFonts w:ascii="Garamond" w:cs="Garamond" w:eastAsia="Garamond" w:hAnsi="Garamond"/>
          <w:b/>
          <w:bCs/>
          <w:i w:val="false"/>
          <w:iCs w:val="false"/>
          <w:color w:val="1B2A4A"/>
          <w:sz w:val="22"/>
          <w:szCs w:val="22"/>
        </w:rPr>
        <w:t xml:space="preserve">Emergency Rights Writ</w:t>
      </w:r>
    </w:p>
    <w:p>
      <w:pPr>
        <w:spacing w:after="120" w:before="0"/>
        <w:ind w:left="431"/>
        <w:jc w:val="both"/>
      </w:pPr>
      <w:r>
        <w:rPr>
          <w:rFonts w:ascii="Garamond" w:cs="Garamond" w:eastAsia="Garamond" w:hAnsi="Garamond"/>
          <w:b w:val="false"/>
          <w:bCs w:val="false"/>
          <w:i w:val="false"/>
          <w:iCs w:val="false"/>
          <w:color w:val="2a2520"/>
          <w:sz w:val="22"/>
          <w:szCs w:val="22"/>
        </w:rPr>
        <w:t xml:space="preserve">Any resident of compact territory who believes an Article I right has been violated may bring an Emergency Rights Writ directly to the SC, bypassing all lower courts and the compact dispute resolution process. The SC must respond within 7 days. Cannot be displaced by compact terms — a direct constitutional remedy that exists independently of compact jurisdiction.</w:t>
      </w:r>
    </w:p>
    <w:p>
      <w:pPr>
        <w:spacing w:after="60" w:before="200"/>
        <w:ind w:left="431"/>
        <w:jc w:val="left"/>
      </w:pPr>
      <w:r>
        <w:rPr>
          <w:rFonts w:ascii="Courier New" w:cs="Courier New" w:eastAsia="Courier New" w:hAnsi="Courier New"/>
          <w:b/>
          <w:bCs/>
          <w:color w:val="1B2A4A"/>
          <w:sz w:val="18"/>
          <w:szCs w:val="18"/>
        </w:rPr>
        <w:t xml:space="preserve">§14.5.b  </w:t>
      </w:r>
      <w:r>
        <w:rPr>
          <w:rFonts w:ascii="Garamond" w:cs="Garamond" w:eastAsia="Garamond" w:hAnsi="Garamond"/>
          <w:b/>
          <w:bCs/>
          <w:i w:val="false"/>
          <w:iCs w:val="false"/>
          <w:color w:val="1B2A4A"/>
          <w:sz w:val="22"/>
          <w:szCs w:val="22"/>
        </w:rPr>
        <w:t xml:space="preserve">Federal Assistance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specific assistance obligations to compact nations: federal education funding, healthcare access, infrastructure investment, and emergency response. These obligations are enforceable against the Republic by the Nation through the compact dispute resolution process.</w:t>
      </w:r>
    </w:p>
    <w:p>
      <w:pPr>
        <w:spacing w:after="60" w:before="200"/>
        <w:ind w:left="431"/>
        <w:jc w:val="left"/>
      </w:pPr>
      <w:r>
        <w:rPr>
          <w:rFonts w:ascii="Courier New" w:cs="Courier New" w:eastAsia="Courier New" w:hAnsi="Courier New"/>
          <w:b/>
          <w:bCs/>
          <w:color w:val="1B2A4A"/>
          <w:sz w:val="18"/>
          <w:szCs w:val="18"/>
        </w:rPr>
        <w:t xml:space="preserve">§14.5.c  </w:t>
      </w:r>
      <w:r>
        <w:rPr>
          <w:rFonts w:ascii="Garamond" w:cs="Garamond" w:eastAsia="Garamond" w:hAnsi="Garamond"/>
          <w:b/>
          <w:bCs/>
          <w:i w:val="false"/>
          <w:iCs w:val="false"/>
          <w:color w:val="1B2A4A"/>
          <w:sz w:val="22"/>
          <w:szCs w:val="22"/>
        </w:rPr>
        <w:t xml:space="preserve">New Indigenous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communities that do not currently hold a compact may petition the Senate for compact recognition. The Senate must consider the petition within 90 days and either begin compact negotiations or publish written reasons for declining. A declined petition may be re-submitted after 5 years or after a material change in circumstances.</w:t>
      </w:r>
    </w:p>
    <w:p>
      <w:pPr>
        <w:spacing w:after="60" w:before="200"/>
        <w:ind w:left="431"/>
        <w:jc w:val="left"/>
      </w:pPr>
      <w:r>
        <w:rPr>
          <w:rFonts w:ascii="Courier New" w:cs="Courier New" w:eastAsia="Courier New" w:hAnsi="Courier New"/>
          <w:b/>
          <w:bCs/>
          <w:color w:val="1B2A4A"/>
          <w:sz w:val="18"/>
          <w:szCs w:val="18"/>
        </w:rPr>
        <w:t xml:space="preserve">§14.5.d  </w:t>
      </w:r>
      <w:r>
        <w:rPr>
          <w:rFonts w:ascii="Garamond" w:cs="Garamond" w:eastAsia="Garamond" w:hAnsi="Garamond"/>
          <w:b/>
          <w:bCs/>
          <w:i w:val="false"/>
          <w:iCs w:val="false"/>
          <w:color w:val="1B2A4A"/>
          <w:sz w:val="22"/>
          <w:szCs w:val="22"/>
        </w:rPr>
        <w:t xml:space="preserve">Compact and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 membership and Republic citizenship are compatible and independent statuses. A citizen of a compact Nation holds full Republic citizenship rights. Republic citizenship does not require renouncing Indigenous Nation membership.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§14.6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§14.2 and §14.4.</w:t>
      </w:r>
    </w:p>
    <w:p>
      <w:pPr>
        <w:spacing w:after="60" w:before="200"/>
        <w:ind w:left="431"/>
        <w:jc w:val="left"/>
      </w:pPr>
      <w:r>
        <w:rPr>
          <w:rFonts w:ascii="Courier New" w:cs="Courier New" w:eastAsia="Courier New" w:hAnsi="Courier New"/>
          <w:b/>
          <w:bCs/>
          <w:color w:val="1B2A4A"/>
          <w:sz w:val="18"/>
          <w:szCs w:val="18"/>
        </w:rPr>
        <w:t xml:space="preserve">§14.7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XIV holds the constitutional right to initiate a status transition through its own democratic or traditional governance process. Three status options are available: (a) Compact Status — continued Article XIV compact relationship (default; no election required to remain); (b) Territorial Integration — election to pursue territorial incorporation through §13.6, entering as a Territory with the standard §13.2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§14.7.a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§14.7 requires: (1) a decision by the nation's own governance process, meeting the standards the nation itself defines for major governance decisions; and (2) publication of the election to the NRS within 30 days of the governance decision. A status election under §14.7 is irrevocable — a Nation that elects Territorial Integration or Full Sovereign Independence may not subsequently return to Article XIV compact status. Once a Nation has transitioned to Territory or State status, any further changes to their relationship with the Republic follow the standard constitutional processes applicable to that status under Articles XIII and XIX. Once a Nation has elected Full Sovereign Independence, any subsequent relationship with the Republic — including Associated Community status under Article XX — is pursued as an independent sovereign under the applicable provisions of that Article; Associated Community status requires full independence first and cannot be elected directly from compact status. At ratification, the Republic must formally notify all recognized indigenous compact nations of their rights under §14.7.</w:t>
      </w:r>
    </w:p>
    <w:p>
      <w:pPr>
        <w:spacing w:after="60" w:before="200"/>
        <w:jc w:val="left"/>
      </w:pPr>
      <w:r>
        <w:rPr>
          <w:rFonts w:ascii="Garamond" w:cs="Garamond" w:eastAsia="Garamond" w:hAnsi="Garamond"/>
          <w:b/>
          <w:bCs/>
          <w:i w:val="false"/>
          <w:iCs w:val="false"/>
          <w:color w:val="1B2A4A"/>
          <w:sz w:val="34"/>
          <w:szCs w:val="34"/>
        </w:rPr>
        <w:t xml:space="preserve">Article XV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Three 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can be amended through three routes with varying levels of democratic mandate. Path A (Legislature only): 3/4 of both chambers simultaneously. Path B (Legislature + popular vote): 2/3 of both chambers + 55% affirmative with 55% participation. Path C (citizens alone): 70% affirmative with 65% participation. An amendment passed by any path has identical constitutional force.</w:t>
      </w:r>
    </w:p>
    <w:p>
      <w:pPr>
        <w:spacing w:after="60" w:before="200"/>
        <w:ind w:left="431"/>
        <w:jc w:val="left"/>
      </w:pPr>
      <w:r>
        <w:rPr>
          <w:rFonts w:ascii="Courier New" w:cs="Courier New" w:eastAsia="Courier New" w:hAnsi="Courier New"/>
          <w:b/>
          <w:bCs/>
          <w:color w:val="1B2A4A"/>
          <w:sz w:val="18"/>
          <w:szCs w:val="18"/>
        </w:rPr>
        <w:t xml:space="preserve">§15.1.a  </w:t>
      </w:r>
      <w:r>
        <w:rPr>
          <w:rFonts w:ascii="Garamond" w:cs="Garamond" w:eastAsia="Garamond" w:hAnsi="Garamond"/>
          <w:b/>
          <w:bCs/>
          <w:i w:val="false"/>
          <w:iCs w:val="false"/>
          <w:color w:val="1B2A4A"/>
          <w:sz w:val="22"/>
          <w:szCs w:val="22"/>
        </w:rPr>
        <w:t xml:space="preserve">Parliamentary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Requires 3/4 supermajority of the full seated membership of both chambers in a single concurrent vote. No popular referendum. No executive signature. Every member's vote is published to the NRS within 24 hours. The 3/4 threshold is the highest legislative supermajority in the constitution — near-unanimous legislative agreement required.</w:t>
      </w:r>
    </w:p>
    <w:p>
      <w:pPr>
        <w:spacing w:after="60" w:before="200"/>
        <w:ind w:left="431"/>
        <w:jc w:val="left"/>
      </w:pPr>
      <w:r>
        <w:rPr>
          <w:rFonts w:ascii="Courier New" w:cs="Courier New" w:eastAsia="Courier New" w:hAnsi="Courier New"/>
          <w:b/>
          <w:bCs/>
          <w:color w:val="1B2A4A"/>
          <w:sz w:val="18"/>
          <w:szCs w:val="18"/>
        </w:rPr>
        <w:t xml:space="preserve">§15.1.b  </w:t>
      </w:r>
      <w:r>
        <w:rPr>
          <w:rFonts w:ascii="Garamond" w:cs="Garamond" w:eastAsia="Garamond" w:hAnsi="Garamond"/>
          <w:b/>
          <w:bCs/>
          <w:i w:val="false"/>
          <w:iCs w:val="false"/>
          <w:color w:val="1B2A4A"/>
          <w:sz w:val="22"/>
          <w:szCs w:val="22"/>
        </w:rPr>
        <w:t xml:space="preserve">Parliamentary and Popular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Lower legislative threshold (2/3 both chambers) but requires the People to ratify. National popular vote within 180 days of the parliamentary vote. 55% affirmative support with at least 55% citizen participation required. EC and LI certify jointly. Neither stage alone is sufficient.</w:t>
      </w:r>
    </w:p>
    <w:p>
      <w:pPr>
        <w:spacing w:after="60" w:before="200"/>
        <w:ind w:left="431"/>
        <w:jc w:val="left"/>
      </w:pPr>
      <w:r>
        <w:rPr>
          <w:rFonts w:ascii="Courier New" w:cs="Courier New" w:eastAsia="Courier New" w:hAnsi="Courier New"/>
          <w:b/>
          <w:bCs/>
          <w:color w:val="1B2A4A"/>
          <w:sz w:val="18"/>
          <w:szCs w:val="18"/>
        </w:rPr>
        <w:t xml:space="preserve">§15.1.c  </w:t>
      </w:r>
      <w:r>
        <w:rPr>
          <w:rFonts w:ascii="Garamond" w:cs="Garamond" w:eastAsia="Garamond" w:hAnsi="Garamond"/>
          <w:b/>
          <w:bCs/>
          <w:i w:val="false"/>
          <w:iCs w:val="false"/>
          <w:color w:val="1B2A4A"/>
          <w:sz w:val="22"/>
          <w:szCs w:val="22"/>
        </w:rPr>
        <w:t xml:space="preserve">Citizen-Led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Citizen-Led Amendment. The only path that entirely bypasses the Legislature. 70% affirmative support with 65% citizen participation required. A vote that fails either threshold fails; no second vote is available. A new petition may be filed immediately under the same process, with the failed vote's NRS record available as public evidence of prior support.</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No Executive Veto Over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President nor the PM has any role in the constitutional amendment process. No signature required. No veto available. An amendment takes effect the moment the Inspectorates certify ratification and publish it to the NRS. Constitutional change is entirely outside executive control.</w:t>
      </w:r>
    </w:p>
    <w:p>
      <w:pPr>
        <w:spacing w:after="60" w:before="200"/>
        <w:ind w:left="431"/>
        <w:jc w:val="left"/>
      </w:pPr>
      <w:r>
        <w:rPr>
          <w:rFonts w:ascii="Courier New" w:cs="Courier New" w:eastAsia="Courier New" w:hAnsi="Courier New"/>
          <w:b/>
          <w:bCs/>
          <w:color w:val="1B2A4A"/>
          <w:sz w:val="18"/>
          <w:szCs w:val="18"/>
        </w:rPr>
        <w:t xml:space="preserve">§15.2.a  </w:t>
      </w:r>
      <w:r>
        <w:rPr>
          <w:rFonts w:ascii="Garamond" w:cs="Garamond" w:eastAsia="Garamond" w:hAnsi="Garamond"/>
          <w:b/>
          <w:bCs/>
          <w:i w:val="false"/>
          <w:iCs w:val="false"/>
          <w:color w:val="1B2A4A"/>
          <w:sz w:val="22"/>
          <w:szCs w:val="22"/>
        </w:rPr>
        <w:t xml:space="preserve">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takes effect immediately upon LI certification (Paths A and B) or EC certification (Path C) and NRS publication. No implementation delay, no commencement date, no executive discretion over timing.</w:t>
      </w:r>
    </w:p>
    <w:p>
      <w:pPr>
        <w:spacing w:after="60" w:before="200"/>
        <w:ind w:left="431"/>
        <w:jc w:val="left"/>
      </w:pPr>
      <w:r>
        <w:rPr>
          <w:rFonts w:ascii="Courier New" w:cs="Courier New" w:eastAsia="Courier New" w:hAnsi="Courier New"/>
          <w:b/>
          <w:bCs/>
          <w:color w:val="1B2A4A"/>
          <w:sz w:val="18"/>
          <w:szCs w:val="18"/>
        </w:rPr>
        <w:t xml:space="preserve">§15.3  </w:t>
      </w:r>
      <w:r>
        <w:rPr>
          <w:rFonts w:ascii="Garamond" w:cs="Garamond" w:eastAsia="Garamond" w:hAnsi="Garamond"/>
          <w:b/>
          <w:bCs/>
          <w:i w:val="false"/>
          <w:iCs w:val="false"/>
          <w:color w:val="1B2A4A"/>
          <w:sz w:val="22"/>
          <w:szCs w:val="22"/>
        </w:rPr>
        <w:t xml:space="preserve">Unamendable Provisions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Six provisions of this constitution may not be amended by any pathway — not by legislative supermajority, popular ratification, or any combination of both. These provisions define the minimum conditions for constitutional legitimacy itself.</w:t>
      </w:r>
    </w:p>
    <w:p>
      <w:pPr>
        <w:spacing w:after="60" w:before="200"/>
        <w:ind w:left="431"/>
        <w:jc w:val="left"/>
      </w:pPr>
      <w:r>
        <w:rPr>
          <w:rFonts w:ascii="Courier New" w:cs="Courier New" w:eastAsia="Courier New" w:hAnsi="Courier New"/>
          <w:b/>
          <w:bCs/>
          <w:color w:val="1B2A4A"/>
          <w:sz w:val="18"/>
          <w:szCs w:val="18"/>
        </w:rPr>
        <w:t xml:space="preserve">§15.3.a  </w:t>
      </w:r>
      <w:r>
        <w:rPr>
          <w:rFonts w:ascii="Garamond" w:cs="Garamond" w:eastAsia="Garamond" w:hAnsi="Garamond"/>
          <w:b/>
          <w:bCs/>
          <w:i w:val="false"/>
          <w:iCs w:val="false"/>
          <w:color w:val="1B2A4A"/>
          <w:sz w:val="22"/>
          <w:szCs w:val="22"/>
        </w:rPr>
        <w:t xml:space="preserve">Permanently Unamendable Provisions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Six provisions that cannot be amended by any process: §1.3 (torture prohibition), §1.4 (slavery and forced labor), §1.14 (habeas corpus), §1.18 (public trial), §1.19 (no retroactive criminal laws), §1.28 (non-refoulement). Article I as a whole can only expand — no amendment may reduce any Article I right below its current floor.</w:t>
      </w:r>
    </w:p>
    <w:p>
      <w:pPr>
        <w:spacing w:after="60" w:before="200"/>
        <w:ind w:left="431"/>
        <w:jc w:val="left"/>
      </w:pPr>
      <w:r>
        <w:rPr>
          <w:rFonts w:ascii="Courier New" w:cs="Courier New" w:eastAsia="Courier New" w:hAnsi="Courier New"/>
          <w:b/>
          <w:bCs/>
          <w:color w:val="1B2A4A"/>
          <w:sz w:val="18"/>
          <w:szCs w:val="18"/>
        </w:rPr>
        <w:t xml:space="preserve">§15.4  </w:t>
      </w:r>
      <w:r>
        <w:rPr>
          <w:rFonts w:ascii="Garamond" w:cs="Garamond" w:eastAsia="Garamond" w:hAnsi="Garamond"/>
          <w:b/>
          <w:bCs/>
          <w:i w:val="false"/>
          <w:iCs w:val="false"/>
          <w:color w:val="1B2A4A"/>
          <w:sz w:val="22"/>
          <w:szCs w:val="22"/>
        </w:rPr>
        <w:t xml:space="preserve">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territorial extent may only be reduced by the consent of the affected population. No State may leave the Republic through ordinary legislation, and no government may cede territory without meeting the threshold established in this section.</w:t>
      </w:r>
    </w:p>
    <w:p>
      <w:pPr>
        <w:spacing w:after="60" w:before="200"/>
        <w:ind w:left="431"/>
        <w:jc w:val="left"/>
      </w:pPr>
      <w:r>
        <w:rPr>
          <w:rFonts w:ascii="Courier New" w:cs="Courier New" w:eastAsia="Courier New" w:hAnsi="Courier New"/>
          <w:b/>
          <w:bCs/>
          <w:color w:val="1B2A4A"/>
          <w:sz w:val="18"/>
          <w:szCs w:val="18"/>
        </w:rPr>
        <w:t xml:space="preserve">§15.4.a  </w:t>
      </w:r>
      <w:r>
        <w:rPr>
          <w:rFonts w:ascii="Garamond" w:cs="Garamond" w:eastAsia="Garamond" w:hAnsi="Garamond"/>
          <w:b/>
          <w:bCs/>
          <w:i w:val="false"/>
          <w:iCs w:val="false"/>
          <w:color w:val="1B2A4A"/>
          <w:sz w:val="22"/>
          <w:szCs w:val="22"/>
        </w:rPr>
        <w:t xml:space="preserve">Amendment Requirement for Territorial Reduction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territorial extent may only be reduced by a Path B or Path C amendment (not Path A). Expansion of territory is governed by §13.1. No executive action may alter the Republic's territorial extent.</w:t>
      </w:r>
    </w:p>
    <w:p>
      <w:pPr>
        <w:spacing w:after="60" w:before="200"/>
        <w:ind w:left="431"/>
        <w:jc w:val="left"/>
      </w:pPr>
      <w:r>
        <w:rPr>
          <w:rFonts w:ascii="Courier New" w:cs="Courier New" w:eastAsia="Courier New" w:hAnsi="Courier New"/>
          <w:b/>
          <w:bCs/>
          <w:color w:val="1B2A4A"/>
          <w:sz w:val="18"/>
          <w:szCs w:val="18"/>
        </w:rPr>
        <w:t xml:space="preserve">§15.4.b  </w:t>
      </w:r>
      <w:r>
        <w:rPr>
          <w:rFonts w:ascii="Garamond" w:cs="Garamond" w:eastAsia="Garamond" w:hAnsi="Garamond"/>
          <w:b/>
          <w:bCs/>
          <w:i w:val="false"/>
          <w:iCs w:val="false"/>
          <w:color w:val="1B2A4A"/>
          <w:sz w:val="22"/>
          <w:szCs w:val="22"/>
        </w:rPr>
        <w:t xml:space="preserve">No Secession by Ordinary Legislation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not secede from the Republic by ordinary statute or by State referendum alone. Secession requires a constitutional amendment — Path B or C — meaning a national democratic majority must consent to the departure of any State.</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Amendment Consistency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LI reviews all proposed amendments for internal consistency before ratification.</w:t>
      </w:r>
    </w:p>
    <w:p>
      <w:pPr>
        <w:spacing w:after="60" w:before="200"/>
        <w:ind w:left="431"/>
        <w:jc w:val="left"/>
      </w:pPr>
      <w:r>
        <w:rPr>
          <w:rFonts w:ascii="Courier New" w:cs="Courier New" w:eastAsia="Courier New" w:hAnsi="Courier New"/>
          <w:b/>
          <w:bCs/>
          <w:color w:val="1B2A4A"/>
          <w:sz w:val="18"/>
          <w:szCs w:val="18"/>
        </w:rPr>
        <w:t xml:space="preserve">§15.5.a  </w:t>
      </w:r>
      <w:r>
        <w:rPr>
          <w:rFonts w:ascii="Garamond" w:cs="Garamond" w:eastAsia="Garamond" w:hAnsi="Garamond"/>
          <w:b/>
          <w:bCs/>
          <w:i w:val="false"/>
          <w:iCs w:val="false"/>
          <w:color w:val="1B2A4A"/>
          <w:sz w:val="22"/>
          <w:szCs w:val="22"/>
        </w:rPr>
        <w:t xml:space="preserve">LI Consistency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publishes a consistency analysis of any proposed amendment within 30 days of its official proposal. Identifies provisions the amendment would supersede, modify, or conflict with. Advisory — it does not block ratification — but creates a permanent public record of what the amendment changes.</w:t>
      </w:r>
    </w:p>
    <w:p>
      <w:pPr>
        <w:spacing w:after="60" w:before="200"/>
        <w:ind w:left="431"/>
        <w:jc w:val="left"/>
      </w:pPr>
      <w:r>
        <w:rPr>
          <w:rFonts w:ascii="Courier New" w:cs="Courier New" w:eastAsia="Courier New" w:hAnsi="Courier New"/>
          <w:b/>
          <w:bCs/>
          <w:color w:val="1B2A4A"/>
          <w:sz w:val="18"/>
          <w:szCs w:val="18"/>
        </w:rPr>
        <w:t xml:space="preserve">§15.5.b  </w:t>
      </w:r>
      <w:r>
        <w:rPr>
          <w:rFonts w:ascii="Garamond" w:cs="Garamond" w:eastAsia="Garamond" w:hAnsi="Garamond"/>
          <w:b/>
          <w:bCs/>
          <w:i w:val="false"/>
          <w:iCs w:val="false"/>
          <w:color w:val="1B2A4A"/>
          <w:sz w:val="22"/>
          <w:szCs w:val="22"/>
        </w:rPr>
        <w:t xml:space="preserve">SC Consistency Adjudication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If a ratified amendment's consistency with existing provisions is disputed, the SC resolves the dispute on expedited review. The SC may not refuse to ratify an amendment that has met its procedural thresholds — it adjudicates the consistency question after ratification, not before.</w:t>
      </w:r>
    </w:p>
    <w:p>
      <w:pPr>
        <w:spacing w:after="60" w:before="200"/>
        <w:ind w:left="431"/>
        <w:jc w:val="left"/>
      </w:pPr>
      <w:r>
        <w:rPr>
          <w:rFonts w:ascii="Courier New" w:cs="Courier New" w:eastAsia="Courier New" w:hAnsi="Courier New"/>
          <w:b/>
          <w:bCs/>
          <w:color w:val="1B2A4A"/>
          <w:sz w:val="18"/>
          <w:szCs w:val="18"/>
        </w:rPr>
        <w:t xml:space="preserve">§15.5.c  </w:t>
      </w:r>
      <w:r>
        <w:rPr>
          <w:rFonts w:ascii="Garamond" w:cs="Garamond" w:eastAsia="Garamond" w:hAnsi="Garamond"/>
          <w:b/>
          <w:bCs/>
          <w:i w:val="false"/>
          <w:iCs w:val="false"/>
          <w:color w:val="1B2A4A"/>
          <w:sz w:val="22"/>
          <w:szCs w:val="22"/>
        </w:rPr>
        <w:t xml:space="preserve">Retroactive Effect of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Amendments take prospective effect from the date of ratification. They do not retroactively alter the constitutionality of acts that were constitutional when performed. Criminal prosecutions and civil proceedings that were constitutionally valid when commenced remain valid under the prior constitutional standard.</w:t>
      </w:r>
    </w:p>
    <w:p>
      <w:pPr>
        <w:spacing w:after="60" w:before="200"/>
        <w:ind w:left="431"/>
        <w:jc w:val="left"/>
      </w:pPr>
      <w:r>
        <w:rPr>
          <w:rFonts w:ascii="Courier New" w:cs="Courier New" w:eastAsia="Courier New" w:hAnsi="Courier New"/>
          <w:b/>
          <w:bCs/>
          <w:color w:val="1B2A4A"/>
          <w:sz w:val="18"/>
          <w:szCs w:val="18"/>
        </w:rPr>
        <w:t xml:space="preserve">§15.5.d  </w:t>
      </w:r>
      <w:r>
        <w:rPr>
          <w:rFonts w:ascii="Garamond" w:cs="Garamond" w:eastAsia="Garamond" w:hAnsi="Garamond"/>
          <w:b/>
          <w:bCs/>
          <w:i w:val="false"/>
          <w:iCs w:val="false"/>
          <w:color w:val="1B2A4A"/>
          <w:sz w:val="22"/>
          <w:szCs w:val="22"/>
        </w:rPr>
        <w:t xml:space="preserve">Simultaneous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Two amendments may be simultaneously in the ratification process. If both pass, both are law. If they conflict with each other, the one ratified later in time prevails. Where two conflicting amendments are certified on the same day, the amendment with the higher ratification margin prevails; where margins are also equal, the amendment whose proposal stage was completed earlier in time prevails as determined by the LI from NRS records. The LI publishes a notice of any pending simultaneous amendments that are potentially inconsistent with each other.</w:t>
      </w:r>
    </w:p>
    <w:p>
      <w:pPr>
        <w:spacing w:after="60" w:before="200"/>
        <w:ind w:left="431"/>
        <w:jc w:val="left"/>
      </w:pPr>
      <w:r>
        <w:rPr>
          <w:rFonts w:ascii="Courier New" w:cs="Courier New" w:eastAsia="Courier New" w:hAnsi="Courier New"/>
          <w:b/>
          <w:bCs/>
          <w:color w:val="1B2A4A"/>
          <w:sz w:val="18"/>
          <w:szCs w:val="18"/>
        </w:rPr>
        <w:t xml:space="preserve">§15.5.e  </w:t>
      </w:r>
      <w:r>
        <w:rPr>
          <w:rFonts w:ascii="Garamond" w:cs="Garamond" w:eastAsia="Garamond" w:hAnsi="Garamond"/>
          <w:b/>
          <w:bCs/>
          <w:i w:val="false"/>
          <w:iCs w:val="false"/>
          <w:color w:val="1B2A4A"/>
          <w:sz w:val="22"/>
          <w:szCs w:val="22"/>
        </w:rPr>
        <w:t xml:space="preserve">Withdrawn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 proposed amendment may be withdrawn by the proposing body at any point before ratification is certified. Once ratification is certified, an amendment may only be reversed by a subsequent amendment through one of the three paths.</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 — The Electoral Commission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Digital Infrastructure Commission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Digital Infrastructure Commission is a constitutionally independent body responsible for the operation of the National Record System and the National Voting System. It is governed by an elected Director and two panels of three administrators each — the NRS Panel and the Elections Panel. The Commission is independent of both executives and the Legislature in the exercise of its administrative and certification functions. References in this Constitution to the "Electoral Commission" and to "the EC" refer to the Elections Panel of the Digital Infrastructure Commission unless the context requires otherwise.</w:t>
      </w:r>
    </w:p>
    <w:p>
      <w:pPr>
        <w:spacing w:after="60" w:before="200"/>
        <w:ind w:left="431"/>
        <w:jc w:val="left"/>
      </w:pPr>
      <w:r>
        <w:rPr>
          <w:rFonts w:ascii="Courier New" w:cs="Courier New" w:eastAsia="Courier New" w:hAnsi="Courier New"/>
          <w:b/>
          <w:bCs/>
          <w:color w:val="1B2A4A"/>
          <w:sz w:val="18"/>
          <w:szCs w:val="18"/>
        </w:rPr>
        <w:t xml:space="preserve">§16.1.a  </w:t>
      </w:r>
      <w:r>
        <w:rPr>
          <w:rFonts w:ascii="Garamond" w:cs="Garamond" w:eastAsia="Garamond" w:hAnsi="Garamond"/>
          <w:b/>
          <w:bCs/>
          <w:i w:val="false"/>
          <w:iCs w:val="false"/>
          <w:color w:val="1B2A4A"/>
          <w:sz w:val="22"/>
          <w:szCs w:val="22"/>
        </w:rPr>
        <w:t xml:space="preserve">Director — Election and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Director is elected by national ranked-choice vote on National Election Day to a single non-renewable 8-year term, staggered from the administrator appointment cycles. The Director chairs the Commission and holds one vote on all Commission decisions. No person may serve more than one term as Director. The Director may not hold concurrent service on either panel. No person who has held elected office or party membership within ten years of their election may stand as Director. Campaigns for the Director position are publicly funded in full — no private money may be spent on Director campaigns.</w:t>
      </w:r>
    </w:p>
    <w:p>
      <w:pPr>
        <w:spacing w:after="60" w:before="200"/>
        <w:ind w:left="431"/>
        <w:jc w:val="left"/>
      </w:pPr>
      <w:r>
        <w:rPr>
          <w:rFonts w:ascii="Courier New" w:cs="Courier New" w:eastAsia="Courier New" w:hAnsi="Courier New"/>
          <w:b/>
          <w:bCs/>
          <w:color w:val="1B2A4A"/>
          <w:sz w:val="18"/>
          <w:szCs w:val="18"/>
        </w:rPr>
        <w:t xml:space="preserve">§16.1.b  </w:t>
      </w:r>
      <w:r>
        <w:rPr>
          <w:rFonts w:ascii="Garamond" w:cs="Garamond" w:eastAsia="Garamond" w:hAnsi="Garamond"/>
          <w:b/>
          <w:bCs/>
          <w:i w:val="false"/>
          <w:iCs w:val="false"/>
          <w:color w:val="1B2A4A"/>
          <w:sz w:val="22"/>
          <w:szCs w:val="22"/>
        </w:rPr>
        <w:t xml:space="preserve">Panel Composition and Terms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Panel consists of three administrators responsible for the operation of the National Record System. The Elections Panel consists of three administrators responsible for the operation of the National Voting System and the administration of all federal elections and referenda. Administrators serve staggered non-renewable 6-year terms. Within each panel, terms are staggered so that no more than one seat per panel turns over in any two-year window. All administrators are appointed through the pool process under §16.1.c.</w:t>
      </w:r>
    </w:p>
    <w:p>
      <w:pPr>
        <w:spacing w:after="60" w:before="200"/>
        <w:ind w:left="431"/>
        <w:jc w:val="left"/>
      </w:pPr>
      <w:r>
        <w:rPr>
          <w:rFonts w:ascii="Courier New" w:cs="Courier New" w:eastAsia="Courier New" w:hAnsi="Courier New"/>
          <w:b/>
          <w:bCs/>
          <w:color w:val="1B2A4A"/>
          <w:sz w:val="18"/>
          <w:szCs w:val="18"/>
        </w:rPr>
        <w:t xml:space="preserve">§16.1.c  </w:t>
      </w:r>
      <w:r>
        <w:rPr>
          <w:rFonts w:ascii="Garamond" w:cs="Garamond" w:eastAsia="Garamond" w:hAnsi="Garamond"/>
          <w:b/>
          <w:bCs/>
          <w:i w:val="false"/>
          <w:iCs w:val="false"/>
          <w:color w:val="1B2A4A"/>
          <w:sz w:val="22"/>
          <w:szCs w:val="22"/>
        </w:rPr>
        <w:t xml:space="preserve">Digital Infrastructure Pool and Appointment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executive maintains their own pool of nominees for panel appointments. Either executive may nominate any number of qualified persons to their pool at any time. The JI reviews each nominee and publishes a qualification report to the NRS within 30 days of nomination, assessing whether the nominee meets the qualification requirements established by statute for the relevant panel track — NRS track or Elections track. Pool membership is established by JI qualification certification; no Senate confirmation is required for pool entry. A nominee whose qualifications have not been JI-certified may not be selected for panel appointment. When a panel vacancy arises, each executive selects one JI-certified nominee from their respective pool for that panel's qualification track and transmits the name to the Director. The Director selects one of the two nominees and transmits that selection to the Senate. The Senate confirms the Director's selection within 60 days; failure to vote within 60 days is a constitutional compliance breach certified by the LI. If the Director finds neither nominee acceptable, the Director publishes the reasons to the NRS and requests new nominations; each executive must respond with a new nominee within 30 days.</w:t>
      </w:r>
    </w:p>
    <w:p>
      <w:pPr>
        <w:spacing w:after="60" w:before="200"/>
        <w:ind w:left="431"/>
        <w:jc w:val="left"/>
      </w:pPr>
      <w:r>
        <w:rPr>
          <w:rFonts w:ascii="Courier New" w:cs="Courier New" w:eastAsia="Courier New" w:hAnsi="Courier New"/>
          <w:b/>
          <w:bCs/>
          <w:color w:val="1B2A4A"/>
          <w:sz w:val="18"/>
          <w:szCs w:val="18"/>
        </w:rPr>
        <w:t xml:space="preserve">§16.1.d  </w:t>
      </w:r>
      <w:r>
        <w:rPr>
          <w:rFonts w:ascii="Garamond" w:cs="Garamond" w:eastAsia="Garamond" w:hAnsi="Garamond"/>
          <w:b/>
          <w:bCs/>
          <w:i w:val="false"/>
          <w:iCs w:val="false"/>
          <w:color w:val="1B2A4A"/>
          <w:sz w:val="22"/>
          <w:szCs w:val="22"/>
        </w:rPr>
        <w:t xml:space="preserve">Commission Decision-Making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Commission — Director and six administrators — decides on architecture standards, technical policy, budget, and institutional matters by simple majority of full seated membership. The Director holds one vote and is not entitled to a separate veto. For operational decisions within each system, the relevant panel of three administrators decides by majority vote; the Director may participate in panel discussions but does not vote on operational decisions. Where a panel is deadlocked 1-1-1, the Director casts a deciding vote on that operational matter only.</w:t>
      </w:r>
    </w:p>
    <w:p>
      <w:pPr>
        <w:spacing w:after="60" w:before="200"/>
        <w:ind w:left="431"/>
        <w:jc w:val="left"/>
      </w:pPr>
      <w:r>
        <w:rPr>
          <w:rFonts w:ascii="Courier New" w:cs="Courier New" w:eastAsia="Courier New" w:hAnsi="Courier New"/>
          <w:b/>
          <w:bCs/>
          <w:color w:val="1B2A4A"/>
          <w:sz w:val="18"/>
          <w:szCs w:val="18"/>
        </w:rPr>
        <w:t xml:space="preserve">§16.1.e  </w:t>
      </w:r>
      <w:r>
        <w:rPr>
          <w:rFonts w:ascii="Garamond" w:cs="Garamond" w:eastAsia="Garamond" w:hAnsi="Garamond"/>
          <w:b/>
          <w:bCs/>
          <w:i w:val="false"/>
          <w:iCs w:val="false"/>
          <w:color w:val="1B2A4A"/>
          <w:sz w:val="22"/>
          <w:szCs w:val="22"/>
        </w:rPr>
        <w:t xml:space="preserve">Operational Independence of Panels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Panel has sole operational authority over the content, timing, and availability of records published to the National Record System. The Director and Elections Panel may not issue instructions to the NRS Panel regarding any specific record. The Elections Panel has sole operational authority over the conduct of elections, the administration of the National Voting System, and the certification of all electoral results. The Director and NRS Panel may not issue instructions to the Elections Panel regarding election conduct or result certification. These independence protections are absolute and may not be modified by Commission policy or Director directive.</w:t>
      </w:r>
    </w:p>
    <w:p>
      <w:pPr>
        <w:spacing w:after="60" w:before="200"/>
        <w:ind w:left="431"/>
        <w:jc w:val="left"/>
      </w:pPr>
      <w:r>
        <w:rPr>
          <w:rFonts w:ascii="Courier New" w:cs="Courier New" w:eastAsia="Courier New" w:hAnsi="Courier New"/>
          <w:b/>
          <w:bCs/>
          <w:color w:val="1B2A4A"/>
          <w:sz w:val="18"/>
          <w:szCs w:val="18"/>
        </w:rPr>
        <w:t xml:space="preserve">§16.2  </w:t>
      </w:r>
      <w:r>
        <w:rPr>
          <w:rFonts w:ascii="Garamond" w:cs="Garamond" w:eastAsia="Garamond" w:hAnsi="Garamond"/>
          <w:b/>
          <w:bCs/>
          <w:i w:val="false"/>
          <w:iCs w:val="false"/>
          <w:color w:val="1B2A4A"/>
          <w:sz w:val="22"/>
          <w:szCs w:val="22"/>
        </w:rPr>
        <w:t xml:space="preserve">Administrator Qualifications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NRS Panel administrators must hold at least 12 years of professional expertise in cryptography, distributed systems, information security, or public records management, and must have no current or recent partisan affiliation. Elections Panel administrators must hold at least 12 years of professional expertise in elections administration, electoral technology, or public administration, and must have no current or recent partisan affiliation. All administrators must pass the Constitutional Logic Test. Qualifications are assessed by the JI at time of pool nomination and published to the NRS.</w:t>
      </w:r>
    </w:p>
    <w:p>
      <w:pPr>
        <w:spacing w:after="60" w:before="200"/>
        <w:ind w:left="431"/>
        <w:jc w:val="left"/>
      </w:pPr>
      <w:r>
        <w:rPr>
          <w:rFonts w:ascii="Courier New" w:cs="Courier New" w:eastAsia="Courier New" w:hAnsi="Courier New"/>
          <w:b/>
          <w:bCs/>
          <w:color w:val="1B2A4A"/>
          <w:sz w:val="18"/>
          <w:szCs w:val="18"/>
        </w:rPr>
        <w:t xml:space="preserve">§16.2.a  </w:t>
      </w:r>
      <w:r>
        <w:rPr>
          <w:rFonts w:ascii="Garamond" w:cs="Garamond" w:eastAsia="Garamond" w:hAnsi="Garamond"/>
          <w:b/>
          <w:bCs/>
          <w:i w:val="false"/>
          <w:iCs w:val="false"/>
          <w:color w:val="1B2A4A"/>
          <w:sz w:val="22"/>
          <w:szCs w:val="22"/>
        </w:rPr>
        <w:t xml:space="preserve">Removal of Director and Administrators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Director and panel administrators may be removed for cause only. For-cause removal requires: a JI-documented finding transmitted to a State Designee Panel under §8.9.f; a Panel determination that stated grounds are substantiated; a 14-day SC appeal window from publication of the Panel finding; and a 2/3 vote of both chambers simultaneously. A Director or administrator subject to active removal proceedings is suspended from duties pending the legislative vote. Any removal vote scheduled within 180 days of a major national election is automatically suspended pending SC review within 48 hours.</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Digital Infrastructure Commission —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Commission's independence does not place it above accountability. The EI oversees the Director and the Commission as a whole. The LI audits NRS Panel operations and NRS integrity annually under §9.1.e. The JI audits Elections Panel operations and electoral integrity annually. All audit findings are published to the NRS and transmitted to both chambers of the Legislature.</w:t>
      </w:r>
    </w:p>
    <w:p>
      <w:pPr>
        <w:spacing w:after="60" w:before="200"/>
        <w:ind w:left="431"/>
        <w:jc w:val="left"/>
      </w:pPr>
      <w:r>
        <w:rPr>
          <w:rFonts w:ascii="Courier New" w:cs="Courier New" w:eastAsia="Courier New" w:hAnsi="Courier New"/>
          <w:b/>
          <w:bCs/>
          <w:color w:val="1B2A4A"/>
          <w:sz w:val="18"/>
          <w:szCs w:val="18"/>
        </w:rPr>
        <w:t xml:space="preserve">§16.5.a  </w:t>
      </w:r>
      <w:r>
        <w:rPr>
          <w:rFonts w:ascii="Garamond" w:cs="Garamond" w:eastAsia="Garamond" w:hAnsi="Garamond"/>
          <w:b/>
          <w:bCs/>
          <w:i w:val="false"/>
          <w:iCs w:val="false"/>
          <w:color w:val="1B2A4A"/>
          <w:sz w:val="22"/>
          <w:szCs w:val="22"/>
        </w:rPr>
        <w:t xml:space="preserve">Mid-Term Vacancies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panel administrator seat becomes vacant mid-term, the vacancy process under §16.1.c runs immediately. The replacement serves the remainder of the vacated term only and may not subsequently be nominated to the pool for the same panel track. Where the Director seat becomes vacant, the six panel administrators jointly designate one as Acting Director by majority vote within 7 days; a special Director election must be held within 120 days. The Acting Director holds full Director authority except the deciding-vote power under §16.1.d.</w:t>
      </w:r>
    </w:p>
    <w:p>
      <w:pPr>
        <w:spacing w:after="60" w:before="200"/>
        <w:ind w:left="431"/>
        <w:jc w:val="left"/>
      </w:pPr>
      <w:r>
        <w:rPr>
          <w:rFonts w:ascii="Courier New" w:cs="Courier New" w:eastAsia="Courier New" w:hAnsi="Courier New"/>
          <w:b/>
          <w:bCs/>
          <w:color w:val="1B2A4A"/>
          <w:sz w:val="18"/>
          <w:szCs w:val="18"/>
        </w:rPr>
        <w:t xml:space="preserve">§16.6  </w:t>
      </w:r>
      <w:r>
        <w:rPr>
          <w:rFonts w:ascii="Garamond" w:cs="Garamond" w:eastAsia="Garamond" w:hAnsi="Garamond"/>
          <w:b/>
          <w:bCs/>
          <w:i w:val="false"/>
          <w:iCs w:val="false"/>
          <w:color w:val="1B2A4A"/>
          <w:sz w:val="22"/>
          <w:szCs w:val="22"/>
        </w:rPr>
        <w:t xml:space="preserve">Emergency Technical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by statute a procedure for the Commission to adopt temporary technical measures in imminent security threats or system failures, bypassing the normal majority decision threshold. The emergency power is narrowly constrained — it cannot change electoral rules, timelines, candidate eligibility, or NRS record permanence. It is a system-integrity tool only. Emergency measures expire within 72 hours unless ratified by the full Commission at a convened session.</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NVS Properties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Three constitutionally required properties of the National Voting System: ballot secrecy (technically impossible to link any vote to any voter), public auditability (aggregate results mathematically verifiable by anyone with NRS access), and resilience (capable of operating in degraded conditions without compromising either secrecy or auditability). These properties are independently required — neither can be sacrificed for the other.</w:t>
      </w:r>
    </w:p>
    <w:p>
      <w:pPr>
        <w:spacing w:after="60" w:before="200"/>
        <w:ind w:left="431"/>
        <w:jc w:val="left"/>
      </w:pPr>
      <w:r>
        <w:rPr>
          <w:rFonts w:ascii="Courier New" w:cs="Courier New" w:eastAsia="Courier New" w:hAnsi="Courier New"/>
          <w:b/>
          <w:bCs/>
          <w:color w:val="1B2A4A"/>
          <w:sz w:val="18"/>
          <w:szCs w:val="18"/>
        </w:rPr>
        <w:t xml:space="preserve">§16.3.a  </w:t>
      </w:r>
      <w:r>
        <w:rPr>
          <w:rFonts w:ascii="Garamond" w:cs="Garamond" w:eastAsia="Garamond" w:hAnsi="Garamond"/>
          <w:b/>
          <w:bCs/>
          <w:i w:val="false"/>
          <w:iCs w:val="false"/>
          <w:color w:val="1B2A4A"/>
          <w:sz w:val="22"/>
          <w:szCs w:val="22"/>
        </w:rPr>
        <w:t xml:space="preserve">Ballot Secrecy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or institution — including Electoral Commission members — may identify how any individual citizen voted. Ballot secrecy is constitutionally absolute. The NVS must make it technically impossible to link any vote to any voter, even in post-election audits.</w:t>
      </w:r>
    </w:p>
    <w:p>
      <w:pPr>
        <w:spacing w:after="60" w:before="200"/>
        <w:ind w:left="431"/>
        <w:jc w:val="left"/>
      </w:pPr>
      <w:r>
        <w:rPr>
          <w:rFonts w:ascii="Courier New" w:cs="Courier New" w:eastAsia="Courier New" w:hAnsi="Courier New"/>
          <w:b/>
          <w:bCs/>
          <w:color w:val="1B2A4A"/>
          <w:sz w:val="18"/>
          <w:szCs w:val="18"/>
        </w:rPr>
        <w:t xml:space="preserve">§16.3.b  </w:t>
      </w:r>
      <w:r>
        <w:rPr>
          <w:rFonts w:ascii="Garamond" w:cs="Garamond" w:eastAsia="Garamond" w:hAnsi="Garamond"/>
          <w:b/>
          <w:bCs/>
          <w:i w:val="false"/>
          <w:iCs w:val="false"/>
          <w:color w:val="1B2A4A"/>
          <w:sz w:val="22"/>
          <w:szCs w:val="22"/>
        </w:rPr>
        <w:t xml:space="preserve">Public Auditability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vote cast through the NVS must be individually verifiable by the voter who cast it, without revealing that voter's identity to any other party. The NVS must produce an audit trail that allows independent verification of aggregate results without individual identification. Both requirements must be simultaneously satisfied.</w:t>
      </w:r>
    </w:p>
    <w:p>
      <w:pPr>
        <w:spacing w:after="60" w:before="200"/>
        <w:ind w:left="431"/>
        <w:jc w:val="left"/>
      </w:pPr>
      <w:r>
        <w:rPr>
          <w:rFonts w:ascii="Courier New" w:cs="Courier New" w:eastAsia="Courier New" w:hAnsi="Courier New"/>
          <w:b/>
          <w:bCs/>
          <w:color w:val="1B2A4A"/>
          <w:sz w:val="18"/>
          <w:szCs w:val="18"/>
        </w:rPr>
        <w:t xml:space="preserve">§16.3.c  </w:t>
      </w:r>
      <w:r>
        <w:rPr>
          <w:rFonts w:ascii="Garamond" w:cs="Garamond" w:eastAsia="Garamond" w:hAnsi="Garamond"/>
          <w:b/>
          <w:bCs/>
          <w:i w:val="false"/>
          <w:iCs w:val="false"/>
          <w:color w:val="1B2A4A"/>
          <w:sz w:val="22"/>
          <w:szCs w:val="22"/>
        </w:rPr>
        <w:t xml:space="preserve">Resilience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NVS must operate in degraded conditions without compromising ballot secrecy or auditability. No information generated by the NVS — including voter participation records — may be shared with any government body, law enforcement, or foreign entity for any purpose other than administering the relevant election or referendum. Voter participation data is constitutionally protected even from the government.</w:t>
      </w:r>
    </w:p>
    <w:p>
      <w:pPr>
        <w:spacing w:after="60" w:before="200"/>
        <w:ind w:left="431"/>
        <w:jc w:val="left"/>
      </w:pPr>
      <w:r>
        <w:rPr>
          <w:rFonts w:ascii="Courier New" w:cs="Courier New" w:eastAsia="Courier New" w:hAnsi="Courier New"/>
          <w:b/>
          <w:bCs/>
          <w:color w:val="1B2A4A"/>
          <w:sz w:val="18"/>
          <w:szCs w:val="18"/>
        </w:rPr>
        <w:t xml:space="preserve">§16.4  </w:t>
      </w:r>
      <w:r>
        <w:rPr>
          <w:rFonts w:ascii="Garamond" w:cs="Garamond" w:eastAsia="Garamond" w:hAnsi="Garamond"/>
          <w:b/>
          <w:bCs/>
          <w:i w:val="false"/>
          <w:iCs w:val="false"/>
          <w:color w:val="1B2A4A"/>
          <w:sz w:val="22"/>
          <w:szCs w:val="22"/>
        </w:rPr>
        <w:t xml:space="preserve">Voting Rights and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in federal elections. The Electoral Commission administers the Citizen Voting Credential and is constitutionally obligated to maintain access to the National Voting System for every eligible citizen.</w:t>
      </w:r>
    </w:p>
    <w:p>
      <w:pPr>
        <w:spacing w:after="60" w:before="200"/>
        <w:ind w:left="431"/>
        <w:jc w:val="left"/>
      </w:pPr>
      <w:r>
        <w:rPr>
          <w:rFonts w:ascii="Courier New" w:cs="Courier New" w:eastAsia="Courier New" w:hAnsi="Courier New"/>
          <w:b/>
          <w:bCs/>
          <w:color w:val="1B2A4A"/>
          <w:sz w:val="18"/>
          <w:szCs w:val="18"/>
        </w:rPr>
        <w:t xml:space="preserve">§16.4.a  </w:t>
      </w:r>
      <w:r>
        <w:rPr>
          <w:rFonts w:ascii="Garamond" w:cs="Garamond" w:eastAsia="Garamond" w:hAnsi="Garamond"/>
          <w:b/>
          <w:bCs/>
          <w:i w:val="false"/>
          <w:iCs w:val="false"/>
          <w:color w:val="1B2A4A"/>
          <w:sz w:val="22"/>
          <w:szCs w:val="22"/>
        </w:rPr>
        <w:t xml:space="preserve">The Citizen Voting Credential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Citizen Voting Credential is issued and managed by the Electoral Commission. The system stores only cryptographic identifiers — not names, biometric data, or personal information — ensuring the link between a citizen and their credential cannot be used to identify how they voted. Voluntary biometric authentication may be used as a method of accessing the credential; no biometric data is transmitted to or held by the National Voting System or the Electoral Commission. Citizens whose Credentials are lost or compromised have the right to timely reissuance under a process the Legislature defines by statute.</w:t>
      </w:r>
    </w:p>
    <w:p>
      <w:pPr>
        <w:spacing w:after="60" w:before="200"/>
        <w:ind w:left="431"/>
        <w:jc w:val="left"/>
      </w:pPr>
      <w:r>
        <w:rPr>
          <w:rFonts w:ascii="Courier New" w:cs="Courier New" w:eastAsia="Courier New" w:hAnsi="Courier New"/>
          <w:b/>
          <w:bCs/>
          <w:color w:val="1B2A4A"/>
          <w:sz w:val="18"/>
          <w:szCs w:val="18"/>
        </w:rPr>
        <w:t xml:space="preserve">§16.4.b  </w:t>
      </w:r>
      <w:r>
        <w:rPr>
          <w:rFonts w:ascii="Garamond" w:cs="Garamond" w:eastAsia="Garamond" w:hAnsi="Garamond"/>
          <w:b/>
          <w:bCs/>
          <w:i w:val="false"/>
          <w:iCs w:val="false"/>
          <w:color w:val="1B2A4A"/>
          <w:sz w:val="22"/>
          <w:szCs w:val="22"/>
        </w:rPr>
        <w:t xml:space="preserve">Remote Voting</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may by statute authorize authenticated remote voting through the NVS. Remote voting must meet the same cryptographic and auditability standards as in-person NVS voting. No remote voting system may reduce ballot secrecy or auditability below the in-person standard.</w:t>
      </w:r>
    </w:p>
    <w:p>
      <w:pPr>
        <w:spacing w:after="60" w:before="200"/>
        <w:ind w:left="431"/>
        <w:jc w:val="left"/>
      </w:pPr>
      <w:r>
        <w:rPr>
          <w:rFonts w:ascii="Courier New" w:cs="Courier New" w:eastAsia="Courier New" w:hAnsi="Courier New"/>
          <w:b/>
          <w:bCs/>
          <w:color w:val="1B2A4A"/>
          <w:sz w:val="18"/>
          <w:szCs w:val="18"/>
        </w:rPr>
        <w:t xml:space="preserve">§16.4.c  </w:t>
      </w:r>
      <w:r>
        <w:rPr>
          <w:rFonts w:ascii="Garamond" w:cs="Garamond" w:eastAsia="Garamond" w:hAnsi="Garamond"/>
          <w:b/>
          <w:bCs/>
          <w:i w:val="false"/>
          <w:iCs w:val="false"/>
          <w:color w:val="1B2A4A"/>
          <w:sz w:val="22"/>
          <w:szCs w:val="22"/>
        </w:rPr>
        <w:t xml:space="preserve">State Voting Method Flexibility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may implement early voting periods, mail-in ballot options, and alternative participation methods, provided all methods connect to the NVS and meet its cryptographic and auditability standards. States may not reduce NVS access or capacity as a condition of offering alternative methods.</w:t>
      </w:r>
    </w:p>
    <w:p>
      <w:pPr>
        <w:spacing w:after="60" w:before="200"/>
        <w:ind w:left="431"/>
        <w:jc w:val="left"/>
      </w:pPr>
      <w:r>
        <w:rPr>
          <w:rFonts w:ascii="Courier New" w:cs="Courier New" w:eastAsia="Courier New" w:hAnsi="Courier New"/>
          <w:b/>
          <w:bCs/>
          <w:color w:val="1B2A4A"/>
          <w:sz w:val="18"/>
          <w:szCs w:val="18"/>
        </w:rPr>
        <w:t xml:space="preserve">§16.4.d  </w:t>
      </w:r>
      <w:r>
        <w:rPr>
          <w:rFonts w:ascii="Garamond" w:cs="Garamond" w:eastAsia="Garamond" w:hAnsi="Garamond"/>
          <w:b/>
          <w:bCs/>
          <w:i w:val="false"/>
          <w:iCs w:val="false"/>
          <w:color w:val="1B2A4A"/>
          <w:sz w:val="22"/>
          <w:szCs w:val="22"/>
        </w:rPr>
        <w:t xml:space="preserve">Federal Ballot Information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Before each federal election window opens, the Electoral Commission delivers to every eligible citizen: the list of federal races on their ballot, the NVS access procedures, and the certification timeline. Delivery must reach every eligible citizen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§16.4.e  </w:t>
      </w:r>
      <w:r>
        <w:rPr>
          <w:rFonts w:ascii="Garamond" w:cs="Garamond" w:eastAsia="Garamond" w:hAnsi="Garamond"/>
          <w:b/>
          <w:bCs/>
          <w:i w:val="false"/>
          <w:iCs w:val="false"/>
          <w:color w:val="1B2A4A"/>
          <w:sz w:val="22"/>
          <w:szCs w:val="22"/>
        </w:rPr>
        <w:t xml:space="preserve">State Ballot Information on Request</w:t>
      </w:r>
    </w:p>
    <w:p>
      <w:pPr>
        <w:spacing w:after="120" w:before="0"/>
        <w:ind w:left="431"/>
        <w:jc w:val="both"/>
      </w:pPr>
      <w:r>
        <w:rPr>
          <w:rFonts w:ascii="Garamond" w:cs="Garamond" w:eastAsia="Garamond" w:hAnsi="Garamond"/>
          <w:b w:val="false"/>
          <w:bCs w:val="false"/>
          <w:i w:val="false"/>
          <w:iCs w:val="false"/>
          <w:color w:val="2a2520"/>
          <w:sz w:val="22"/>
          <w:szCs w:val="22"/>
        </w:rPr>
        <w:t xml:space="preserve">At a State's request, the Electoral Commission may extend ballot information delivery to cover State and local races. The State bears the cost. The Commission may not refuse except on operational capacity grounds.</w:t>
      </w:r>
    </w:p>
    <w:p>
      <w:pPr>
        <w:spacing w:after="60" w:before="200"/>
        <w:ind w:left="431"/>
        <w:jc w:val="left"/>
      </w:pPr>
      <w:r>
        <w:rPr>
          <w:rFonts w:ascii="Courier New" w:cs="Courier New" w:eastAsia="Courier New" w:hAnsi="Courier New"/>
          <w:b/>
          <w:bCs/>
          <w:color w:val="1B2A4A"/>
          <w:sz w:val="18"/>
          <w:szCs w:val="18"/>
        </w:rPr>
        <w:t xml:space="preserve">§16.7  </w:t>
      </w:r>
      <w:r>
        <w:rPr>
          <w:rFonts w:ascii="Garamond" w:cs="Garamond" w:eastAsia="Garamond" w:hAnsi="Garamond"/>
          <w:b/>
          <w:bCs/>
          <w:i w:val="false"/>
          <w:iCs w:val="false"/>
          <w:color w:val="1B2A4A"/>
          <w:sz w:val="22"/>
          <w:szCs w:val="22"/>
        </w:rPr>
        <w:t xml:space="preserve">Day Zero Voting System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establish by statute the transition from any predecessor voting infrastructure to the constitutionally required NVS. The statute must ensure continuity of democratic participation — no gap between the predecessor system going offline and the NVS coming online.</w:t>
      </w:r>
    </w:p>
    <w:p>
      <w:pPr>
        <w:spacing w:after="60" w:before="200"/>
        <w:jc w:val="left"/>
      </w:pPr>
      <w:r>
        <w:rPr>
          <w:rFonts w:ascii="Garamond" w:cs="Garamond" w:eastAsia="Garamond" w:hAnsi="Garamond"/>
          <w:b/>
          <w:bCs/>
          <w:i w:val="false"/>
          <w:iCs w:val="false"/>
          <w:color w:val="1B2A4A"/>
          <w:sz w:val="34"/>
          <w:szCs w:val="34"/>
        </w:rPr>
        <w:t xml:space="preserve">Article XVII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on the NRS.</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the competitive bid process under this Article. The federal government holds only Operational Use Rights (§17.3) over the designated footprint. The host State or Territory retains full sovereignty outside that footprint.</w:t>
      </w:r>
    </w:p>
    <w:p>
      <w:pPr>
        <w:spacing w:after="60" w:before="200"/>
        <w:ind w:left="431"/>
        <w:jc w:val="left"/>
      </w:pPr>
      <w:r>
        <w:rPr>
          <w:rFonts w:ascii="Courier New" w:cs="Courier New" w:eastAsia="Courier New" w:hAnsi="Courier New"/>
          <w:b/>
          <w:bCs/>
          <w:color w:val="1B2A4A"/>
          <w:sz w:val="18"/>
          <w:szCs w:val="18"/>
        </w:rPr>
        <w:t xml:space="preserve">§17.2.a  </w:t>
      </w:r>
      <w:r>
        <w:rPr>
          <w:rFonts w:ascii="Garamond" w:cs="Garamond" w:eastAsia="Garamond" w:hAnsi="Garamond"/>
          <w:b/>
          <w:bCs/>
          <w:i w:val="false"/>
          <w:iCs w:val="false"/>
          <w:color w:val="1B2A4A"/>
          <w:sz w:val="22"/>
          <w:szCs w:val="22"/>
        </w:rPr>
        <w:t xml:space="preserve">Bid Process and Requirements Specification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Before issuing a call for bids, the PM publishes a Seat of Government Requirements Specification to the NRS defining the minimum functional, security, physical, and operational requirements any hosting bid must meet; the Legislature establishes by statute the specific standards within those categories. Any State or Territory may submit a bid specifying the proposed property, terms, and conditions of hosting. The House reviews all submitted bids and selects one by ordinary statute, subject to review by both executives under §2.4. The hosting agreement grants the federal government Operational Use Rights under §17.3. Bids that do not meet the published Requirements Specification are ineligible for selection. The PM determines and publishes to the NRS, within 14 days of the bid period closing, the eligibility status of each bid with stated grounds. A State or Territory whose bid is found ineligible may petition the Supreme Court within 30 days of that publication on the sole ground that the bid met the published Requirements Specification; the Court reviews only whether the specification was correctly applied. The hosting statute must specify the disposition of federal improvements made to the designated footprint in the event the Seat of Government relocates.</w:t>
      </w:r>
    </w:p>
    <w:p>
      <w:pPr>
        <w:spacing w:after="60" w:before="200"/>
        <w:ind w:left="431"/>
        <w:jc w:val="left"/>
      </w:pPr>
      <w:r>
        <w:rPr>
          <w:rFonts w:ascii="Courier New" w:cs="Courier New" w:eastAsia="Courier New" w:hAnsi="Courier New"/>
          <w:b/>
          <w:bCs/>
          <w:color w:val="1B2A4A"/>
          <w:sz w:val="18"/>
          <w:szCs w:val="18"/>
        </w:rPr>
        <w:t xml:space="preserve">§17.2.b  </w:t>
      </w:r>
      <w:r>
        <w:rPr>
          <w:rFonts w:ascii="Garamond" w:cs="Garamond" w:eastAsia="Garamond" w:hAnsi="Garamond"/>
          <w:b/>
          <w:bCs/>
          <w:i w:val="false"/>
          <w:iCs w:val="false"/>
          <w:color w:val="1B2A4A"/>
          <w:sz w:val="22"/>
          <w:szCs w:val="22"/>
        </w:rPr>
        <w:t xml:space="preserve">Twenty-Year Review Cycle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twenty years from the date the current hosting statute takes effect, the federal government must issue a new call for bids under the §17.2.a process. All States and Territories, including the current host, may submit bids. If no new bids are submitted, the current arrangement continues under the existing agreement until the next review cycle. If bids are submitted, the House reviews all bids and selects one by ordinary statute.</w:t>
      </w:r>
    </w:p>
    <w:p>
      <w:pPr>
        <w:spacing w:after="60" w:before="200"/>
        <w:ind w:left="431"/>
        <w:jc w:val="left"/>
      </w:pPr>
      <w:r>
        <w:rPr>
          <w:rFonts w:ascii="Courier New" w:cs="Courier New" w:eastAsia="Courier New" w:hAnsi="Courier New"/>
          <w:b/>
          <w:bCs/>
          <w:color w:val="1B2A4A"/>
          <w:sz w:val="18"/>
          <w:szCs w:val="18"/>
        </w:rPr>
        <w:t xml:space="preserve">§17.2.c  </w:t>
      </w:r>
      <w:r>
        <w:rPr>
          <w:rFonts w:ascii="Garamond" w:cs="Garamond" w:eastAsia="Garamond" w:hAnsi="Garamond"/>
          <w:b/>
          <w:bCs/>
          <w:i w:val="false"/>
          <w:iCs w:val="false"/>
          <w:color w:val="1B2A4A"/>
          <w:sz w:val="22"/>
          <w:szCs w:val="22"/>
        </w:rPr>
        <w:t xml:space="preserve">Transition Window</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Seat of Government moves to a new host following a bid review, a two-year transition window begins from the date the new hosting statute takes effect. During the transition window, the current host continues as the default temporary Seat. The transition statute must specify the handover timeline and conditions. The Legislature may by statute extend the transition window where both the incoming and outgoing host agree that additional time is required. If no agreement on the disposition of federal improvements is reached before the transition window closes, §17.3.b automatic reversion applies without further action — improvements revert to the departing host with the land. Upon completion of the transition window, the prior host recovers full sovereignty over all previously designated federal footprint under §17.3.b.</w:t>
      </w:r>
    </w:p>
    <w:p>
      <w:pPr>
        <w:spacing w:after="60" w:before="200"/>
        <w:ind w:left="431"/>
        <w:jc w:val="left"/>
      </w:pPr>
      <w:r>
        <w:rPr>
          <w:rFonts w:ascii="Courier New" w:cs="Courier New" w:eastAsia="Courier New" w:hAnsi="Courier New"/>
          <w:b/>
          <w:bCs/>
          <w:color w:val="1B2A4A"/>
          <w:sz w:val="18"/>
          <w:szCs w:val="18"/>
        </w:rPr>
        <w:t xml:space="preserve">§17.2.d  </w:t>
      </w:r>
      <w:r>
        <w:rPr>
          <w:rFonts w:ascii="Garamond" w:cs="Garamond" w:eastAsia="Garamond" w:hAnsi="Garamond"/>
          <w:b/>
          <w:bCs/>
          <w:i w:val="false"/>
          <w:iCs w:val="false"/>
          <w:color w:val="1B2A4A"/>
          <w:sz w:val="22"/>
          <w:szCs w:val="22"/>
        </w:rPr>
        <w:t xml:space="preserve">No-Bid Scenario</w:t>
      </w:r>
    </w:p>
    <w:p>
      <w:pPr>
        <w:spacing w:after="120" w:before="0"/>
        <w:ind w:left="431"/>
        <w:jc w:val="both"/>
      </w:pPr>
      <w:r>
        <w:rPr>
          <w:rFonts w:ascii="Garamond" w:cs="Garamond" w:eastAsia="Garamond" w:hAnsi="Garamond"/>
          <w:b w:val="false"/>
          <w:bCs w:val="false"/>
          <w:i w:val="false"/>
          <w:iCs w:val="false"/>
          <w:color w:val="2a2520"/>
          <w:sz w:val="22"/>
          <w:szCs w:val="22"/>
        </w:rPr>
        <w:t xml:space="preserve">If no State or Territory submits a bid within the call period, the Senate identifies candidate States and Territories that meet the Requirements Specification published under §17.2.a and presents options to the House within 90 days of the close of the bid period. If the Senate fails to present candidates within 90 days, either executive may petition the Supreme Court, which shall on such petition identify candidates within 30 days applying the same constitutional criteria. The House selects a temporary host by ordinary statute, subject to review by both executives. The temporary host receives fair market value rental compensation assessed by the Monetary Authority under a methodology established by statute; this is not an eminent domain taking and is compensated at fair market value, not the §1.11.b rate. The Republic must issue a new call for voluntary bids at each twenty-year review cycle until a voluntary host is confirmed through the §17.2.a process, at which point the temporary arrangement terminates under the §17.2.c transition window.</w:t>
      </w:r>
    </w:p>
    <w:p>
      <w:pPr>
        <w:spacing w:after="60" w:before="200"/>
        <w:ind w:left="431"/>
        <w:jc w:val="left"/>
      </w:pPr>
      <w:r>
        <w:rPr>
          <w:rFonts w:ascii="Courier New" w:cs="Courier New" w:eastAsia="Courier New" w:hAnsi="Courier New"/>
          <w:b/>
          <w:bCs/>
          <w:color w:val="1B2A4A"/>
          <w:sz w:val="18"/>
          <w:szCs w:val="18"/>
        </w:rPr>
        <w:t xml:space="preserve">§17.2.e  </w:t>
      </w:r>
      <w:r>
        <w:rPr>
          <w:rFonts w:ascii="Garamond" w:cs="Garamond" w:eastAsia="Garamond" w:hAnsi="Garamond"/>
          <w:b/>
          <w:bCs/>
          <w:i w:val="false"/>
          <w:iCs w:val="false"/>
          <w:color w:val="1B2A4A"/>
          <w:sz w:val="22"/>
          <w:szCs w:val="22"/>
        </w:rPr>
        <w:t xml:space="preserve">Federal Control Within Footprint</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specific registered footprint, the federal government has exclusive operational control. The host State or Territory may not tax federal operations, interfere with federal functions, or apply its own law to federal operations within the footprint.</w:t>
      </w:r>
    </w:p>
    <w:p>
      <w:pPr>
        <w:spacing w:after="60" w:before="200"/>
        <w:ind w:left="431"/>
        <w:jc w:val="left"/>
      </w:pPr>
      <w:r>
        <w:rPr>
          <w:rFonts w:ascii="Courier New" w:cs="Courier New" w:eastAsia="Courier New" w:hAnsi="Courier New"/>
          <w:b/>
          <w:bCs/>
          <w:color w:val="1B2A4A"/>
          <w:sz w:val="18"/>
          <w:szCs w:val="18"/>
        </w:rPr>
        <w:t xml:space="preserve">§17.2.f  </w:t>
      </w:r>
      <w:r>
        <w:rPr>
          <w:rFonts w:ascii="Garamond" w:cs="Garamond" w:eastAsia="Garamond" w:hAnsi="Garamond"/>
          <w:b/>
          <w:bCs/>
          <w:i w:val="false"/>
          <w:iCs w:val="false"/>
          <w:color w:val="1B2A4A"/>
          <w:sz w:val="22"/>
          <w:szCs w:val="22"/>
        </w:rPr>
        <w:t xml:space="preserve">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Persons residing within any area designated as the federal footprint under §17.3 retain full Article I rights enforceable in federal courts. The host State or Territory may not apply residency-based restrictions on federal footprint residents that conflict with Article I.</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holds property interests within States through Operational Use Rights rather than fee ownership.</w:t>
      </w:r>
    </w:p>
    <w:p>
      <w:pPr>
        <w:spacing w:after="60" w:before="200"/>
        <w:ind w:left="431"/>
        <w:jc w:val="left"/>
      </w:pPr>
      <w:r>
        <w:rPr>
          <w:rFonts w:ascii="Courier New" w:cs="Courier New" w:eastAsia="Courier New" w:hAnsi="Courier New"/>
          <w:b/>
          <w:bCs/>
          <w:color w:val="1B2A4A"/>
          <w:sz w:val="18"/>
          <w:szCs w:val="18"/>
        </w:rPr>
        <w:t xml:space="preserve">§17.3.a  </w:t>
      </w:r>
      <w:r>
        <w:rPr>
          <w:rFonts w:ascii="Garamond" w:cs="Garamond" w:eastAsia="Garamond" w:hAnsi="Garamond"/>
          <w:b/>
          <w:bCs/>
          <w:i w:val="false"/>
          <w:iCs w:val="false"/>
          <w:color w:val="1B2A4A"/>
          <w:sz w:val="22"/>
          <w:szCs w:val="22"/>
        </w:rPr>
        <w:t xml:space="preserve">Registration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federal operational use right must be registered on the NRS with precise geographic boundaries, authorized purpose, and termination conditions. There are no unregistered federal land claims. Federal property rights are explicit, bounded, and auditable.</w:t>
      </w:r>
    </w:p>
    <w:p>
      <w:pPr>
        <w:spacing w:after="60" w:before="200"/>
        <w:ind w:left="431"/>
        <w:jc w:val="left"/>
      </w:pPr>
      <w:r>
        <w:rPr>
          <w:rFonts w:ascii="Courier New" w:cs="Courier New" w:eastAsia="Courier New" w:hAnsi="Courier New"/>
          <w:b/>
          <w:bCs/>
          <w:color w:val="1B2A4A"/>
          <w:sz w:val="18"/>
          <w:szCs w:val="18"/>
        </w:rPr>
        <w:t xml:space="preserve">§17.3.b  </w:t>
      </w:r>
      <w:r>
        <w:rPr>
          <w:rFonts w:ascii="Garamond" w:cs="Garamond" w:eastAsia="Garamond" w:hAnsi="Garamond"/>
          <w:b/>
          <w:bCs/>
          <w:i w:val="false"/>
          <w:iCs w:val="false"/>
          <w:color w:val="1B2A4A"/>
          <w:sz w:val="22"/>
          <w:szCs w:val="22"/>
        </w:rPr>
        <w:t xml:space="preserve">Termination and Reversion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30 days. The land and all improvements revert to the host State automatically unless the federal government and host State negotiate a retention agreement within the statutory settlement window.</w:t>
      </w:r>
    </w:p>
    <w:p>
      <w:pPr>
        <w:spacing w:after="60" w:before="200"/>
        <w:ind w:left="431"/>
        <w:jc w:val="left"/>
      </w:pPr>
      <w:r>
        <w:rPr>
          <w:rFonts w:ascii="Courier New" w:cs="Courier New" w:eastAsia="Courier New" w:hAnsi="Courier New"/>
          <w:b/>
          <w:bCs/>
          <w:color w:val="1B2A4A"/>
          <w:sz w:val="18"/>
          <w:szCs w:val="18"/>
        </w:rPr>
        <w:t xml:space="preserve">§17.3.c  </w:t>
      </w:r>
      <w:r>
        <w:rPr>
          <w:rFonts w:ascii="Garamond" w:cs="Garamond" w:eastAsia="Garamond" w:hAnsi="Garamond"/>
          <w:b/>
          <w:bCs/>
          <w:i w:val="false"/>
          <w:iCs w:val="false"/>
          <w:color w:val="1B2A4A"/>
          <w:sz w:val="22"/>
          <w:szCs w:val="22"/>
        </w:rPr>
        <w:t xml:space="preserve">Improvements — Negotiated Settlement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improvements on federal Operational Use Rights default to reverting to the host State with the land. The federal government and host State may negotiate a different arrangement within the statutory reversion window. No agreement means automatic reversion at no cost. The burden is on the federal government to negotiate retention — not on the State to purchase back.</w:t>
      </w:r>
    </w:p>
    <w:p>
      <w:pPr>
        <w:spacing w:after="60" w:before="200"/>
        <w:ind w:left="431"/>
        <w:jc w:val="left"/>
      </w:pPr>
      <w:r>
        <w:rPr>
          <w:rFonts w:ascii="Courier New" w:cs="Courier New" w:eastAsia="Courier New" w:hAnsi="Courier New"/>
          <w:b/>
          <w:bCs/>
          <w:color w:val="1B2A4A"/>
          <w:sz w:val="18"/>
          <w:szCs w:val="18"/>
        </w:rPr>
        <w:t xml:space="preserve">§17.3.d  </w:t>
      </w:r>
      <w:r>
        <w:rPr>
          <w:rFonts w:ascii="Garamond" w:cs="Garamond" w:eastAsia="Garamond" w:hAnsi="Garamond"/>
          <w:b/>
          <w:bCs/>
          <w:i w:val="false"/>
          <w:iCs w:val="false"/>
          <w:color w:val="1B2A4A"/>
          <w:sz w:val="22"/>
          <w:szCs w:val="22"/>
        </w:rPr>
        <w:t xml:space="preserve">Disputes</w:t>
      </w:r>
    </w:p>
    <w:p>
      <w:pPr>
        <w:spacing w:after="120" w:before="0"/>
        <w:ind w:left="431"/>
        <w:jc w:val="both"/>
      </w:pPr>
      <w:r>
        <w:rPr>
          <w:rFonts w:ascii="Garamond" w:cs="Garamond" w:eastAsia="Garamond" w:hAnsi="Garamond"/>
          <w:b w:val="false"/>
          <w:bCs w:val="false"/>
          <w:i w:val="false"/>
          <w:iCs w:val="false"/>
          <w:color w:val="2a2520"/>
          <w:sz w:val="22"/>
          <w:szCs w:val="22"/>
        </w:rPr>
        <w:t xml:space="preserve">Disputes over use right boundaries, termination, or improvement valuation go to the SC on an expedited track. Neither party may occupy or alter disputed land during pending resolution. The expedited track ensures federal operational continuity — resolution must happen fast enough to maintain the relevant federal function.</w:t>
      </w:r>
    </w:p>
    <w:p>
      <w:pPr>
        <w:spacing w:after="60" w:before="200"/>
        <w:ind w:left="431"/>
        <w:jc w:val="left"/>
      </w:pPr>
      <w:r>
        <w:rPr>
          <w:rFonts w:ascii="Courier New" w:cs="Courier New" w:eastAsia="Courier New" w:hAnsi="Courier New"/>
          <w:b/>
          <w:bCs/>
          <w:color w:val="1B2A4A"/>
          <w:sz w:val="18"/>
          <w:szCs w:val="18"/>
        </w:rPr>
        <w:t xml:space="preserve">§17.3.e  </w:t>
      </w:r>
      <w:r>
        <w:rPr>
          <w:rFonts w:ascii="Garamond" w:cs="Garamond" w:eastAsia="Garamond" w:hAnsi="Garamond"/>
          <w:b/>
          <w:bCs/>
          <w:i w:val="false"/>
          <w:iCs w:val="false"/>
          <w:color w:val="1B2A4A"/>
          <w:sz w:val="22"/>
          <w:szCs w:val="22"/>
        </w:rPr>
        <w:t xml:space="preserve">Independence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achieves independence through a constitutional amendment under §15.4.a and a voluntary devolution agreement under §13.4, automatic reversion under §17.3.b does not immediately apply to Operational Use Rights within the departing territory. Use rights continue under the terms of the framework agreement and independence treaty negotiated under §13.4.b.</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The National Trust Administrator is independently confirmed under the §2.2.h escalation framework. The Trust is structurally distinct from the Community Land Trust: the NTA manages federal holdings; the CLT Administrator manages affordable residential land held in trust for Inhabitants.</w:t>
      </w:r>
    </w:p>
    <w:p>
      <w:pPr>
        <w:spacing w:after="60" w:before="200"/>
        <w:ind w:left="431"/>
        <w:jc w:val="left"/>
      </w:pPr>
      <w:r>
        <w:rPr>
          <w:rFonts w:ascii="Courier New" w:cs="Courier New" w:eastAsia="Courier New" w:hAnsi="Courier New"/>
          <w:b/>
          <w:bCs/>
          <w:color w:val="1B2A4A"/>
          <w:sz w:val="18"/>
          <w:szCs w:val="18"/>
        </w:rPr>
        <w:t xml:space="preserve">§17.4.a  </w:t>
      </w:r>
      <w:r>
        <w:rPr>
          <w:rFonts w:ascii="Garamond" w:cs="Garamond" w:eastAsia="Garamond" w:hAnsi="Garamond"/>
          <w:b/>
          <w:bCs/>
          <w:i w:val="false"/>
          <w:iCs w:val="false"/>
          <w:color w:val="1B2A4A"/>
          <w:sz w:val="22"/>
          <w:szCs w:val="22"/>
        </w:rPr>
        <w:t xml:space="preserve">Trust Nature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Trust lands are designated as permanent heritage, ecological, or public recreation resources. Trust designation requires a 2/3 vote of both chambers with host State consent. Trust lands are not subject to Operational Use Right termination. The stewardship obligation (§17.4.b) applies from the date of designation.</w:t>
      </w:r>
    </w:p>
    <w:p>
      <w:pPr>
        <w:spacing w:after="60" w:before="200"/>
        <w:ind w:left="431"/>
        <w:jc w:val="left"/>
      </w:pPr>
      <w:r>
        <w:rPr>
          <w:rFonts w:ascii="Courier New" w:cs="Courier New" w:eastAsia="Courier New" w:hAnsi="Courier New"/>
          <w:b/>
          <w:bCs/>
          <w:color w:val="1B2A4A"/>
          <w:sz w:val="18"/>
          <w:szCs w:val="18"/>
        </w:rPr>
        <w:t xml:space="preserve">§17.4.b  </w:t>
      </w:r>
      <w:r>
        <w:rPr>
          <w:rFonts w:ascii="Garamond" w:cs="Garamond" w:eastAsia="Garamond" w:hAnsi="Garamond"/>
          <w:b/>
          <w:bCs/>
          <w:i w:val="false"/>
          <w:iCs w:val="false"/>
          <w:color w:val="1B2A4A"/>
          <w:sz w:val="22"/>
          <w:szCs w:val="22"/>
        </w:rPr>
        <w:t xml:space="preserve">Stewardship Obligation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has an active, enforceable obligation to maintain ecological integrity and public accessibility of National Trust lands. EI monitors stewardship compliance annually, cross-referenced with §1.23 (Right to a Healthy Environment). Failure triggers a mandatory remediation plan reported to the NRS. The Trust carries active obligations — not passive title.</w:t>
      </w:r>
    </w:p>
    <w:p>
      <w:pPr>
        <w:spacing w:after="60" w:before="200"/>
        <w:ind w:left="431"/>
        <w:jc w:val="left"/>
      </w:pPr>
      <w:r>
        <w:rPr>
          <w:rFonts w:ascii="Courier New" w:cs="Courier New" w:eastAsia="Courier New" w:hAnsi="Courier New"/>
          <w:b/>
          <w:bCs/>
          <w:color w:val="1B2A4A"/>
          <w:sz w:val="18"/>
          <w:szCs w:val="18"/>
        </w:rPr>
        <w:t xml:space="preserve">§17.4.c  </w:t>
      </w:r>
      <w:r>
        <w:rPr>
          <w:rFonts w:ascii="Garamond" w:cs="Garamond" w:eastAsia="Garamond" w:hAnsi="Garamond"/>
          <w:b/>
          <w:bCs/>
          <w:i w:val="false"/>
          <w:iCs w:val="false"/>
          <w:color w:val="1B2A4A"/>
          <w:sz w:val="22"/>
          <w:szCs w:val="22"/>
        </w:rPr>
        <w:t xml:space="preserve">Co-Management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and indigenous nations may enter co-management agreements with the Domestic Affairs Council for National Trust lands within their borders or ancestral territories. Co-management does not transfer Trust ownership or alter the constitutional Trust status. Indigenous nations' participation reflects the §14.3 government-to-government relationship for lands within their ancestral territories.</w:t>
      </w:r>
    </w:p>
    <w:p>
      <w:pPr>
        <w:spacing w:after="60" w:before="200"/>
        <w:ind w:left="431"/>
        <w:jc w:val="left"/>
      </w:pPr>
      <w:r>
        <w:rPr>
          <w:rFonts w:ascii="Courier New" w:cs="Courier New" w:eastAsia="Courier New" w:hAnsi="Courier New"/>
          <w:b/>
          <w:bCs/>
          <w:color w:val="1B2A4A"/>
          <w:sz w:val="18"/>
          <w:szCs w:val="18"/>
        </w:rPr>
        <w:t xml:space="preserve">§17.4.d  </w:t>
      </w:r>
      <w:r>
        <w:rPr>
          <w:rFonts w:ascii="Garamond" w:cs="Garamond" w:eastAsia="Garamond" w:hAnsi="Garamond"/>
          <w:b/>
          <w:bCs/>
          <w:i w:val="false"/>
          <w:iCs w:val="false"/>
          <w:color w:val="1B2A4A"/>
          <w:sz w:val="22"/>
          <w:szCs w:val="22"/>
        </w:rPr>
        <w:t xml:space="preserve">Reclassification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Land may be removed from National Trust designation only by a 2/3 vote of both chambers with host State consent, followed by SC review within 60 days. The SC reviews whether the removal complies with any applicable international obligations. Removal is permanent — land removed from Trust does not automatically revert to Trust status.</w:t>
      </w:r>
    </w:p>
    <w:p>
      <w:pPr>
        <w:spacing w:after="60" w:before="200"/>
        <w:ind w:left="431"/>
        <w:jc w:val="left"/>
      </w:pPr>
      <w:r>
        <w:rPr>
          <w:rFonts w:ascii="Courier New" w:cs="Courier New" w:eastAsia="Courier New" w:hAnsi="Courier New"/>
          <w:b/>
          <w:bCs/>
          <w:color w:val="1B2A4A"/>
          <w:sz w:val="18"/>
          <w:szCs w:val="18"/>
        </w:rPr>
        <w:t xml:space="preserve">§17.4.e  </w:t>
      </w:r>
      <w:r>
        <w:rPr>
          <w:rFonts w:ascii="Garamond" w:cs="Garamond" w:eastAsia="Garamond" w:hAnsi="Garamond"/>
          <w:b/>
          <w:bCs/>
          <w:i w:val="false"/>
          <w:iCs w:val="false"/>
          <w:color w:val="1B2A4A"/>
          <w:sz w:val="22"/>
          <w:szCs w:val="22"/>
        </w:rPr>
        <w:t xml:space="preserve">International Sites</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Trust lands recognized under international conservation agreements require a 2/3 Senate vote to withdraw from the relevant international obligation before the national removal process begins. The Republic cannot quietly delist internationally recognized sites without formal democratic action.</w:t>
      </w:r>
    </w:p>
    <w:p>
      <w:pPr>
        <w:spacing w:after="60" w:before="200"/>
        <w:ind w:left="431"/>
        <w:jc w:val="left"/>
      </w:pPr>
      <w:r>
        <w:rPr>
          <w:rFonts w:ascii="Courier New" w:cs="Courier New" w:eastAsia="Courier New" w:hAnsi="Courier New"/>
          <w:b/>
          <w:bCs/>
          <w:color w:val="1B2A4A"/>
          <w:sz w:val="18"/>
          <w:szCs w:val="18"/>
        </w:rPr>
        <w:t xml:space="preserve">§17.4.f  </w:t>
      </w:r>
      <w:r>
        <w:rPr>
          <w:rFonts w:ascii="Garamond" w:cs="Garamond" w:eastAsia="Garamond" w:hAnsi="Garamond"/>
          <w:b/>
          <w:bCs/>
          <w:i w:val="false"/>
          <w:iCs w:val="false"/>
          <w:color w:val="1B2A4A"/>
          <w:sz w:val="22"/>
          <w:szCs w:val="22"/>
        </w:rPr>
        <w:t xml:space="preserve">Admission of New Trust Lands</w:t>
      </w:r>
    </w:p>
    <w:p>
      <w:pPr>
        <w:spacing w:after="120" w:before="0"/>
        <w:ind w:left="431"/>
        <w:jc w:val="both"/>
      </w:pPr>
      <w:r>
        <w:rPr>
          <w:rFonts w:ascii="Garamond" w:cs="Garamond" w:eastAsia="Garamond" w:hAnsi="Garamond"/>
          <w:b w:val="false"/>
          <w:bCs w:val="false"/>
          <w:i w:val="false"/>
          <w:iCs w:val="false"/>
          <w:color w:val="2a2520"/>
          <w:sz w:val="22"/>
          <w:szCs w:val="22"/>
        </w:rPr>
        <w:t xml:space="preserve">Land may be designated National Trust by a 2/3 vote of both chambers with host State consent (land in Territories: 2/3 vote alone). No executive action may designate Trust lands — designation is a legislative act.</w:t>
      </w:r>
    </w:p>
    <w:p>
      <w:pPr>
        <w:spacing w:after="60" w:before="200"/>
        <w:ind w:left="431"/>
        <w:jc w:val="left"/>
      </w:pPr>
      <w:r>
        <w:rPr>
          <w:rFonts w:ascii="Courier New" w:cs="Courier New" w:eastAsia="Courier New" w:hAnsi="Courier New"/>
          <w:b/>
          <w:bCs/>
          <w:color w:val="1B2A4A"/>
          <w:sz w:val="18"/>
          <w:szCs w:val="18"/>
        </w:rPr>
        <w:t xml:space="preserve">§17.4.g  </w:t>
      </w:r>
      <w:r>
        <w:rPr>
          <w:rFonts w:ascii="Garamond" w:cs="Garamond" w:eastAsia="Garamond" w:hAnsi="Garamond"/>
          <w:b/>
          <w:bCs/>
          <w:i w:val="false"/>
          <w:iCs w:val="false"/>
          <w:color w:val="1B2A4A"/>
          <w:sz w:val="22"/>
          <w:szCs w:val="22"/>
        </w:rPr>
        <w:t xml:space="preserve">National Trust Administrator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Administrator is a statutory independent officer whose independence is protected by statute. The Legislature creates the office by statute and establishes the Administrator's independence, term, and removal grounds through the enabling statute. The enabling statute may not reduce the stewardship obligations established in §17.4.a–f or diminish the EI's annual monitoring authority.</w:t>
      </w:r>
    </w:p>
    <w:p>
      <w:pPr>
        <w:spacing w:after="60" w:before="200"/>
        <w:ind w:left="431"/>
        <w:jc w:val="left"/>
      </w:pPr>
      <w:r>
        <w:rPr>
          <w:rFonts w:ascii="Courier New" w:cs="Courier New" w:eastAsia="Courier New" w:hAnsi="Courier New"/>
          <w:b/>
          <w:bCs/>
          <w:color w:val="1B2A4A"/>
          <w:sz w:val="18"/>
          <w:szCs w:val="18"/>
        </w:rPr>
        <w:t xml:space="preserve">§17.5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§17.3 and §17.4. Host State legislative consent is not required because Territories have no State legislature; the Territory's representative body and the LI are consulted before any use right is registered. The same constitutional principles and obligations apply.</w:t>
      </w:r>
    </w:p>
    <w:p>
      <w:pPr>
        <w:spacing w:after="60" w:before="200"/>
        <w:jc w:val="left"/>
      </w:pPr>
      <w:r>
        <w:rPr>
          <w:rFonts w:ascii="Garamond" w:cs="Garamond" w:eastAsia="Garamond" w:hAnsi="Garamond"/>
          <w:b/>
          <w:bCs/>
          <w:i w:val="false"/>
          <w:iCs w:val="false"/>
          <w:color w:val="1B2A4A"/>
          <w:sz w:val="34"/>
          <w:szCs w:val="34"/>
        </w:rPr>
        <w:t xml:space="preserve">Article XVIII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the structural distortion of democratic accountability through concentrated financial influence. The provisions of this section govern contributions, disclosure, and independent expenditures.</w:t>
      </w:r>
    </w:p>
    <w:p>
      <w:pPr>
        <w:spacing w:after="60" w:before="200"/>
        <w:ind w:left="431"/>
        <w:jc w:val="left"/>
      </w:pPr>
      <w:r>
        <w:rPr>
          <w:rFonts w:ascii="Courier New" w:cs="Courier New" w:eastAsia="Courier New" w:hAnsi="Courier New"/>
          <w:b/>
          <w:bCs/>
          <w:color w:val="1B2A4A"/>
          <w:sz w:val="18"/>
          <w:szCs w:val="18"/>
        </w:rPr>
        <w:t xml:space="preserve">§18.1.a  </w:t>
      </w:r>
      <w:r>
        <w:rPr>
          <w:rFonts w:ascii="Garamond" w:cs="Garamond" w:eastAsia="Garamond" w:hAnsi="Garamond"/>
          <w:b/>
          <w:bCs/>
          <w:i w:val="false"/>
          <w:iCs w:val="false"/>
          <w:color w:val="1B2A4A"/>
          <w:sz w:val="22"/>
          <w:szCs w:val="22"/>
        </w:rPr>
        <w:t xml:space="preserve">Financial Contributions as Electoral Acts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contributions above the de minimis threshold must be publicly disclosed to the Electoral Commission and published to the NRS. Anonymity in electoral finance is prohibited. The de minimis threshold may not be set so high that it effectively permits anonymous large-scale contributions.</w:t>
      </w:r>
    </w:p>
    <w:p>
      <w:pPr>
        <w:spacing w:after="60" w:before="200"/>
        <w:ind w:left="431"/>
        <w:jc w:val="left"/>
      </w:pPr>
      <w:r>
        <w:rPr>
          <w:rFonts w:ascii="Courier New" w:cs="Courier New" w:eastAsia="Courier New" w:hAnsi="Courier New"/>
          <w:b/>
          <w:bCs/>
          <w:color w:val="1B2A4A"/>
          <w:sz w:val="18"/>
          <w:szCs w:val="18"/>
        </w:rPr>
        <w:t xml:space="preserve">§18.1.b  </w:t>
      </w:r>
      <w:r>
        <w:rPr>
          <w:rFonts w:ascii="Garamond" w:cs="Garamond" w:eastAsia="Garamond" w:hAnsi="Garamond"/>
          <w:b/>
          <w:bCs/>
          <w:i w:val="false"/>
          <w:iCs w:val="false"/>
          <w:color w:val="1B2A4A"/>
          <w:sz w:val="22"/>
          <w:szCs w:val="22"/>
        </w:rPr>
        <w:t xml:space="preserve">Natural Persons Only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Individual contributions to electoral campaigns are capped at a level defined by statute. Corporate, organizational, and foreign contributions are prohibited. The prohibition on foreign contributions applies to any person or entity that is not a Republic citizen or resident.</w:t>
      </w:r>
    </w:p>
    <w:p>
      <w:pPr>
        <w:spacing w:after="60" w:before="200"/>
        <w:ind w:left="431"/>
        <w:jc w:val="left"/>
      </w:pPr>
      <w:r>
        <w:rPr>
          <w:rFonts w:ascii="Courier New" w:cs="Courier New" w:eastAsia="Courier New" w:hAnsi="Courier New"/>
          <w:b/>
          <w:bCs/>
          <w:color w:val="1B2A4A"/>
          <w:sz w:val="18"/>
          <w:szCs w:val="18"/>
        </w:rPr>
        <w:t xml:space="preserve">§18.1.c  </w:t>
      </w:r>
      <w:r>
        <w:rPr>
          <w:rFonts w:ascii="Garamond" w:cs="Garamond" w:eastAsia="Garamond" w:hAnsi="Garamond"/>
          <w:b/>
          <w:bCs/>
          <w:i w:val="false"/>
          <w:iCs w:val="false"/>
          <w:color w:val="1B2A4A"/>
          <w:sz w:val="22"/>
          <w:szCs w:val="22"/>
        </w:rPr>
        <w:t xml:space="preserve">Voter-Donor Parity</w:t>
      </w:r>
    </w:p>
    <w:p>
      <w:pPr>
        <w:spacing w:after="120" w:before="0"/>
        <w:ind w:left="431"/>
        <w:jc w:val="both"/>
      </w:pPr>
      <w:r>
        <w:rPr>
          <w:rFonts w:ascii="Garamond" w:cs="Garamond" w:eastAsia="Garamond" w:hAnsi="Garamond"/>
          <w:b w:val="false"/>
          <w:bCs w:val="false"/>
          <w:i w:val="false"/>
          <w:iCs w:val="false"/>
          <w:color w:val="2a2520"/>
          <w:sz w:val="22"/>
          <w:szCs w:val="22"/>
        </w:rPr>
        <w:t xml:space="preserve">Expenditures made independently of but in support of a campaign must also be disclosed. Independent expenditures are not subject to the same contribution limits as direct contributions, but are subject to the same disclosure requirements. Coordinated expenditures are treated as direct contributions.</w:t>
      </w:r>
    </w:p>
    <w:p>
      <w:pPr>
        <w:spacing w:after="60" w:before="200"/>
        <w:ind w:left="431"/>
        <w:jc w:val="left"/>
      </w:pPr>
      <w:r>
        <w:rPr>
          <w:rFonts w:ascii="Courier New" w:cs="Courier New" w:eastAsia="Courier New" w:hAnsi="Courier New"/>
          <w:b/>
          <w:bCs/>
          <w:color w:val="1B2A4A"/>
          <w:sz w:val="18"/>
          <w:szCs w:val="18"/>
        </w:rPr>
        <w:t xml:space="preserve">§18.1.d  </w:t>
      </w:r>
      <w:r>
        <w:rPr>
          <w:rFonts w:ascii="Garamond" w:cs="Garamond" w:eastAsia="Garamond" w:hAnsi="Garamond"/>
          <w:b/>
          <w:bCs/>
          <w:i w:val="false"/>
          <w:iCs w:val="false"/>
          <w:color w:val="1B2A4A"/>
          <w:sz w:val="22"/>
          <w:szCs w:val="22"/>
        </w:rPr>
        <w:t xml:space="preserve">Full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administers all electoral finance rules, reviews all disclosed contributions, publishes all disclosures to the NRS, and investigates suspected violations. The EI audits EC administration annually. Candidates who receive impermissible contributions must report them within 10 days and either return them or have them treated as undisclosed.</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are subject to conduct standards administered by the Electoral Commission. These standards govern factual accuracy, media access, and foreign interference — not political content or viewpoint.</w:t>
      </w:r>
    </w:p>
    <w:p>
      <w:pPr>
        <w:spacing w:after="60" w:before="200"/>
        <w:ind w:left="431"/>
        <w:jc w:val="left"/>
      </w:pPr>
      <w:r>
        <w:rPr>
          <w:rFonts w:ascii="Courier New" w:cs="Courier New" w:eastAsia="Courier New" w:hAnsi="Courier New"/>
          <w:b/>
          <w:bCs/>
          <w:color w:val="1B2A4A"/>
          <w:sz w:val="18"/>
          <w:szCs w:val="18"/>
        </w:rPr>
        <w:t xml:space="preserve">§18.2.a  </w:t>
      </w:r>
      <w:r>
        <w:rPr>
          <w:rFonts w:ascii="Garamond" w:cs="Garamond" w:eastAsia="Garamond" w:hAnsi="Garamond"/>
          <w:b/>
          <w:bCs/>
          <w:i w:val="false"/>
          <w:iCs w:val="false"/>
          <w:color w:val="1B2A4A"/>
          <w:sz w:val="22"/>
          <w:szCs w:val="22"/>
        </w:rPr>
        <w:t xml:space="preserve">Campaign Conduct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must campaign in compliance with published EC conduct standards: prohibition on demonstrably false statements of material fact about a candidate's recorded votes — specifically, claiming a vote was cast when it was not, or was not cast when it was; characterization, emphasis, and contextual framing of voting records are protected expression and are not subject to EC conduct review, prohibition on impersonating other candidates, prohibition on vote suppression activities, and prohibition on interference with the electoral administration process.</w:t>
      </w:r>
    </w:p>
    <w:p>
      <w:pPr>
        <w:spacing w:after="60" w:before="200"/>
        <w:ind w:left="431"/>
        <w:jc w:val="left"/>
      </w:pPr>
      <w:r>
        <w:rPr>
          <w:rFonts w:ascii="Courier New" w:cs="Courier New" w:eastAsia="Courier New" w:hAnsi="Courier New"/>
          <w:b/>
          <w:bCs/>
          <w:color w:val="1B2A4A"/>
          <w:sz w:val="18"/>
          <w:szCs w:val="18"/>
        </w:rPr>
        <w:t xml:space="preserve">§18.2.b  </w:t>
      </w:r>
      <w:r>
        <w:rPr>
          <w:rFonts w:ascii="Garamond" w:cs="Garamond" w:eastAsia="Garamond" w:hAnsi="Garamond"/>
          <w:b/>
          <w:bCs/>
          <w:i w:val="false"/>
          <w:iCs w:val="false"/>
          <w:color w:val="1B2A4A"/>
          <w:sz w:val="22"/>
          <w:szCs w:val="22"/>
        </w:rPr>
        <w:t xml:space="preserve">Media and Communication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Campaign communications must clearly identify their sponsor. Fabricated or deceptively edited communications about other candidates are a constitutional violation, not merely a campaign conduct infraction. The EC may require advance disclosure of paid media buys above a threshold defined by statute.</w:t>
      </w:r>
    </w:p>
    <w:p>
      <w:pPr>
        <w:spacing w:after="60" w:before="200"/>
        <w:ind w:left="431"/>
        <w:jc w:val="left"/>
      </w:pPr>
      <w:r>
        <w:rPr>
          <w:rFonts w:ascii="Courier New" w:cs="Courier New" w:eastAsia="Courier New" w:hAnsi="Courier New"/>
          <w:b/>
          <w:bCs/>
          <w:color w:val="1B2A4A"/>
          <w:sz w:val="18"/>
          <w:szCs w:val="18"/>
        </w:rPr>
        <w:t xml:space="preserve">§18.2.c  </w:t>
      </w:r>
      <w:r>
        <w:rPr>
          <w:rFonts w:ascii="Garamond" w:cs="Garamond" w:eastAsia="Garamond" w:hAnsi="Garamond"/>
          <w:b/>
          <w:bCs/>
          <w:i w:val="false"/>
          <w:iCs w:val="false"/>
          <w:color w:val="1B2A4A"/>
          <w:sz w:val="22"/>
          <w:szCs w:val="22"/>
        </w:rPr>
        <w:t xml:space="preserve">Foreign Interference Prohibition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attempt by a foreign government, foreign national, or foreign-controlled entity to influence a Republic election is a constitutional violation. The EI investigates and publishes findings. Candidates who knowingly accept foreign assistance — financial or operational — are disqualified from the election cycle in which the violation occurred.</w:t>
      </w:r>
    </w:p>
    <w:p>
      <w:pPr>
        <w:spacing w:after="60" w:before="200"/>
        <w:ind w:left="431"/>
        <w:jc w:val="left"/>
      </w:pPr>
      <w:r>
        <w:rPr>
          <w:rFonts w:ascii="Courier New" w:cs="Courier New" w:eastAsia="Courier New" w:hAnsi="Courier New"/>
          <w:b/>
          <w:bCs/>
          <w:color w:val="1B2A4A"/>
          <w:sz w:val="18"/>
          <w:szCs w:val="18"/>
        </w:rPr>
        <w:t xml:space="preserve">§18.2.d  </w:t>
      </w:r>
      <w:r>
        <w:rPr>
          <w:rFonts w:ascii="Garamond" w:cs="Garamond" w:eastAsia="Garamond" w:hAnsi="Garamond"/>
          <w:b/>
          <w:bCs/>
          <w:i w:val="false"/>
          <w:iCs w:val="false"/>
          <w:color w:val="1B2A4A"/>
          <w:sz w:val="22"/>
          <w:szCs w:val="22"/>
        </w:rPr>
        <w:t xml:space="preserve">Incumbent Advantage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officeholders standing for election in a different race must observe strict separation between their official functions and their campaign. Official resources — staff, communications infrastructure, government platforms — may not be used for campaign purposes. The EI monitors compliance and publishes findings.</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Participation is voluntary; the system is structured to ensure candidates who participate can mount effective campaigns.</w:t>
      </w:r>
    </w:p>
    <w:p>
      <w:pPr>
        <w:spacing w:after="60" w:before="200"/>
        <w:ind w:left="431"/>
        <w:jc w:val="left"/>
      </w:pPr>
      <w:r>
        <w:rPr>
          <w:rFonts w:ascii="Courier New" w:cs="Courier New" w:eastAsia="Courier New" w:hAnsi="Courier New"/>
          <w:b/>
          <w:bCs/>
          <w:color w:val="1B2A4A"/>
          <w:sz w:val="18"/>
          <w:szCs w:val="18"/>
        </w:rPr>
        <w:t xml:space="preserve">§18.3.a  </w:t>
      </w:r>
      <w:r>
        <w:rPr>
          <w:rFonts w:ascii="Garamond" w:cs="Garamond" w:eastAsia="Garamond" w:hAnsi="Garamond"/>
          <w:b/>
          <w:bCs/>
          <w:i w:val="false"/>
          <w:iCs w:val="false"/>
          <w:color w:val="1B2A4A"/>
          <w:sz w:val="22"/>
          <w:szCs w:val="22"/>
        </w:rPr>
        <w:t xml:space="preserve">Public Financing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Consistent with §10.3.a, the public financing system provides all registered candidates with equal baseline funding. Candidates who accept public financing are subject to spending limits defined by statute. The EC administers disbursement; no allocation may advantage incumbents or established parties.</w:t>
      </w:r>
    </w:p>
    <w:p>
      <w:pPr>
        <w:spacing w:after="60" w:before="200"/>
        <w:ind w:left="431"/>
        <w:jc w:val="left"/>
      </w:pPr>
      <w:r>
        <w:rPr>
          <w:rFonts w:ascii="Courier New" w:cs="Courier New" w:eastAsia="Courier New" w:hAnsi="Courier New"/>
          <w:b/>
          <w:bCs/>
          <w:color w:val="1B2A4A"/>
          <w:sz w:val="18"/>
          <w:szCs w:val="18"/>
        </w:rPr>
        <w:t xml:space="preserve">§18.3.b  </w:t>
      </w:r>
      <w:r>
        <w:rPr>
          <w:rFonts w:ascii="Garamond" w:cs="Garamond" w:eastAsia="Garamond" w:hAnsi="Garamond"/>
          <w:b/>
          <w:bCs/>
          <w:i w:val="false"/>
          <w:iCs w:val="false"/>
          <w:color w:val="1B2A4A"/>
          <w:sz w:val="22"/>
          <w:szCs w:val="22"/>
        </w:rPr>
        <w:t xml:space="preserve">Matching Funds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by statute create a matching funds component providing additional public funds that match small contributions from citizens — amplifying the influence of small donors relative to large ones. Matching thresholds, caps, and ratios are defined by statute and must apply equally to all participating candidates.</w:t>
      </w:r>
    </w:p>
    <w:p>
      <w:pPr>
        <w:spacing w:after="60" w:before="200"/>
        <w:ind w:left="431"/>
        <w:jc w:val="left"/>
      </w:pPr>
      <w:r>
        <w:rPr>
          <w:rFonts w:ascii="Courier New" w:cs="Courier New" w:eastAsia="Courier New" w:hAnsi="Courier New"/>
          <w:b/>
          <w:bCs/>
          <w:color w:val="1B2A4A"/>
          <w:sz w:val="18"/>
          <w:szCs w:val="18"/>
        </w:rPr>
        <w:t xml:space="preserve">§18.3.c  </w:t>
      </w:r>
      <w:r>
        <w:rPr>
          <w:rFonts w:ascii="Garamond" w:cs="Garamond" w:eastAsia="Garamond" w:hAnsi="Garamond"/>
          <w:b/>
          <w:bCs/>
          <w:i w:val="false"/>
          <w:iCs w:val="false"/>
          <w:color w:val="1B2A4A"/>
          <w:sz w:val="22"/>
          <w:szCs w:val="22"/>
        </w:rPr>
        <w:t xml:space="preserve">EC Allocation of Public Funds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EC allocates public campaign funds based on objective criteria published before each election cycle. Allocation criteria may include: number of qualifying signatures, prior election performance, demonstrated candidacy viability. No criterion may favor incumbents or penalize first-time candidates on the basis of their outsider status.</w:t>
      </w:r>
    </w:p>
    <w:p>
      <w:pPr>
        <w:spacing w:after="60" w:before="200"/>
        <w:ind w:left="431"/>
        <w:jc w:val="left"/>
      </w:pPr>
      <w:r>
        <w:rPr>
          <w:rFonts w:ascii="Courier New" w:cs="Courier New" w:eastAsia="Courier New" w:hAnsi="Courier New"/>
          <w:b/>
          <w:bCs/>
          <w:color w:val="1B2A4A"/>
          <w:sz w:val="18"/>
          <w:szCs w:val="18"/>
        </w:rPr>
        <w:t xml:space="preserve">§18.3.d  </w:t>
      </w:r>
      <w:r>
        <w:rPr>
          <w:rFonts w:ascii="Garamond" w:cs="Garamond" w:eastAsia="Garamond" w:hAnsi="Garamond"/>
          <w:b/>
          <w:bCs/>
          <w:i w:val="false"/>
          <w:iCs w:val="false"/>
          <w:color w:val="1B2A4A"/>
          <w:sz w:val="22"/>
          <w:szCs w:val="22"/>
        </w:rPr>
        <w:t xml:space="preserve">Electoral Finance — Not Protected Speech</w:t>
      </w:r>
    </w:p>
    <w:p>
      <w:pPr>
        <w:spacing w:after="120" w:before="0"/>
        <w:ind w:left="431"/>
        <w:jc w:val="both"/>
      </w:pPr>
      <w:r>
        <w:rPr>
          <w:rFonts w:ascii="Garamond" w:cs="Garamond" w:eastAsia="Garamond" w:hAnsi="Garamond"/>
          <w:b w:val="false"/>
          <w:bCs w:val="false"/>
          <w:i w:val="false"/>
          <w:iCs w:val="false"/>
          <w:color w:val="2a2520"/>
          <w:sz w:val="22"/>
          <w:szCs w:val="22"/>
        </w:rPr>
        <w:t xml:space="preserve">Financial contributions to electoral campaigns are not constitutionally protected speech under §1.5, and are not protected as associational activity under §1.8. The regulation of electoral finance is a matter of democratic integrity explicitly reserved from both speech and associational protection.</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The Activation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ratification by the required threshold established in §19.1.a. Ratification creates binding constitutional obligations on all governmental actors, existing institutions, and successor entities within the Republic's jurisdiction from Day Zero. The ratification process, institutional accommodation, and multi-founder formation procedures are governed by §19.1.a, §19.1.b, and §19.1.c respectively.</w:t>
      </w:r>
    </w:p>
    <w:p>
      <w:pPr>
        <w:spacing w:after="60" w:before="200"/>
        <w:ind w:left="431"/>
        <w:jc w:val="left"/>
      </w:pPr>
      <w:r>
        <w:rPr>
          <w:rFonts w:ascii="Courier New" w:cs="Courier New" w:eastAsia="Courier New" w:hAnsi="Courier New"/>
          <w:b/>
          <w:bCs/>
          <w:color w:val="1B2A4A"/>
          <w:sz w:val="18"/>
          <w:szCs w:val="18"/>
        </w:rPr>
        <w:t xml:space="preserve">§19.1.a  </w:t>
      </w:r>
      <w:r>
        <w:rPr>
          <w:rFonts w:ascii="Garamond" w:cs="Garamond" w:eastAsia="Garamond" w:hAnsi="Garamond"/>
          <w:b/>
          <w:bCs/>
          <w:i w:val="false"/>
          <w:iCs w:val="false"/>
          <w:color w:val="1B2A4A"/>
          <w:sz w:val="22"/>
          <w:szCs w:val="22"/>
        </w:rPr>
        <w:t xml:space="preserve">Activation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Activated upon: (1) interim EC certification that the NVS is operational and meets §16.3; and (2) a national ratification vote achieving 60% affirmative support with at least 50% participation. The NVS certification requirement ensures the system that conducts the ratification vote meets constitutional standards before the vote itself.</w:t>
      </w:r>
    </w:p>
    <w:p>
      <w:pPr>
        <w:spacing w:after="60" w:before="200"/>
        <w:ind w:left="431"/>
        <w:jc w:val="left"/>
      </w:pPr>
      <w:r>
        <w:rPr>
          <w:rFonts w:ascii="Courier New" w:cs="Courier New" w:eastAsia="Courier New" w:hAnsi="Courier New"/>
          <w:b/>
          <w:bCs/>
          <w:color w:val="1B2A4A"/>
          <w:sz w:val="18"/>
          <w:szCs w:val="18"/>
        </w:rPr>
        <w:t xml:space="preserve">§19.1.b  </w:t>
      </w:r>
      <w:r>
        <w:rPr>
          <w:rFonts w:ascii="Garamond" w:cs="Garamond" w:eastAsia="Garamond" w:hAnsi="Garamond"/>
          <w:b/>
          <w:bCs/>
          <w:i w:val="false"/>
          <w:iCs w:val="false"/>
          <w:color w:val="1B2A4A"/>
          <w:sz w:val="22"/>
          <w:szCs w:val="22"/>
        </w:rPr>
        <w:t xml:space="preserve">Institutional Accommodation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ratifying polity maintains existing institutions overlapping with constitutional mechanisms, the Legislature must by statute within two years of Phase 4 define their relationship with the constitutional framework. Non-diminishment: accommodation statutes may not reduce legal standing of pre-existing governance structures below their pre-Phase 4 status. 2/3 of both chambers required to amend.</w:t>
      </w:r>
    </w:p>
    <w:p>
      <w:pPr>
        <w:spacing w:after="60" w:before="200"/>
        <w:ind w:left="431"/>
        <w:jc w:val="left"/>
      </w:pPr>
      <w:r>
        <w:rPr>
          <w:rFonts w:ascii="Courier New" w:cs="Courier New" w:eastAsia="Courier New" w:hAnsi="Courier New"/>
          <w:b/>
          <w:bCs/>
          <w:color w:val="1B2A4A"/>
          <w:sz w:val="18"/>
          <w:szCs w:val="18"/>
        </w:rPr>
        <w:t xml:space="preserve">§19.1.c  </w:t>
      </w:r>
      <w:r>
        <w:rPr>
          <w:rFonts w:ascii="Garamond" w:cs="Garamond" w:eastAsia="Garamond" w:hAnsi="Garamond"/>
          <w:b/>
          <w:bCs/>
          <w:i w:val="false"/>
          <w:iCs w:val="false"/>
          <w:color w:val="1B2A4A"/>
          <w:sz w:val="22"/>
          <w:szCs w:val="22"/>
        </w:rPr>
        <w:t xml:space="preserve">Multi-Founder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multiple sovereign nations simultaneously pool sovereignty through a treaty of union, transition provisions adapt: joint Phase 0/1 certification, consolidated debt assumption, combined Day Zero NRS publication of all founding sovereigns' records, and proportional obligation assumption per treaty terms.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by the interim EC. Upon ratification: all laws conflicting with the Individual Sovereignty Floor are immediately null and void; all public assets transfer to the NRS; the 24-month Transition Window begins. The Republic exists the moment the EC certifies the threshold. The Transition Window is the outer legal boundary for transition-related authorities. Phase 4 activates when the phases are complete, which will ordinarily precede the window's expiry; the remaining window provides a defined period for outstanding transition administration, legal continuity, and institutional stabilization.</w:t>
      </w:r>
    </w:p>
    <w:p>
      <w:pPr>
        <w:spacing w:after="60" w:before="200"/>
        <w:ind w:left="431"/>
        <w:jc w:val="left"/>
      </w:pPr>
      <w:r>
        <w:rPr>
          <w:rFonts w:ascii="Courier New" w:cs="Courier New" w:eastAsia="Courier New" w:hAnsi="Courier New"/>
          <w:b/>
          <w:bCs/>
          <w:color w:val="1B2A4A"/>
          <w:sz w:val="18"/>
          <w:szCs w:val="18"/>
        </w:rPr>
        <w:t xml:space="preserve">§19.3  </w:t>
      </w:r>
      <w:r>
        <w:rPr>
          <w:rFonts w:ascii="Garamond" w:cs="Garamond" w:eastAsia="Garamond" w:hAnsi="Garamond"/>
          <w:b/>
          <w:bCs/>
          <w:i w:val="false"/>
          <w:iCs w:val="false"/>
          <w:color w:val="1B2A4A"/>
          <w:sz w:val="22"/>
          <w:szCs w:val="22"/>
        </w:rPr>
        <w:t xml:space="preserve">The Four-Phase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is implemented through a 24-month, four-phase transition process established in §19.3.a through §19.3.e.</w:t>
      </w:r>
    </w:p>
    <w:p>
      <w:pPr>
        <w:spacing w:after="60" w:before="200"/>
        <w:ind w:left="431"/>
        <w:jc w:val="left"/>
      </w:pPr>
      <w:r>
        <w:rPr>
          <w:rFonts w:ascii="Courier New" w:cs="Courier New" w:eastAsia="Courier New" w:hAnsi="Courier New"/>
          <w:b/>
          <w:bCs/>
          <w:color w:val="1B2A4A"/>
          <w:sz w:val="18"/>
          <w:szCs w:val="18"/>
        </w:rPr>
        <w:t xml:space="preserve">§19.3.a  </w:t>
      </w:r>
      <w:r>
        <w:rPr>
          <w:rFonts w:ascii="Garamond" w:cs="Garamond" w:eastAsia="Garamond" w:hAnsi="Garamond"/>
          <w:b/>
          <w:bCs/>
          <w:i w:val="false"/>
          <w:iCs w:val="false"/>
          <w:color w:val="1B2A4A"/>
          <w:sz w:val="22"/>
          <w:szCs w:val="22"/>
        </w:rPr>
        <w:t xml:space="preserve">Phase 0 — Pre-Ratification Preparation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0 is the pre-ratification preparation period. The interim Electoral Commission is constituted, the National Voting System is certified operational, and the joint Inspectorate panel is formed — all before any ratification vote occurs.</w:t>
      </w:r>
    </w:p>
    <w:p>
      <w:pPr>
        <w:spacing w:after="60" w:before="200"/>
        <w:ind w:left="431"/>
        <w:jc w:val="left"/>
      </w:pPr>
      <w:r>
        <w:rPr>
          <w:rFonts w:ascii="Courier New" w:cs="Courier New" w:eastAsia="Courier New" w:hAnsi="Courier New"/>
          <w:b/>
          <w:bCs/>
          <w:color w:val="1B2A4A"/>
          <w:sz w:val="18"/>
          <w:szCs w:val="18"/>
        </w:rPr>
        <w:t xml:space="preserve">§19.3.b  </w:t>
      </w:r>
      <w:r>
        <w:rPr>
          <w:rFonts w:ascii="Garamond" w:cs="Garamond" w:eastAsia="Garamond" w:hAnsi="Garamond"/>
          <w:b/>
          <w:bCs/>
          <w:i w:val="false"/>
          <w:iCs w:val="false"/>
          <w:color w:val="1B2A4A"/>
          <w:sz w:val="22"/>
          <w:szCs w:val="22"/>
        </w:rPr>
        <w:t xml:space="preserve">Phase 1 — Emergency Stabilization (Days 1–90)</w:t>
      </w:r>
    </w:p>
    <w:p>
      <w:pPr>
        <w:spacing w:after="120" w:before="0"/>
        <w:ind w:left="431"/>
        <w:jc w:val="both"/>
      </w:pPr>
      <w:r>
        <w:rPr>
          <w:rFonts w:ascii="Garamond" w:cs="Garamond" w:eastAsia="Garamond" w:hAnsi="Garamond"/>
          <w:b w:val="false"/>
          <w:bCs w:val="false"/>
          <w:i w:val="false"/>
          <w:iCs w:val="false"/>
          <w:color w:val="2a2520"/>
          <w:sz w:val="22"/>
          <w:szCs w:val="22"/>
        </w:rPr>
        <w:t xml:space="preserve">Existing government officials serve as caretakers under §19.4. The joint Inspectorate panel assumes oversight. The NRS begins recording all government acts. Priority functions: social state system continuity under §10.1, public safety, and essential services. No new permanent legislation.</w:t>
      </w:r>
    </w:p>
    <w:p>
      <w:pPr>
        <w:spacing w:after="60" w:before="200"/>
        <w:ind w:left="431"/>
        <w:jc w:val="left"/>
      </w:pPr>
      <w:r>
        <w:rPr>
          <w:rFonts w:ascii="Courier New" w:cs="Courier New" w:eastAsia="Courier New" w:hAnsi="Courier New"/>
          <w:b/>
          <w:bCs/>
          <w:color w:val="1B2A4A"/>
          <w:sz w:val="18"/>
          <w:szCs w:val="18"/>
        </w:rPr>
        <w:t xml:space="preserve">§19.3.c  </w:t>
      </w:r>
      <w:r>
        <w:rPr>
          <w:rFonts w:ascii="Garamond" w:cs="Garamond" w:eastAsia="Garamond" w:hAnsi="Garamond"/>
          <w:b/>
          <w:bCs/>
          <w:i w:val="false"/>
          <w:iCs w:val="false"/>
          <w:color w:val="1B2A4A"/>
          <w:sz w:val="22"/>
          <w:szCs w:val="22"/>
        </w:rPr>
        <w:t xml:space="preserve">Phase 2 — Institutional Construction (Days 91–270)</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2 (Days 91–270) is Institutional Construction. Statehood Audits are conducted for all entering territories. Inspectorates are formally constituted. The Candidate Register for MA board members and the NRS Panel administrators of the Digital Infrastructure Commission are appointed. Digital Infrastructure Commission Elections Panel is certified as operational. The National Voting System is fully deployed for citizen registration. Phase 2 ends at Day 270.</w:t>
      </w:r>
    </w:p>
    <w:p>
      <w:pPr>
        <w:spacing w:after="60" w:before="200"/>
        <w:ind w:left="431"/>
        <w:jc w:val="left"/>
      </w:pPr>
      <w:r>
        <w:rPr>
          <w:rFonts w:ascii="Courier New" w:cs="Courier New" w:eastAsia="Courier New" w:hAnsi="Courier New"/>
          <w:b/>
          <w:bCs/>
          <w:color w:val="1B2A4A"/>
          <w:sz w:val="18"/>
          <w:szCs w:val="18"/>
        </w:rPr>
        <w:t xml:space="preserve">§19.3.d  </w:t>
      </w:r>
      <w:r>
        <w:rPr>
          <w:rFonts w:ascii="Garamond" w:cs="Garamond" w:eastAsia="Garamond" w:hAnsi="Garamond"/>
          <w:b/>
          <w:bCs/>
          <w:i w:val="false"/>
          <w:iCs w:val="false"/>
          <w:color w:val="1B2A4A"/>
          <w:sz w:val="22"/>
          <w:szCs w:val="22"/>
        </w:rPr>
        <w:t xml:space="preserve">Phase 3 — First Elections (Days 271–450)</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3 (Days 271-450) is First Elections. The first National Election Day. Supreme Court justices elected through the open-candidacy judicial selection process. Electoral Commission inaugural elections. Phase 3 ends when the first the Legislature is sworn in and the first executives take office — the moment at which the Republic's constitutional design becomes self-sustaining.</w:t>
      </w:r>
    </w:p>
    <w:p>
      <w:pPr>
        <w:spacing w:after="60" w:before="200"/>
        <w:ind w:left="431"/>
        <w:jc w:val="left"/>
      </w:pPr>
      <w:r>
        <w:rPr>
          <w:rFonts w:ascii="Courier New" w:cs="Courier New" w:eastAsia="Courier New" w:hAnsi="Courier New"/>
          <w:b/>
          <w:bCs/>
          <w:color w:val="1B2A4A"/>
          <w:sz w:val="18"/>
          <w:szCs w:val="18"/>
        </w:rPr>
        <w:t xml:space="preserve">§19.3.e  </w:t>
      </w:r>
      <w:r>
        <w:rPr>
          <w:rFonts w:ascii="Garamond" w:cs="Garamond" w:eastAsia="Garamond" w:hAnsi="Garamond"/>
          <w:b/>
          <w:bCs/>
          <w:i w:val="false"/>
          <w:iCs w:val="false"/>
          <w:color w:val="1B2A4A"/>
          <w:sz w:val="22"/>
          <w:szCs w:val="22"/>
        </w:rPr>
        <w:t xml:space="preserve">Phase 4 — Full Constitutional Operation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Beginning the day the first Legislature convenes and the first executives take the constitutional oath. From Phase 4, all constitutional provisions are fully operative. The 24-month Transition Window concludes at the end of Phase 4.</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supervised by joint Inspectorate panel: one representative per Inspectorate, appointed by their respective IGs. The panel dissolves automatically at the Transition Window's conclusion.</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establish a Classification Review Commission within 90 days of Phase 4 activation. Commission applies §9.5 criteria to predecessor classified material: legitimately classified material enters the §9.5 duration framework from Day Zero; improperly classified material (concealing violations or policy decisions) is immediately declassified and published to the NRS. Any person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not a discretionary choice.</w:t>
      </w:r>
    </w:p>
    <w:p>
      <w:pPr>
        <w:spacing w:after="60" w:before="200"/>
        <w:ind w:left="431"/>
        <w:jc w:val="left"/>
      </w:pPr>
      <w:r>
        <w:rPr>
          <w:rFonts w:ascii="Courier New" w:cs="Courier New" w:eastAsia="Courier New" w:hAnsi="Courier New"/>
          <w:b/>
          <w:bCs/>
          <w:color w:val="1B2A4A"/>
          <w:sz w:val="18"/>
          <w:szCs w:val="18"/>
        </w:rPr>
        <w:t xml:space="preserve">§19.6.a  </w:t>
      </w:r>
      <w:r>
        <w:rPr>
          <w:rFonts w:ascii="Garamond" w:cs="Garamond" w:eastAsia="Garamond" w:hAnsi="Garamond"/>
          <w:b/>
          <w:bCs/>
          <w:i w:val="false"/>
          <w:iCs w:val="false"/>
          <w:color w:val="1B2A4A"/>
          <w:sz w:val="22"/>
          <w:szCs w:val="22"/>
        </w:rPr>
        <w:t xml:space="preserve">Debt Assumption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all legally recognized debts of the prior government. The Republic does not inherit a clean slate — it inherits what was borrowed. Selective repudiation of prior obligations is not available as a founding act.</w:t>
      </w:r>
    </w:p>
    <w:p>
      <w:pPr>
        <w:spacing w:after="60" w:before="200"/>
        <w:ind w:left="431"/>
        <w:jc w:val="left"/>
      </w:pPr>
      <w:r>
        <w:rPr>
          <w:rFonts w:ascii="Courier New" w:cs="Courier New" w:eastAsia="Courier New" w:hAnsi="Courier New"/>
          <w:b/>
          <w:bCs/>
          <w:color w:val="1B2A4A"/>
          <w:sz w:val="18"/>
          <w:szCs w:val="18"/>
        </w:rPr>
        <w:t xml:space="preserve">§19.6.b  </w:t>
      </w:r>
      <w:r>
        <w:rPr>
          <w:rFonts w:ascii="Garamond" w:cs="Garamond" w:eastAsia="Garamond" w:hAnsi="Garamond"/>
          <w:b/>
          <w:bCs/>
          <w:i w:val="false"/>
          <w:iCs w:val="false"/>
          <w:color w:val="1B2A4A"/>
          <w:sz w:val="22"/>
          <w:szCs w:val="22"/>
        </w:rPr>
        <w:t xml:space="preserve">Active Military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Active military operations of the prior government continue under existing authorization until the §12.2 Tier framework can apply. The President, once inaugurated, must certify each active operation under the appropriate Tier within 14 days or begin orderly cessation. Operations not certified within 60 days of inauguration cease unless the Legislature grants a one-time extension. No indefinite continuation of predecessor-authorized military action.</w:t>
      </w:r>
    </w:p>
    <w:p>
      <w:pPr>
        <w:spacing w:after="60" w:before="200"/>
        <w:ind w:left="431"/>
        <w:jc w:val="left"/>
      </w:pPr>
      <w:r>
        <w:rPr>
          <w:rFonts w:ascii="Courier New" w:cs="Courier New" w:eastAsia="Courier New" w:hAnsi="Courier New"/>
          <w:b/>
          <w:bCs/>
          <w:color w:val="1B2A4A"/>
          <w:sz w:val="18"/>
          <w:szCs w:val="18"/>
        </w:rPr>
        <w:t xml:space="preserve">§19.6.c  </w:t>
      </w:r>
      <w:r>
        <w:rPr>
          <w:rFonts w:ascii="Garamond" w:cs="Garamond" w:eastAsia="Garamond" w:hAnsi="Garamond"/>
          <w:b/>
          <w:bCs/>
          <w:i w:val="false"/>
          <w:iCs w:val="false"/>
          <w:color w:val="1B2A4A"/>
          <w:sz w:val="22"/>
          <w:szCs w:val="22"/>
        </w:rPr>
        <w:t xml:space="preserve">Social Insurance Programs</w:t>
      </w:r>
    </w:p>
    <w:p>
      <w:pPr>
        <w:spacing w:after="120" w:before="0"/>
        <w:ind w:left="431"/>
        <w:jc w:val="both"/>
      </w:pPr>
      <w:r>
        <w:rPr>
          <w:rFonts w:ascii="Garamond" w:cs="Garamond" w:eastAsia="Garamond" w:hAnsi="Garamond"/>
          <w:b w:val="false"/>
          <w:bCs w:val="false"/>
          <w:i w:val="false"/>
          <w:iCs w:val="false"/>
          <w:color w:val="2a2520"/>
          <w:sz w:val="22"/>
          <w:szCs w:val="22"/>
        </w:rPr>
        <w:t xml:space="preserve">Retirement pensions, disability benefits, health coverage — of the prior government continue uninterrupted during the Transition Window. The Republic does not create a gap in social protection as part of its founding.</w:t>
      </w:r>
    </w:p>
    <w:p>
      <w:pPr>
        <w:spacing w:after="60" w:before="200"/>
        <w:ind w:left="431"/>
        <w:jc w:val="left"/>
      </w:pPr>
      <w:r>
        <w:rPr>
          <w:rFonts w:ascii="Courier New" w:cs="Courier New" w:eastAsia="Courier New" w:hAnsi="Courier New"/>
          <w:b/>
          <w:bCs/>
          <w:color w:val="1B2A4A"/>
          <w:sz w:val="18"/>
          <w:szCs w:val="18"/>
        </w:rPr>
        <w:t xml:space="preserve">§19.6.d  </w:t>
      </w:r>
      <w:r>
        <w:rPr>
          <w:rFonts w:ascii="Garamond" w:cs="Garamond" w:eastAsia="Garamond" w:hAnsi="Garamond"/>
          <w:b/>
          <w:bCs/>
          <w:i w:val="false"/>
          <w:iCs w:val="false"/>
          <w:color w:val="1B2A4A"/>
          <w:sz w:val="22"/>
          <w:szCs w:val="22"/>
        </w:rPr>
        <w:t xml:space="preserve">Veterans and National Service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inherits and honors all benefit obligations to persons who served in military or national service roles under the prior government. These are existing contractual commitments of the sovereign that survive transition as continuity-of-state. Legislature must pass a Veterans and National Service Benefits Act within the first budget cycle following Phase 4 activation.</w:t>
      </w:r>
    </w:p>
    <w:p>
      <w:pPr>
        <w:spacing w:after="60" w:before="200"/>
        <w:ind w:left="431"/>
        <w:jc w:val="left"/>
      </w:pPr>
      <w:r>
        <w:rPr>
          <w:rFonts w:ascii="Courier New" w:cs="Courier New" w:eastAsia="Courier New" w:hAnsi="Courier New"/>
          <w:b/>
          <w:bCs/>
          <w:color w:val="1B2A4A"/>
          <w:sz w:val="18"/>
          <w:szCs w:val="18"/>
        </w:rPr>
        <w:t xml:space="preserve">§19.6.e  </w:t>
      </w:r>
      <w:r>
        <w:rPr>
          <w:rFonts w:ascii="Garamond" w:cs="Garamond" w:eastAsia="Garamond" w:hAnsi="Garamond"/>
          <w:b/>
          <w:bCs/>
          <w:i w:val="false"/>
          <w:iCs w:val="false"/>
          <w:color w:val="1B2A4A"/>
          <w:sz w:val="22"/>
          <w:szCs w:val="22"/>
        </w:rPr>
        <w:t xml:space="preserve">Constitutional Claims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immediate nullification of laws conflicting with the Individual Sovereignty Floor creates constitutional disputes that existing courts may not have capacity to absorb. The Legislature must by statute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§19.6.f  </w:t>
      </w:r>
      <w:r>
        <w:rPr>
          <w:rFonts w:ascii="Garamond" w:cs="Garamond" w:eastAsia="Garamond" w:hAnsi="Garamond"/>
          <w:b/>
          <w:bCs/>
          <w:i w:val="false"/>
          <w:iCs w:val="false"/>
          <w:color w:val="1B2A4A"/>
          <w:sz w:val="22"/>
          <w:szCs w:val="22"/>
        </w:rPr>
        <w:t xml:space="preserve">Legal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Federated Republic is the legal continuation of the prior government as a matter of international law. All international obligations, financial commitments, treaty relationships, and contractual obligations of the prior government as of Day Zero are assumed by the Republic as its successor sovereign.</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Transition-Period Territory and Subdivision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 period provides specific mechanisms for territories seeking statehood and for prior-government states seeking subdivision. These mechanisms operate alongside the standard Phase structure and do not delay Phase activation.</w:t>
      </w:r>
    </w:p>
    <w:p>
      <w:pPr>
        <w:spacing w:after="60" w:before="200"/>
        <w:ind w:left="431"/>
        <w:jc w:val="left"/>
      </w:pPr>
      <w:r>
        <w:rPr>
          <w:rFonts w:ascii="Courier New" w:cs="Courier New" w:eastAsia="Courier New" w:hAnsi="Courier New"/>
          <w:b/>
          <w:bCs/>
          <w:color w:val="1B2A4A"/>
          <w:sz w:val="18"/>
          <w:szCs w:val="18"/>
        </w:rPr>
        <w:t xml:space="preserve">§19.7.a  </w:t>
      </w:r>
      <w:r>
        <w:rPr>
          <w:rFonts w:ascii="Garamond" w:cs="Garamond" w:eastAsia="Garamond" w:hAnsi="Garamond"/>
          <w:b/>
          <w:bCs/>
          <w:i w:val="false"/>
          <w:iCs w:val="false"/>
          <w:color w:val="1B2A4A"/>
          <w:sz w:val="22"/>
          <w:szCs w:val="22"/>
        </w:rPr>
        <w:t xml:space="preserve">Transition-Period Territorial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§13.2 Competency Baseline by Phase 2 end may petition to enter as State or Territory. Those failing the Baseline enter as Territory under §13.1 and may begin the Statehood Audit immediately. Any territory may choose Territory status by simple legislative vote regardless of whether it meets the Statehood Baseline.</w:t>
      </w:r>
    </w:p>
    <w:p>
      <w:pPr>
        <w:spacing w:after="60" w:before="200"/>
        <w:ind w:left="431"/>
        <w:jc w:val="left"/>
      </w:pPr>
      <w:r>
        <w:rPr>
          <w:rFonts w:ascii="Courier New" w:cs="Courier New" w:eastAsia="Courier New" w:hAnsi="Courier New"/>
          <w:b/>
          <w:bCs/>
          <w:color w:val="1B2A4A"/>
          <w:sz w:val="18"/>
          <w:szCs w:val="18"/>
        </w:rPr>
        <w:t xml:space="preserve">§19.7.b  </w:t>
      </w:r>
      <w:r>
        <w:rPr>
          <w:rFonts w:ascii="Garamond" w:cs="Garamond" w:eastAsia="Garamond" w:hAnsi="Garamond"/>
          <w:b/>
          <w:bCs/>
          <w:i w:val="false"/>
          <w:iCs w:val="false"/>
          <w:color w:val="1B2A4A"/>
          <w:sz w:val="22"/>
          <w:szCs w:val="22"/>
        </w:rPr>
        <w:t xml:space="preserve">Subdivision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Prior government states or territories may voluntarily subdivide during the Transition Window by vote of their existing legislative body. New subdivisions are treated as separate petitioning entities for §19.7.a purposes. Legislature must establish by statute the subdivision recognition process.</w:t>
      </w:r>
    </w:p>
    <w:p>
      <w:pPr>
        <w:spacing w:after="60" w:before="200"/>
        <w:ind w:left="431"/>
        <w:jc w:val="left"/>
      </w:pPr>
      <w:r>
        <w:rPr>
          <w:rFonts w:ascii="Courier New" w:cs="Courier New" w:eastAsia="Courier New" w:hAnsi="Courier New"/>
          <w:b/>
          <w:bCs/>
          <w:color w:val="1B2A4A"/>
          <w:sz w:val="18"/>
          <w:szCs w:val="18"/>
        </w:rPr>
        <w:t xml:space="preserve">§19.7.c  </w:t>
      </w:r>
      <w:r>
        <w:rPr>
          <w:rFonts w:ascii="Garamond" w:cs="Garamond" w:eastAsia="Garamond" w:hAnsi="Garamond"/>
          <w:b/>
          <w:bCs/>
          <w:i w:val="false"/>
          <w:iCs w:val="false"/>
          <w:color w:val="1B2A4A"/>
          <w:sz w:val="22"/>
          <w:szCs w:val="22"/>
        </w:rPr>
        <w:t xml:space="preserve">Phase 2 Statehood Audit Failures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fails the Phase 2 Statehood Audit, it enters as a Territory under §13.1 rather than a State. Its population retains all Article I rights. Territory residents from failed-audit states participate in first House elections proportionally. Audit failure does not disenfranchise the population.</w:t>
      </w:r>
    </w:p>
    <w:p>
      <w:pPr>
        <w:spacing w:after="60" w:before="200"/>
        <w:ind w:left="431"/>
        <w:jc w:val="left"/>
      </w:pPr>
      <w:r>
        <w:rPr>
          <w:rFonts w:ascii="Courier New" w:cs="Courier New" w:eastAsia="Courier New" w:hAnsi="Courier New"/>
          <w:b/>
          <w:bCs/>
          <w:color w:val="1B2A4A"/>
          <w:sz w:val="18"/>
          <w:szCs w:val="18"/>
        </w:rPr>
        <w:t xml:space="preserve">§19.7.d  </w:t>
      </w:r>
      <w:r>
        <w:rPr>
          <w:rFonts w:ascii="Garamond" w:cs="Garamond" w:eastAsia="Garamond" w:hAnsi="Garamond"/>
          <w:b/>
          <w:bCs/>
          <w:i w:val="false"/>
          <w:iCs w:val="false"/>
          <w:color w:val="1B2A4A"/>
          <w:sz w:val="22"/>
          <w:szCs w:val="22"/>
        </w:rPr>
        <w:t xml:space="preserve">Pre-Existing Territories and the District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prior government territories that have not achieved statehood by Day Zero enter as Territories from Phase 4 activation — without undergoing Phase 2 Statehood Audits, beginning the standard §13.2 Statehood Audit process after Phase 4. Any capital district or special administrative region that was neither a state nor standard territory is assigned Territory status and follows the §13.2 path.</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assembles the initial Candidate Registers for all constitutionally established positions before Phase 3 elections can occur. Without populated registers, the elections cannot proceed — the Registers are a constitutional prerequisite for the democratic machinery to activate. The panel's role here is transitional: it performs the register-assembly and vetting function that the permanent Inspectorates will assume after Phase 4. Registers assembled by the panel carry full constitutional validity; the Legislature ratifies and continues them through the first budget cycle after Phase 4 activation.</w:t>
      </w:r>
    </w:p>
    <w:p>
      <w:pPr>
        <w:spacing w:after="60" w:before="200"/>
        <w:ind w:left="431"/>
        <w:jc w:val="left"/>
      </w:pPr>
      <w:r>
        <w:rPr>
          <w:rFonts w:ascii="Courier New" w:cs="Courier New" w:eastAsia="Courier New" w:hAnsi="Courier New"/>
          <w:b/>
          <w:bCs/>
          <w:color w:val="1B2A4A"/>
          <w:sz w:val="18"/>
          <w:szCs w:val="18"/>
        </w:rPr>
        <w:t xml:space="preserve">§19.8.a  </w:t>
      </w:r>
      <w:r>
        <w:rPr>
          <w:rFonts w:ascii="Garamond" w:cs="Garamond" w:eastAsia="Garamond" w:hAnsi="Garamond"/>
          <w:b/>
          <w:bCs/>
          <w:i w:val="false"/>
          <w:iCs w:val="false"/>
          <w:color w:val="1B2A4A"/>
          <w:sz w:val="22"/>
          <w:szCs w:val="22"/>
        </w:rPr>
        <w:t xml:space="preserve">Initial Register Assembly</w:t>
      </w:r>
    </w:p>
    <w:p>
      <w:pPr>
        <w:spacing w:after="120" w:before="0"/>
        <w:ind w:left="431"/>
        <w:jc w:val="both"/>
      </w:pPr>
      <w:r>
        <w:rPr>
          <w:rFonts w:ascii="Garamond" w:cs="Garamond" w:eastAsia="Garamond" w:hAnsi="Garamond"/>
          <w:b w:val="false"/>
          <w:bCs w:val="false"/>
          <w:i w:val="false"/>
          <w:iCs w:val="false"/>
          <w:color w:val="2a2520"/>
          <w:sz w:val="22"/>
          <w:szCs w:val="22"/>
        </w:rPr>
        <w:t xml:space="preserve">During Phase 2, the joint Inspectorate panel assembles an initial Candidate Register for the MA board members and NRS Panel administrators. Panel receives disclosure records, reviews factual accuracy, applies constitutional eligibility criteria, and publishes with recommendations to NRS. May draw on prior government, international, and diaspora expertise where domestic expertise is unavailable or compromised.</w:t>
      </w:r>
    </w:p>
    <w:p>
      <w:pPr>
        <w:spacing w:after="60" w:before="200"/>
        <w:ind w:left="431"/>
        <w:jc w:val="left"/>
      </w:pPr>
      <w:r>
        <w:rPr>
          <w:rFonts w:ascii="Courier New" w:cs="Courier New" w:eastAsia="Courier New" w:hAnsi="Courier New"/>
          <w:b/>
          <w:bCs/>
          <w:color w:val="1B2A4A"/>
          <w:sz w:val="18"/>
          <w:szCs w:val="18"/>
        </w:rPr>
        <w:t xml:space="preserve">§19.8.b  </w:t>
      </w:r>
      <w:r>
        <w:rPr>
          <w:rFonts w:ascii="Garamond" w:cs="Garamond" w:eastAsia="Garamond" w:hAnsi="Garamond"/>
          <w:b/>
          <w:bCs/>
          <w:i w:val="false"/>
          <w:iCs w:val="false"/>
          <w:color w:val="1B2A4A"/>
          <w:sz w:val="22"/>
          <w:szCs w:val="22"/>
        </w:rPr>
        <w:t xml:space="preserve">Interim Functions and First Nomination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performs interim MA fiscal certification functions from Phase 4 activation until the first MA Director takes office following the Phase 3 election. These interim certifications carry full constitutional weight. The first PM must nominate MA board members within 90 days of Phase 4 activation and NRS Panel administrators within 180 days.</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 systematic rights abuses, documented atrocities — the Republic may establish a Transitional Accountability Mechanism by statute. The TAM is time-limited, non-criminal (it cannot impose criminal sentences), and subject to NRS publication. It is the constitutional answer to how a new Republic deals with the wrongs of what it replaced.</w:t>
      </w:r>
    </w:p>
    <w:p>
      <w:pPr>
        <w:spacing w:after="60" w:before="200"/>
        <w:ind w:left="431"/>
        <w:jc w:val="left"/>
      </w:pPr>
      <w:r>
        <w:rPr>
          <w:rFonts w:ascii="Courier New" w:cs="Courier New" w:eastAsia="Courier New" w:hAnsi="Courier New"/>
          <w:b/>
          <w:bCs/>
          <w:color w:val="1B2A4A"/>
          <w:sz w:val="18"/>
          <w:szCs w:val="18"/>
        </w:rPr>
        <w:t xml:space="preserve">§19.9.a  </w:t>
      </w:r>
      <w:r>
        <w:rPr>
          <w:rFonts w:ascii="Garamond" w:cs="Garamond" w:eastAsia="Garamond" w:hAnsi="Garamond"/>
          <w:b/>
          <w:bCs/>
          <w:i w:val="false"/>
          <w:iCs w:val="false"/>
          <w:color w:val="1B2A4A"/>
          <w:sz w:val="22"/>
          <w:szCs w:val="22"/>
        </w:rPr>
        <w:t xml:space="preserve">TAM Establishment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Transitional Accountability Mechanism investigates, documents, and recommends remedies for serious violations committed by predecessor government entities during the period before ratification. Its jurisdiction is bounded to predecessor-era conduct — it does not adjudicate Republic-era acts, which fall to ordinary courts. Findings are published to the NRS and may recommend criminal referrals, institutional restructuring, or reparative measures, but carry no binding force.</w:t>
      </w:r>
    </w:p>
    <w:p>
      <w:pPr>
        <w:spacing w:after="60" w:before="200"/>
        <w:ind w:left="431"/>
        <w:jc w:val="left"/>
      </w:pPr>
      <w:r>
        <w:rPr>
          <w:rFonts w:ascii="Courier New" w:cs="Courier New" w:eastAsia="Courier New" w:hAnsi="Courier New"/>
          <w:b/>
          <w:bCs/>
          <w:color w:val="1B2A4A"/>
          <w:sz w:val="18"/>
          <w:szCs w:val="18"/>
        </w:rPr>
        <w:t xml:space="preserve">§19.9.b  </w:t>
      </w:r>
      <w:r>
        <w:rPr>
          <w:rFonts w:ascii="Garamond" w:cs="Garamond" w:eastAsia="Garamond" w:hAnsi="Garamond"/>
          <w:b/>
          <w:bCs/>
          <w:i w:val="false"/>
          <w:iCs w:val="false"/>
          <w:color w:val="1B2A4A"/>
          <w:sz w:val="22"/>
          <w:szCs w:val="22"/>
        </w:rPr>
        <w:t xml:space="preserve">TAM Amendment and Successor Bar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establishing statute and any amendments to it require the same 2/3 majority of both chambers as the original statute. No amendment may expand the Mechanism's subject matter scope beyond the scope defined in the establishing statute.</w:t>
      </w:r>
    </w:p>
    <w:p>
      <w:pPr>
        <w:spacing w:after="60" w:before="200"/>
        <w:ind w:left="431"/>
        <w:jc w:val="left"/>
      </w:pPr>
      <w:r>
        <w:rPr>
          <w:rFonts w:ascii="Courier New" w:cs="Courier New" w:eastAsia="Courier New" w:hAnsi="Courier New"/>
          <w:b/>
          <w:bCs/>
          <w:color w:val="1B2A4A"/>
          <w:sz w:val="18"/>
          <w:szCs w:val="18"/>
        </w:rPr>
        <w:t xml:space="preserve">§19.9.c  </w:t>
      </w:r>
      <w:r>
        <w:rPr>
          <w:rFonts w:ascii="Garamond" w:cs="Garamond" w:eastAsia="Garamond" w:hAnsi="Garamond"/>
          <w:b/>
          <w:bCs/>
          <w:i w:val="false"/>
          <w:iCs w:val="false"/>
          <w:color w:val="1B2A4A"/>
          <w:sz w:val="22"/>
          <w:szCs w:val="22"/>
        </w:rPr>
        <w:t xml:space="preserve">TAM Jurisdiction and Publication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Mechanism may not exercise criminal jurisdiction — that remains with the courts. The Mechanism may not issue orders whose practical effect is equivalent to criminal punishment, including mandatory prosecution referrals with binding recommendations, civil penalties exceeding the MA-defined threshold for criminal fine equivalence, or reputational orders without evidentiary hearing rights equivalent to criminal procedure. The Mechanism may publish only finalized findings — findings that have completed the evidentiary process specified in the establishing statute. Preliminary assessments, interim findings, and draft determinations may not be published to the NRS under the Mechanism's authority.</w:t>
      </w:r>
    </w:p>
    <w:p>
      <w:pPr>
        <w:spacing w:after="60" w:before="200"/>
        <w:ind w:left="431"/>
        <w:jc w:val="left"/>
      </w:pPr>
      <w:r>
        <w:rPr>
          <w:rFonts w:ascii="Courier New" w:cs="Courier New" w:eastAsia="Courier New" w:hAnsi="Courier New"/>
          <w:b/>
          <w:bCs/>
          <w:color w:val="1B2A4A"/>
          <w:sz w:val="18"/>
          <w:szCs w:val="18"/>
        </w:rPr>
        <w:t xml:space="preserve">§19.9.d  </w:t>
      </w:r>
      <w:r>
        <w:rPr>
          <w:rFonts w:ascii="Garamond" w:cs="Garamond" w:eastAsia="Garamond" w:hAnsi="Garamond"/>
          <w:b/>
          <w:bCs/>
          <w:i w:val="false"/>
          <w:iCs w:val="false"/>
          <w:color w:val="1B2A4A"/>
          <w:sz w:val="22"/>
          <w:szCs w:val="22"/>
        </w:rPr>
        <w:t xml:space="preserve">TAM Sunset and Rationale</w:t>
      </w:r>
    </w:p>
    <w:p>
      <w:pPr>
        <w:spacing w:after="120" w:before="0"/>
        <w:ind w:left="431"/>
        <w:jc w:val="both"/>
      </w:pPr>
      <w:r>
        <w:rPr>
          <w:rFonts w:ascii="Garamond" w:cs="Garamond" w:eastAsia="Garamond" w:hAnsi="Garamond"/>
          <w:b w:val="false"/>
          <w:bCs w:val="false"/>
          <w:i w:val="false"/>
          <w:iCs w:val="false"/>
          <w:color w:val="2a2520"/>
          <w:sz w:val="22"/>
          <w:szCs w:val="22"/>
        </w:rPr>
        <w:t xml:space="preserve">At sunset the Mechanism dissolves; its NRS record is permanent. The Legislature may not extend the Mechanism beyond its statutory sunset without a fresh 2/3 supermajority in both chambers; extension is not a renewal and does not reset the ten-year successor bar under §19.9.b.</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§15.4.a and §13.4, to independent nations outside the Republic seeking a defined relationship, or to nations recognised as pre-existing sovereigns under Article XIV.</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authorise, or systematically permit violations of any of the six non-derogable rights established in §1.26.b to any person within its jurisdiction. The Judicial Inspectorate certifies compliance with this condition before parliamentary ratification of any compact; a compact negotiated with a non-compliant entity is void regardless of parliamentary ratification. The JI conducts annual compliance reviews and publishes findings to the NRS. Where the JI finds systematic violations of the Article I unamendable prohibitions, the compact is suspended pending Supreme Court review. The Court may terminate the compact on confirmed systematic violations without remediation within a period the Legislature defines by statute.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 During suspension, both parties' obligations under the compact continue in effect pending the SC's determination; the Associated Community's observer delegate rights are suspended for the duration of the review.</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Republic receives written notice of termination,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§3.2.e. Both executives must transmit the proposed compact to the Senate simultaneously with a joint assessment of its consistency with this Article. The JI certification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2026-05-21T23:41:46.201Z</dcterms:created>
  <dcterms:modified xsi:type="dcterms:W3CDTF">2026-05-21T23:41:46.213Z</dcterms:modified>
</cp:coreProperties>
</file>

<file path=docProps/custom.xml><?xml version="1.0" encoding="utf-8"?>
<Properties xmlns="http://schemas.openxmlformats.org/officeDocument/2006/custom-properties" xmlns:vt="http://schemas.openxmlformats.org/officeDocument/2006/docPropsVTypes"/>
</file>