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§9.8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§16.2;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14:paraId="743CADFF" w14:textId="77777777" w:rsidR="00AF3D56" w:rsidRDefault="00000000">
      <w:pPr>
        <w:spacing w:after="120"/>
        <w:ind w:left="431"/>
        <w:jc w:val="both"/>
      </w:pPr>
      <w:r>
        <w:rPr>
          <w:rFonts w:ascii="Garamond" w:eastAsia="Garamond" w:hAnsi="Garamond" w:cs="Garamond"/>
          <w:color w:val="2A2A2A"/>
          <w:sz w:val="22"/>
          <w:szCs w:val="22"/>
        </w:rPr>
        <w:t xml:space="preserve">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 A person who has made a current disclosure for one federal office satisfies this requirement for elevation to another so long as the disclosure remains accurate. A false or incomplete disclosure is itself a federal offense. No criminal conviction bars a person from federal office except as provided in this section; the weight of a disclosed history is for the voters, or for the selecting body, to judge.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 This bar requires a conviction, not an accusation or a pending charge.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