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spacing w:after="400" w:before="0"/>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Self-executing right: every person may seek legal remedy for any rights violation. Court access cannot be made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§10.7.a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§1.5.b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States may establish proportionate licensing and safety requirements that do not function as effective prohibitions on lawful ownership. The burden of proof lies with the State to demonstrate that any challenged requirement is proportionate, non-discriminatory, and genuinely serves a safety purpose.</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use regulatory or land-use powers to exclude any person from housing on the basis of any characteristic enumerated in §1.9. Persons who cannot independently secure housing hold a constitutional entitlement to it through the Basic Needs Floor under §10.1.</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BNF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Basic Needs Floor obligation under §10.1.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funding lock: 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failure to vote within that period results in Deemed Confirmation. All nominations, confirmations, and Deemed Confirmations are published to the NRS within 24 hours.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JI-maintained candidate registries.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PM's central domestic power. 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Three options: sign (or remain silent, triggering Deemed Enactment), Fiscal Objection, or Suspensive Veto. The PM's silence enacts a bill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Administrative Acting Officer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Domestic Affairs Council Officer (SDACO) serves as Caretaker PM. The SDACO's authority is limited to maintaining existing policy and emergency functions. Caretaker status expires when a new PM is confirmed by the House.</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SDACO continues as Caretaker PM.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seated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 These are tools of constitutional dialogue, not obstruction; the Legislature retains final authority in both cases.</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the session in which the bill was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 The periods and their interaction are governed by this section.</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framework covers two distinct situations: full succession where the Presidency becomes permanently vacant under §2.6.a, and temporary acting authority where the President is temporarily unable to exercise presidential functions under §2.6.b. Full succession vacates the Senate Speaker's Senate seat and triggers a special election; temporary acting authority does neither.</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pardon power is constitutionally divided and constrained. 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 Both tracks are governed by this section.</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 Three sub-provisions govern treaty mechanics: §3.2.e.i (domestic provisions of unratified treaties that can stand independently as legislation), §3.2.e.ii (bilateral integrated treaties that cannot be disaggregated), and §3.2.e.iii (the presidential withdrawal process for ratified treaties).</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Treaty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through the process established in this section. The default passage standard is an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Redistricting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Maps are drawn after each census, every 10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§3.4.d  </w:t>
      </w:r>
      <w:r>
        <w:rPr>
          <w:rFonts w:ascii="Garamond" w:cs="Garamond" w:eastAsia="Garamond" w:hAnsi="Garamond"/>
          <w:b/>
          <w:bCs/>
          <w:i w:val="false"/>
          <w:iCs w:val="false"/>
          <w:color w:val="1B2A4A"/>
          <w:sz w:val="22"/>
          <w:szCs w:val="22"/>
        </w:rPr>
        <w:t xml:space="preserve">Drawing Authority — Federal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Territorial Districts — where federal territories elect House representatives, the Electoral Commission draws the territorial districts in consultation with the territory's governance council. Territorial districts are drawn under the same criteria that apply to State districts.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Seats are allocated by the Webster method under §3.1.a, with a minimum of one seat per State. All members serve 2-year terms. The House originates all legislation and fiscal measures and elects the Prime Minister.</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§3.5.c  </w:t>
      </w:r>
      <w:r>
        <w:rPr>
          <w:rFonts w:ascii="Garamond" w:cs="Garamond" w:eastAsia="Garamond" w:hAnsi="Garamond"/>
          <w:b/>
          <w:bCs/>
          <w:i w:val="false"/>
          <w:iCs w:val="false"/>
          <w:color w:val="1B2A4A"/>
          <w:sz w:val="22"/>
          <w:szCs w:val="22"/>
        </w:rPr>
        <w:t xml:space="preserve">House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A House seat that falls vacant mid-term triggers a special election within 90 days if more than 90 days remain in the term. Short-term vacancies (fewer than 90 days) are not filled — the seat remains vacant for the remainder of the term.</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and is subject to the transparency obligations of this section. Oversight is informational only — the Inspectorates publish findings; they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at the end of the legislative session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JI Certification — the JI confirms that each candidate remains on the SC Candidate Registry and that no disqualifying change has occurred since Registry admission. Ministerial check, not a new assessment. Candidates who fail JI certification may appeal to an Appellate Court within 14 days.</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Panel — four justices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BNF access.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 The distinction between Inhabitant and Citizen status for citizen children prevents citizenship from being used to exempt children from local law.</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 Years of service are a legitimate basis for constitutional membership.</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BNF programs,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No statute may lower the CLT below the constitutional literacy floor established by this provision regardless of the majority used; any such statute is void and enforceable by any citizen in court.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 Deadlock cannot be weaponized to eliminate the CLT or make it impossibly difficult — the existing test remains operative.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circumstances of ratification require a transitional citizenship grant for those who held voting rights at the moment of founding.</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across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The word 'ministerially' is deliberate — the President has no discretion to refuse or delay what the law requires.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Crucially: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 Three-ground limitation channels challenges rather than eliminating them.</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BNF coverage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No State infrastructure is required —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 Territory citizens participate fully in the national democratic mandate; they do not give Territories a footprint in the regional component that States earn through the Statehood process.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constitutionally fixed moment.</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 The runoff closes the edge-case gap where the combined score is mathematically indeterminate.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 §1.26.e's prohibition on emergency-based election postponement backs this up: even a genuine emergency cannot defer a scheduled election.</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LI Mandate —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EI Mandate —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JI Mandate — audits the courts for judicial scope and independence. Maintains the SC Candidate Registry. Vets judicial nominees and Electoral Commission candidates. Audits the Electoral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selection mechanisms for each Inspector General are detailed in §8.3.a (Legislative IG), §8.3.b (Executive IG), and §8.3.c (term and staggering). The cross-nomination principles are established in §8.2.</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LI Inspector General Selection —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EI Inspector General Selection —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JI IG Selection —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 The removal thresholds are designed to prevent any single branch from eliminating its oversight body through ordinary political action.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JI Removal — 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 They hold no enforcement authority. Their power derives entirely from the constitutional weight of a permanent public record.</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EI Dereliction Investigation — 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Standards — 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fiscal obligations and whether the BNF is meeting the §10.1.b adequacy standard across all five §10.1.c categories;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The Legislature must respond within 90 days with a published statement addressing each domain. Findings and responses form a permanent longitudinal record of constitutional performance.</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 the constitutional backbone of transparency. Permanent, tamper-evident, freely accessible to every Inhabitant at no cost. Every government act required to be published must be on the NRS before it takes legal effect. The NRS is the definitive public record of the Republic — if something happened in government and it is not on the NRS, it is constitutionally suspect.</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Permanence — 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Publication Requirements — 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RSA Technical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System Administrator operates the NRS under the oversight of the Legislative Inspectorate. The RSA Director is a statutory independent officer under §3.7. A decennial Technical Integrity Commission reviews whether the NRS architecture continues to meet the constitutional requirements for distributed custody, cryptographic verification, and public accessibility under §9.1.</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RSA Technical Integrity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decennial RSA Technical Integrity Commission reviews whether the NRS architecture continues to meet the constitutional requirements for distributed, tamper-evident operation established by §9.1. The Commission has publication authority only — it may not issue binding orders, impose penalties, or direct the RSA Director. Its findings are published jointly by all three Inspectorates to the NRS and cannot be withheld, suppressed, or altered after publication. Qualifications for pool eligibility, audit methodology and scope, working session parameters, compensation, and decennial trigger timing are established by statute.</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RSA Technical Pool —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and PM each nominate one qualified person per year to the RSA Technical Pool. Each nominee must be confirmed by the Senate within 60 days of nomination by affirmative vote — no deemed-confirmed fallback applies to this position. Senate failure to vote within 60 days is a constitutional compliance failure published to the NRS by the LI. The pool is a public NRS record. Qualifications are defined by statute and certified by the JI at time of nomination. Over a ten-year cycle both executives may each nominate up to ten members, for a maximum pool of twenty confirmed members.</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RSA Technical Pool resets after each decennial commission cycle. Previously confirmed pool members who did not serve on the commission may be re-nominated by either executive in the new cycle; fresh Senate confirmation under §9.3.b is required and no member carries forward automatically. Members who served on the commission are not eligible for re-nomination to the pool.</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Commission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Commission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Commission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RSA Director receives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Commission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The Legislature, the RSA Director, and both executives receive findings simultaneously with NRS publication. The Commission's mandate ends upon publication; the Commission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NRS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administered by a technically independent office under LI oversight. This section governs staffing, continuity, citizen access, and the technical standards that maintain the NRS's constitutional integrity.</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i w:val="false"/>
          <w:iCs w:val="false"/>
          <w:color w:val="1B2A4A"/>
          <w:sz w:val="22"/>
          <w:szCs w:val="22"/>
        </w:rPr>
        <w:t xml:space="preserve">NRS Staffing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is administered by a non-partisan technical office reporting to the LI for oversight. NRS staff may not receive direction from either executive or the Legislature regarding the content, timing, or availability of any record. The NRS administrator is appointed by the LI following public application and qualification review.</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Basic Needs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guarantees every Inhabitant access to a minimum basket of goods and services — food, housing, healthcare, education, and utilities — at a level adequate for a dignified life. Funded by a constitutionally reserved 5% of gross domestic revenue — this percentage cannot be reduced without a constitutional amendment.</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BNF Funding Reserve</w:t>
      </w:r>
    </w:p>
    <w:p>
      <w:pPr>
        <w:spacing w:after="120" w:before="0"/>
        <w:ind w:left="431"/>
        <w:jc w:val="both"/>
      </w:pPr>
      <w:r>
        <w:rPr>
          <w:rFonts w:ascii="Garamond" w:cs="Garamond" w:eastAsia="Garamond" w:hAnsi="Garamond"/>
          <w:b w:val="false"/>
          <w:bCs w:val="false"/>
          <w:i w:val="false"/>
          <w:iCs w:val="false"/>
          <w:color w:val="2a2520"/>
          <w:sz w:val="22"/>
          <w:szCs w:val="22"/>
        </w:rPr>
        <w:t xml:space="preserve">5% of gross domestic revenue is constitutionally reserved for the BNF and cannot be redirected. If the BNF requires more than 5%, the Legislature may appropriate additional funding by statute. The reserve is calculated annually by the MA and published to the NRS. During a Severe Revenue Contraction (§10.1.f), the National Endowment backstops the BNF.</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BNF Adequacy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basket must be sufficient to meet genuine basic needs — not merely nominally available. The PM's annual budget must fund the BNF at a level the MA certifies as adequate to deliver the constitutional basket to every eligible Inhabitant. A budget that funds the BNF below the MA's certified adequacy level is constitutionally deficient.</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BNF Coverage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BNF must cover five categories: food security, housing, healthcare, education access, and digital connectivity. The Legislature defines the specific floor within each category by statute. No statute may reduce any category below the level of genuine adequacy — the constitutional floor is real sufficiency, not symbolic provision.</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BNF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BNF benefits may not be conditioned on citizenship, residency status, political affiliation, or any characteristic protected under §1.9. Every Inhabitant receives equal access. The Legislature may not create tiered access based on contribution history or prior benefit receipt — the BNF is a floor, not an insurance program.</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BNF Administration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the BNF through the Domestic Affairs Council. Administration must meet the constitutional adequacy standard — delivery mechanisms must actually reach Inhabitants, not merely be nominally available. The LI audits BNF delivery annually.</w:t>
      </w:r>
    </w:p>
    <w:p>
      <w:pPr>
        <w:spacing w:after="60" w:before="200"/>
        <w:ind w:left="431"/>
        <w:jc w:val="left"/>
      </w:pPr>
      <w:r>
        <w:rPr>
          <w:rFonts w:ascii="Courier New" w:cs="Courier New" w:eastAsia="Courier New" w:hAnsi="Courier New"/>
          <w:b/>
          <w:bCs/>
          <w:color w:val="1B2A4A"/>
          <w:sz w:val="18"/>
          <w:szCs w:val="18"/>
        </w:rPr>
        <w:t xml:space="preserve">§10.1.f  </w:t>
      </w:r>
      <w:r>
        <w:rPr>
          <w:rFonts w:ascii="Garamond" w:cs="Garamond" w:eastAsia="Garamond" w:hAnsi="Garamond"/>
          <w:b/>
          <w:bCs/>
          <w:i w:val="false"/>
          <w:iCs w:val="false"/>
          <w:color w:val="1B2A4A"/>
          <w:sz w:val="22"/>
          <w:szCs w:val="22"/>
        </w:rPr>
        <w:t xml:space="preserve">Severe Revenue Contraction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certifies a severe revenue contraction, the BNF funding floor remains in effect and the National Endowment reserve fund supplements the 5% reserve to ensure BNF continuity. The MA certification triggers automatic activation of the Endowment — no legislative action required. The BNF is recession-proof.</w:t>
      </w:r>
    </w:p>
    <w:p>
      <w:pPr>
        <w:spacing w:after="60" w:before="200"/>
        <w:ind w:left="431"/>
        <w:jc w:val="left"/>
      </w:pPr>
      <w:r>
        <w:rPr>
          <w:rFonts w:ascii="Courier New" w:cs="Courier New" w:eastAsia="Courier New" w:hAnsi="Courier New"/>
          <w:b/>
          <w:bCs/>
          <w:color w:val="1B2A4A"/>
          <w:sz w:val="18"/>
          <w:szCs w:val="18"/>
        </w:rPr>
        <w:t xml:space="preserve">§10.1.g  </w:t>
      </w:r>
      <w:r>
        <w:rPr>
          <w:rFonts w:ascii="Garamond" w:cs="Garamond" w:eastAsia="Garamond" w:hAnsi="Garamond"/>
          <w:b/>
          <w:bCs/>
          <w:i w:val="false"/>
          <w:iCs w:val="false"/>
          <w:color w:val="1B2A4A"/>
          <w:sz w:val="22"/>
          <w:szCs w:val="22"/>
        </w:rPr>
        <w:t xml:space="preserve">BNF and Emergency Declarations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otherwise diminish BNF benefits. The BNF is explicitly excluded from emergency powers. A PM who attempts to redirect BNF funds during an emergency has committed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BNF backstop purposes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provides BNF continuity during periods of severe revenue contraction. It operates independently of the annual budget process.</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BNF backstop purposes.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under §10.1.f, the Endowment is automatically activated. The board must begin BNF supplement disbursements within 30 days. Disbursements continue until the MA certifies that the revenue contraction has ended. The board may not withhold disbursements during a certified contraction — activation is automatic.</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Referendum Outcome — 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 The process and thresholds are established in §11.2.a.</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Distinct from the referendum, the initiative allows citizens to propose legislation directly. 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receives BNF benefits, and may begin the Statehood pathway under §13.2. Territories are represented in the House by non-voting delegates who may participate in debate and committee work.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 The automatic nature of this pathway is intentional — statehood is a constitutional right of a qualifying jurisdiction, not a political favor to be granted or withheld by incumbent States.</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Fiscal Integrity Criterion. 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Statehood Audit — Article I Legal Compliance Criterion. 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BNF protections.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Not punishment — a constitutional alternative to indefinite dysfunction. The path back to full Statehood is always available.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Basic Needs Floor — BNF distributions to Territory residents continue without interruption;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Post-Devolution Status — 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 initiation must be an unencumbered democratic act of the petitioning entity's own governance.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BNF protection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Amendment. 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Path B — Legislative and Popular Amendment. 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Unamendable Floor — 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Supremacy — 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Electoral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is a constitutionally independent body of five members elected by national ranked-choice vote on National Election Day to non-renewable six-year staggered terms. No political body nominates EC members. The EC administers all federal elections and referenda, maintains the National Voting System, enforces Article XVIII campaign finance requirements, and certifies all election results to the NRS. The EC is independent of both executives and the Legislature in the exercise of its administrative and certification functions. No member of the EC may have held elected office or party membership within ten years of their election.</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Electoral Commission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must meet three independently verified requirements: at least 15 years of professional expertise in elections, technology, or public administration; no current or recent partisan affiliation; and passage of the Constitutional Logic Test. The qualifications are substantive — the EC requires genuine expertise.</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Electoral Commission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Commission members may be removed for cause only. No no-cause removal is available for EC members. For-cause removal requires: a JI-documented finding transmitted to a State Designee Panel under §8.9.f; a Panel determination that stated grounds are substantiated; a 14-day SC appeal window from publication of the Panel finding; and a 2/3 vote of both chambers simultaneously. Where the Panel finding is substantiated, the EC member is suspended from all duties pending the legislative vote and any SC review. On legislative acquittal following a substantiated Panel finding, the member returns to full duties immediately. Any removal vote scheduled within 180 days of a major national election is automatically suspended pending SC review within 48 hours; the proximity restriction applies to the removal vote, not to Panel-triggered suspension of duties.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Electoral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Commission's independence does not place it above accountability. This section governs its funding, Inspectorate oversight, removal of members for cause, and vacancy procedures.</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Campaign Funding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Campaigns for Electoral Commission seats are publicly funded in full. No private money may be spent on EC campaigns. The EC administers elections for all other offices — it cannot itself be captured by the interests that it would regulate in other campaigns.</w:t>
      </w:r>
    </w:p>
    <w:p>
      <w:pPr>
        <w:spacing w:after="60" w:before="200"/>
        <w:ind w:left="431"/>
        <w:jc w:val="left"/>
      </w:pPr>
      <w:r>
        <w:rPr>
          <w:rFonts w:ascii="Courier New" w:cs="Courier New" w:eastAsia="Courier New" w:hAnsi="Courier New"/>
          <w:b/>
          <w:bCs/>
          <w:color w:val="1B2A4A"/>
          <w:sz w:val="18"/>
          <w:szCs w:val="18"/>
        </w:rPr>
        <w:t xml:space="preserve">§16.5.b  </w:t>
      </w:r>
      <w:r>
        <w:rPr>
          <w:rFonts w:ascii="Garamond" w:cs="Garamond" w:eastAsia="Garamond" w:hAnsi="Garamond"/>
          <w:b/>
          <w:bCs/>
          <w:i w:val="false"/>
          <w:iCs w:val="false"/>
          <w:color w:val="1B2A4A"/>
          <w:sz w:val="22"/>
          <w:szCs w:val="22"/>
        </w:rPr>
        <w:t xml:space="preserve">JI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audits the Electoral Commission annually. The JI is the appropriate Inspectorate for EC oversight — it audits judicial independence, and electoral integrity has similar structural properties. JI audit findings on the EC are published to the NRS and presented to both chambers.</w:t>
      </w:r>
    </w:p>
    <w:p>
      <w:pPr>
        <w:spacing w:after="60" w:before="200"/>
        <w:ind w:left="431"/>
        <w:jc w:val="left"/>
      </w:pPr>
      <w:r>
        <w:rPr>
          <w:rFonts w:ascii="Courier New" w:cs="Courier New" w:eastAsia="Courier New" w:hAnsi="Courier New"/>
          <w:b/>
          <w:bCs/>
          <w:color w:val="1B2A4A"/>
          <w:sz w:val="18"/>
          <w:szCs w:val="18"/>
        </w:rPr>
        <w:t xml:space="preserve">§16.5.c  </w:t>
      </w:r>
      <w:r>
        <w:rPr>
          <w:rFonts w:ascii="Garamond" w:cs="Garamond" w:eastAsia="Garamond" w:hAnsi="Garamond"/>
          <w:b/>
          <w:bCs/>
          <w:i w:val="false"/>
          <w:iCs w:val="false"/>
          <w:color w:val="1B2A4A"/>
          <w:sz w:val="22"/>
          <w:szCs w:val="22"/>
        </w:rPr>
        <w:t xml:space="preserve">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only, 2/3 both chambers simultaneously, preceded by State Designee Panel verification. 180-day election proximity rule: any removal vote within 180 days of a major national election is automatically suspended pending SC review within 48 hours. Critically: the proximity restriction applies to the removal vote only — Panel-triggered suspension of duties under §16.2.a is not subject to the proximity window.</w:t>
      </w:r>
    </w:p>
    <w:p>
      <w:pPr>
        <w:spacing w:after="60" w:before="200"/>
        <w:ind w:left="431"/>
        <w:jc w:val="left"/>
      </w:pPr>
      <w:r>
        <w:rPr>
          <w:rFonts w:ascii="Courier New" w:cs="Courier New" w:eastAsia="Courier New" w:hAnsi="Courier New"/>
          <w:b/>
          <w:bCs/>
          <w:color w:val="1B2A4A"/>
          <w:sz w:val="18"/>
          <w:szCs w:val="18"/>
        </w:rPr>
        <w:t xml:space="preserve">§16.5.d  </w:t>
      </w:r>
      <w:r>
        <w:rPr>
          <w:rFonts w:ascii="Garamond" w:cs="Garamond" w:eastAsia="Garamond" w:hAnsi="Garamond"/>
          <w:b/>
          <w:bCs/>
          <w:i w:val="false"/>
          <w:iCs w:val="false"/>
          <w:color w:val="1B2A4A"/>
          <w:sz w:val="22"/>
          <w:szCs w:val="22"/>
        </w:rPr>
        <w:t xml:space="preserve">Mid-Term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any Electoral Commission seat becomes vacant mid-term, a special election is held within 90 days through the NVS. The replacement serves the remainder of the vacated seat's term, then may stand as a candidate at the next regular EC election for a full new non-renewable term. Where fewer than 18 months remain in the vacated seat's term, the replacement may stand for a full term at the next regular EC election without serving the remainder. The Commission operates under its active-membership threshold during the vacancy period.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Electoral Commission Technical Deadlock</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a procedure for the EC to adopt temporary technical measures in imminent security threats or system failures, bypassing the normal 3/5 decision threshold. The emergency power is narrowly constrained — it cannot change electoral rules, timelines, or candidate eligibility. A system-integrity tool only.</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 The ratification vote itself was conducted on the NVS (§19.1).</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 This section governs registration, termination, improvements, and the rights of residents within federal use footprints.</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preventing privatization by executive discretion. The National Trust Administrator is independently confirmed under the §2.2.h escalation framework, insulating land management from PM pressure.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 Prevents executive land grabs under Trust designation and executive stripping of Trust status.</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under §3.7.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Disclosure — 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Contribution Limits — 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Independent Expenditure Disclosure — 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EC Administration — 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 The ratification threshold is intentionally set lower than the amendment thresholds of §15.1 — founding requires achievability. An impractically high founding threshold would prevent the constitutional order from being established at all. Once established, the higher amendment thresholds reflect the greater burden of changing a working system.</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Phase 0 (pre-ratification preparation) is governed by §19.3.a. Phase 1 (emergency stabilization, Days 1–90) is governed by §19.3.b. Phase 2 (institutional construction, Days 91–270) is governed by §19.3.c. Phase 3 (first elections, Days 271–450) is governed by §19.3.d. Phase 4 (full constitutional operation) is governed by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 The Republic's constitutional infrastructure must exist before it can be activated.</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Basic Needs Floor delivery continuity, public safety, and essential services. No new permanent legislation. This phase is explicitly temporary — its only mandate is stability while Phase 2 institutional construction begins.</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RSA Director is assembled. Electoral Commission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 Caretaker status prevents the predecessor government from entrenching itself during transition.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RSA Director.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an RSA Director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 A Republic that inherits the territory, institutions, and treaty obligations of its predecessor bears a constitutional obligation to account for what was done in the name of that predecessor state.</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846ae29d06c22e3a63d82860f9cf7ae12e1cbd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2026-05-20T23:19:55.580Z</dcterms:created>
  <dcterms:modified xsi:type="dcterms:W3CDTF">2026-05-20T23:19:55.591Z</dcterms:modified>
</cp:coreProperties>
</file>

<file path=docProps/custom.xml><?xml version="1.0" encoding="utf-8"?>
<Properties xmlns="http://schemas.openxmlformats.org/officeDocument/2006/custom-properties" xmlns:vt="http://schemas.openxmlformats.org/officeDocument/2006/docPropsVTypes"/>
</file>