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who must meet the eligibility requirements for the office of Civic Consul under this section, serves with authority limited to maintaining existing policy and emergency functions; where no such designation exists or the designated Acting Civic Consul is unavailable, the Assembly Speaker serves as Acting Civic Consul with the same authority limitation.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published to the NRS; this appointee holds full Civic Consul authority and is subject to removal under §2.6. Where two or more Assembly members have equal continuous service, the tiebreaker is determined by statute.</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where the Senate does not affirm within that period, the notice is void and the Legat Consul must resubmit.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under §7.4;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§16.5;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judicial review by the court with active jurisdiction over the case.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appeal to the courts within 30 days of NRS publication on the sole ground that stated grounds do not correspond to an established eligibility criterion; the applicable court and process are defined by statute.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the Acting member may exercise all authorities of a full member during that period and the appointment does not affect the ordinary process for filling the vacancy permanently.</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 Following an EM finding that the mechanism has failed, the Monetary Authority must submit a remedy plan to the Civic Consul and the Speaker of each chamber within 30 days, published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courts on the sole ground that the audit findings are factually insufficient to establish three consecutive failures; the court reviews only the factual basis; process and timeline are defined by statute.</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The compact’s arbitration mechanism is the final forum for disputes between the Republic and the Nation arising from compact administration, including constitutional questions of compact interpretation; neither party may seek review of an arbitration determination in the Republic’s courts.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under its original jurisdiction in §4.5; the extension and interim protective order provisions of §4.5 apply.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