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Upon NRS publication of any valid removal, death, resignation, or succession event, the military chain of command recognizes the constitutional transfer of authority at that moment. Any order issued in the name of a removed or succeeded President after that moment is constitutionally void. A military officer who executes such an order commits a constitutional breach; compliance with a constitutionally valid transfer is mandatory.</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concurrence makes the designation effective and it is published to the NRS immediately with both executives' attributed positions; objection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partisan registration data, voting history data, incumbent residence, or racial composition as a primary criterion. The LI reviews all maps for compliance and publishes findings to the NRS. Where a map fails, the Elections Panel of the Digital Infrastructure Commission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Standing committees must maintain balanced composition; no party may hold all seats on any standing committee.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statutory agencies operating independently of both executives. Where this constitution assigns a function to a statutory agency, the Legislature must establish it; the relevant Inspectorate administers the function on an interim basis until the agency is established. Agency officers hold fixed terms and are nominated from a JI-maintained registry of qualified candidates; the PM nominates from that registry and Senate confirms. Removal requires a for-cause finding published by the JI and a 2/3 vote of both chambers; neither executive may unilaterally remove an independent agency officer.</w:t>
      </w:r>
    </w:p>
    <w:p>
      <w:pPr>
        <w:spacing w:after="60" w:before="200"/>
        <w:ind w:left="431"/>
        <w:jc w:val="left"/>
      </w:pPr>
      <w:r>
        <w:rPr>
          <w:rFonts w:ascii="Courier New" w:cs="Courier New" w:eastAsia="Courier New" w:hAnsi="Courier New"/>
          <w:b/>
          <w:bCs/>
          <w:color w:val="1B2A4A"/>
          <w:sz w:val="18"/>
          <w:szCs w:val="18"/>
        </w:rPr>
        <w:t xml:space="preserve">§3.9.a  </w:t>
      </w:r>
      <w:r>
        <w:rPr>
          <w:rFonts w:ascii="Garamond" w:cs="Garamond" w:eastAsia="Garamond" w:hAnsi="Garamond"/>
          <w:b/>
          <w:bCs/>
          <w:color w:val="1B2A4A"/>
          <w:sz w:val="22"/>
          <w:szCs w:val="22"/>
        </w:rPr>
        <w:t xml:space="preserve">Independent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For independent statutory officers, the Judicial Track under §8.15 is available where standard legislative removal appears unreachable due to political gridlock. Two of the three Inspectorates jointly certify for-cause grounds and petition the SC; the process then follows §8.15 Judicial Track in full.</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§4.2;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within the scope of Article I.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of the Digital Infrastructure Commission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of the Digital Infrastructure Commission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prevents confirmation without cross-party Senate support.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defence.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For the DIC Administrator Pool specifically, the JIC exercises enhanced oversight given the Elections Panel's administrative interest in its own membership pool: the JIC conducts quarterly review of pool health and certification accuracy; any JIC member may challenge the exclusion of any applicant and the Elections Panel must respond in writing within 14 days; and each pool entry requires joint certification published by the JIC alongside the relevant Inspectorate certification.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Inspectors General, DIC administrators, MA board members, and all other constitutionally confirmed independent officers.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comprises two constitutionally independent panels — the NRS Panel and the Elections Panel — each responsible for the day-to-day operation of its respective system and for maintaining all constitutional candidate registries and pools within its mandate. The NRS Panel operates the National Record System. The Elections Panel operates the National Voting System and administers all federal elections, referenda, and confirmation votes. Each panel is operationally independent; neither panel may direct the other. The Legislature defines by statute the technical standards, interface requirements, budget, and operational parameters for each system; the panels implement within those statutory parameters. The Chair of each panel is its most senior administrator by continuous service within that panel; where two or more administrators have equal continuous service, the Chair is determined by lot conducted by the JIC. Each panel is independent of both executives and the Legislature in the exercise of its operational functions.</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DIC Administrator Appointment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DIC administrators from the DIC Administrator Pool maintained by the Elections Panel. The Senate confirms by 2/3 supermajority. Administrators serve a primary 8-year non-renewable term. The PM may grant a single 2-year extension to any administrator before their term expires where a genuine ongoing operational matter requires continuity — the extension and stated reasons must be published to the NRS; the JIC assesses the stated justification and publishes its assessment within 30 days. Extensions are not the constitutional norm; no administrator may serve more than 10 years in total. Each panel comprises three administrators. Within each panel, terms are staggered so that no more than one seat expires in any calendar year, ensuring a continuous seniority hierarchy for the Chair function. At establishment, initial terms within each panel are assigned by lot across three offset starting points — one full 8-year term, one initial term of approximately 5 years, and one initial term of approximately 3 years — creating an immediate seniority hierarchy within each panel from day one. NRS Panel administrators must hold at least 12 years of professional expertise in cryptography, distributed systems, or public records management. Elections Panel administrators must hold at least 12 years of professional expertise in elections administration or electoral technology. All administrators must hold no current or recent partisan affiliation.</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Removal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DIC administrator follows §8.15 Standard Track. The EI oversees each panel for executive accountability purposes. The JIC audits NRS operation and integrity compliance annually under §8.12; the JI audits Elections Panel operations and electoral integrity annually.</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DIC Accountability and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PM nominates a replacement within 60 days and the Senate confirms within 90 days of the vacancy opening; failure to confirm within that period is a constitutional compliance breach. The replacement serves the remainder of the vacated term only. 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parties.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