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Both executives must approve the designation within 5 days of the vacancy arising; the designation is published to the NRS immediately.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no later than 24 months before the incumbent’s term expires, to ensure confirmation is complete before the transition;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EI IG: nominated by the House from a pool of qualified candidates maintained by the Elections Panel no later than 24 months before the incumbent’s term expires; confirmed by national popular vote at the next federal electoral period following nomination, by simple majority of votes cast, with JI vetting of the nominee’s disclosure record published before the vote. The same timing and failed-vote provisions apply. JI IG: selected by public lottery under §8.13 from the JI Candidate Pool under §8.4.a maintained by the Elections Panel, conducted no later than 24 months before the incumbent’s term expires;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Parliamentary Amendment: A 2/3 supermajority of the full seated membership of both chambers proposes the amendment.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(§4.1.c) and elected executives. Two removal tracks are available.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 Generals, DIC administrators, MA board members, and all other constitutionally confirmed independent officers. Provisions governing specific offices may cross-reference this section without restating its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