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Both executives must attend at least one session per quarter.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The JEC has 14 days to produce a joint resolution. Where no joint resolution is published within 14 days, the matter is transmitted to the House Speaker and Senate Speaker jointly. The Legislature may resolve the deadlock by concurrent resolution of both chambers within 30 days — a concurrent resolution under this provision binds both executives to its terms for the duration of the impasse only and does not alter permanent domain boundaries. Where the Legislature does not act within 30 days, the PM’s residual authority governs until either the executives reach agreement or the Legislature acts. A coordination failure declaration and all resolution steps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then has 60 days to hold a removal vote; a 3/5 majority removes the officer permanently. A vote that fails to reach 3/5 reinstates the officer and closes the process. Where the Senate fails to vote within 60 days: if the next federal electoral period falls within 6 months, the matter is placed on that ballot; otherwise the Legislature may set a special election by concurrent resolution with a minimum 90-day notice period — failure to set a date within 30 days defaults the matter to the next federal electoral period. Removal by election requires 60% of votes cast. All steps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Both executives must approve the designation within 5 days of the vacancy arising; the designation is published to the NRS immediately.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no later than 24 months before the incumbent’s term expires, to ensure confirmation is complete before the transition;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no later than 24 months before the incumbent’s term expires;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no later than 24 months before the incumbent’s term expires;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All pool records and certifications are published to the NRS.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requires: a substantiated finding from a State Designee Panel under §8.9; a 14-day SC appeal window from publication of the finding; and a 2/3 vote of both chambers simultaneously. Duty suspension triggers upon publication of a substantiated Panel finding, pending the vote and any SC review. Any IG may additionally be removed without cause by 3/4 of both chambers simultaneously, except the JI IG — whose lottery-based selection makes no-cause removal equivalent to a political veto over the draw result — who may be removed for cause only.</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constituted per proceeding to determine, before any qualifying for-cause removal vote, whether the stated grounds are substantiated within the enumerated constitutional categories for the relevant office. The Panel publishes a binary finding only — grounds substantiated or unsubstantiated. Each State maintains a standing State Designee Pool; eligibility requires at least five years of citizenship, no current or recent federal office, and no pending federal criminal proceedings. Pool membership is a public NRS record maintained by the LI. Upon activation, the JIC constitutes a Panel of five members by lottery within five days from the combined national pool. The Panel has 21 days from full constitution to review. The Panel determines only whether the stated grounds, as documented in the submitted record, constitute at least one enumerated constitutional category for the subject office — it does not independently investigate or assess credibility. A substantiated finding authorises the Legislature to proceed to a removal vote and triggers applicable duty suspension. Either finding is published permanently to the NRS. The subject officer may petition the SC within 14 days; the Court reviews only whether constitutional categories were correctly applied and must rule within 21 days; a petition does not automatically stay duty suspension.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 All designations, approvals, findings, and SC rulings are published permanently to the NRS.</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Two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two paths, both requiring a 2/3 supermajority of the full seated membership of both chambers as the legislative threshold. No executive signature is required; no executive veto applies. Every member's vote on any amendment is published to the NRS. 
Path A — Legislative and State Ratification: A 2/3 supermajority of both chambers, followed by ratification by 2/3 of States. The Legislature defines the ratification period by statute. 
Path B — Legislative and Popular Ratification: A 2/3 supermajority of both chambers, followed by a national popular referendum achieving 2/3 affirmative support with at least 55% citizen participation. The Legislature defines the referendum window by statute. 
Both paths are available for any amendment. The proposing body specifies which path applies at the time of proposal.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operating the National Record System, the National Voting System, and maintaining all constitutional candidate registries and pools as the administrative keeper of record. The Commission comprises two panels of three administrators each — the NRS Panel and the Elections Panel. Each panel governs its own system independently in day-to-day operations; neither panel may direct the other. Both panels sitting together constitute the full Commission for joint decisions on architecture standards, technical policy, budget, and any matter crossing both systems. Joint decisions require a majority of the full six-member Commission; where the Commission is equally divided, the Director casts a deciding vote. The Commission is independent of both executives and the Legislature in the exercise of its administrative and certification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Terms are staggered so that no more than two seats across both panels expire within any two-year window.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The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elects its Director from among the six administrators by majority vote of the full Commission. The Director serves in that role for not more than 4 years and may not serve consecutive Director terms — after serving as Director a person must serve at least one full Director term as a panel member before standing again. The Director remains a full panel member throughout their Director service and retains their panel vote. As Director, they chair joint Commission sessions, cast deciding votes when the Commission is equally divided, and serve as the Commission's constitutional representative for external matters. The Director may not direct either panel in operational matters within that panel's independent domain. Where the Director role is vacant, the Commission elects an Acting Director from among its members within 7 days.</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requires: a substantiated finding from a State Designee Panel under §8.9; a 14-day SC appeal window from publication of the finding; and a 2/3 vote of both chambers simultaneously. Duty suspension triggers upon publication of a substantiated Panel finding. Any removal vote within 180 days of a major national election is automatically suspended pending SC review within 48 hours. The EI oversees the Commission as a whole for executive accountability purposes. The JIC audits NRS operation and integrity compliance annually under §8.12; the JI audits Elections Panel operations and electoral integrity annually. All findings are published to the NRS and transmitted to both chambers.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the Commission to adopt temporary technical measures in response to imminent security threats or system failures; emergency measures may not change electoral rules, timelines, or NRS record permanence; they expire within 72 hours unless ratified by the full Commission.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passed by 2/3 of both chambers. The TAM is time-limited, non-criminal (it cannot impose criminal sentences or orders equivalent to criminal punishment), and subject to NRS publication. The TAM investigates, documents, and recommends remedies for serious violations committed by predecessor government entities; its jurisdiction is bounded to predecessor-era conduct. Findings may recommend criminal referrals, institutional restructuring, or reparative measures, but carry no binding force. The TAM may not publish preliminary or draft determinations — only finalized findings that have completed the evidentiary process. The establishing statute and any amendments require the same 2/3 majority; no amendment may expand the TAM's subject matter scope beyond the establishing statute. The TAM dissolves at its statutory sunset; its NRS record is permanent. Extension beyond the statutory sunset requires a fresh 2/3 supermajority in both chambers. No new Transitional Accountability Mechanism may be established within ten years of the sunset of a prior Mechanism.</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