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§1.19.b.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§12.1.</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(§1.19.d) without renewal.</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(§1.11); the right to a public trial (§1.13); no retroactive punishment (§1.14); and non-refoulement (§1.21).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§1.19.c  </w:t>
      </w:r>
      <w:r>
        <w:rPr>
          <w:rFonts w:ascii="Garamond" w:cs="Garamond" w:eastAsia="Garamond" w:hAnsi="Garamond"/>
          <w:b/>
          <w:bCs/>
          <w:i w:val="false"/>
          <w:iCs w:val="false"/>
          <w:color w:val="1B2A4A"/>
          <w:sz w:val="22"/>
          <w:szCs w:val="22"/>
        </w:rPr>
        <w:t xml:space="preserve">Monitor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§1.19.d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§1.19.e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and treaty negotiation; intelligence; trade agreements subject to §2.4; and appointments within the Legat Consul's domain. Legat Consul's authority is enumerated; the Civic Consul's authority is residual. Where the domain of a proposed action is disputed, the Council of Ministers under §2.14 is the first forum; pending resolution, the Civic Consul's residual authority governs except for matters expressly enumerated in this provision. During active military operations, the Legat Consul's domain governs operational decisions; either executive may petition the SC for an expedited domain determination. The Legat Consul serves a single non-renewable term of four years. Upon expiration of the term, all authority transfers immediately to the incoming Legat Consul. The outgoing Legat Consul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Civic Consul certification throughout; expenditure without Civic Consul certification is void. All military operations must state and be consistent with an authorized purpose under §14.1.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directs foreign intelligence. No intelligence operation may be conducted against Republic citizens within Republic territory on the Legat Consul's authority; such operations require independent judicial authorization. The EM reports any order authorizing domestic intelligence operations without judicial authorization to the NRS. The Legat Consul may veto legislation that raises a genuine constitutional concern within the Legat Consul's security domain — military operations, intelligence, treaty obligations, or border security. A general or speculative security connection is insufficient. Either Speaker may request an EM assessment of whether the veto falls within the Legat Consul's defined domain; the EM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Consular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negotiates and concludes trade agreements. Civic Consul written concurrence is required only for provisions imposing national treatment obligations within Republic territory, provisions requiring new domestic legislation, or provisions creating direct obligations on domestic persons. All other trade terms are within the Legat Consul's sole authority. Where Civic Consul concurrence is withheld on a specific provision, that provision may be transmitted to the Assembly as ordinary legislation while the remaining agreement proceeds to Senate ratification independently. The Legat Consul nominates senior domain officers — Director of Intelligence, Director of Foreign Affairs, Director of Defense — from a pool of qualified candidates maintained by the Elections Panel and certified by the JM under §9.12.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Civic Consul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holds residual executive authority over all functions not enumerated as Consular. To hold the office of Civic Consul, a person must have been a citizen for at least 7 years at the time of taking office and must hold no federal felony conviction. No other eligibility requirement applies. The Civic Consul answers to the Assembly through the confidence mechanism and does not require consular confirmation for the exercise of the domestic domain. The Civic Consul's domestic authority includes: all domestic policy and regulatory frameworks; the annual budget, which must originate with the Civic Consul and pass the Assembly; certification of military expenditure; the civil service; and administration of the social state under Article X. The Civic Consul may declare a domestic emergency in response to natural disaster, public health crisis, or infrastructure failure, subject to the constraints of Article I and renewable Assembly approval at intervals defined by statute. The Legat Consul has no role in domestic emergencies. The Civic Consul has the right to be informed on national security matters that bear on domestic interests; no classification may be used to withhold such information from the Civic Consul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Civic Consul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No person may serve more than 8 consecutive years as Civic Consul, and no more than 12 years in total across all periods of service. Both limits operate simultaneously; the stricter governs at any given moment. The Assembly elects the Civic Consul by absolute majority within the period defined by statute following any general election or vacancy. If the Assembly does not elect a Civic Consul within that period, the Civic Consul designates a Caretaker Civic Consul from the confirmed ministers; the designation is published to the NRS and confirmed by the LM.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by absolute majority and the Senate has not designated a Civic Consul within 45 days of the Assembly failing to elect one within the statutory period, the Elections Panel administers a public dissolution referendum; the question is whether the people wish to dissolve the Assembly and hold a new election; the referendum is administered with a minimum 30-day campaign window; a simple majority decides. If the Assembly elects a Civic Consul by absolute majority at any point before the dissolution vote is certified, the referendum is moot and concludes without effect. Where the dissolution vote passes, dissolution takes effect from the moment of Elections Panel certification and is published to the NRS; a new Assembly general election follows under the ordinary electoral process; the Caretaker mechanism continues until the new Assembly elects a Civic Consul. Where the Civic Consul is temporarily unable to exercise authority, the Civic Consul’s designated Acting Civic Consul serves with authority limited to maintaining existing policy and emergency functions; Caretaker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Civic Consul withholds assent from a bill passed by both chambers, the Civic Consul exercises a suspensive veto by returning the bill to the Legislature within the period defined by statute with a written statement of objection specifying constitutional, fiscal, or operational grounds, published to the NRS. The bill is suspended from taking effect during the return and reconsideration period. The Legislature may override the suspensive veto by 2/3 of both chambers simultaneously; a successfully overridden bill takes effect without Civic Consul assent. Where the Legislature does not hold an override vote within the period defined by statute, the bill lapses for that session and may be reintroduced in the next. The suspensive veto may not be used on the annual budget, bills implementing a constitutional obligation, or emergency legislation. The Civic Consul may also object on specific solvency grounds — the bill would cause or materially worsen a structural deficit. Requires MA assessment; the Assembly may override by simple majority after receiving the assessment. If the Civic Consul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Consular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Consular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service by succession does not consume the successor's own eligibility to stand at the next election. Where the Legat Consul is temporarily unable to exercise authority, the EM and LM jointly assess capacity and, on joint assessment published to the NRS, Acting Consular Authority transfers to the Senate Speaker without vacating the Speaker's Senate seat by constitutional operation from the moment of joint certification published to the NRS. Acting authority ends when the Legat Consul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foundied by the EM.</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Assembly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Caretaker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Caretaker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be removed on two independent tracks. Under the legislative track, 2/3 of both chambers simultaneously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§13.4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Council of Ministers;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Either executive may petition the SC directly for emergency resolution of a coordination failure; the SC must rule within the period defined by statute, not to exceed 48 hours.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Assembly Speaker and Senate Speaker jointly, and the Council of Ministers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Council of Ministers joint resolution published within the 14-day window closes the process; the Legislature takes no further action. Where neither the Council of Ministers nor the Legislature acts within 30 days of the declaration, the Civic Consul’s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JMC reports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Monitor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and does not hold a place in the Legat Consul succession line.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EM and published to the NRS. Mid-term vacancies in Assembly seats are filled by special election administered by the Elections Panel; the Legislature establishes timing and procedures by statute, ensuring no seat remains vacant beyond a reasonable period. The Assembly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following and on the basis of a published EM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electoral cycles as Speaker without sitting out one electoral cycle.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The Legislature defines qualification standards for each agency’s officer pool by statute. The JM certifies candidates meeting those standards and maintains the pool as a public NRS record. The Civic Consul nominates the agency director from the certified pool only; a nomination outside the certified pool is constitutionally void. The Senate confirms by 2/3 supermajority. Agency officers serve fixed terms defined by statute and are removable for cause only; no executive may unilaterally remove an independent agency officer. Cause must relate to conduct, competence, or a disqualifying offense under §3.12;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1B2A4A"/>
          <w:sz w:val="18"/>
          <w:szCs w:val="18"/>
        </w:rPr>
        <w:t xml:space="preserve">§3.11  </w:t>
      </w:r>
      <w:r>
        <w:rPr>
          <w:rFonts w:ascii="Garamond" w:cs="Garamond" w:eastAsia="Garamond" w:hAnsi="Garamond"/>
          <w:b/>
          <w:bCs/>
          <w:color w:val="1B2A4A"/>
          <w:sz w:val="22"/>
          <w:szCs w:val="22"/>
        </w:rPr>
        <w:t>Inviolability of Electoral Mandates</w:t>
      </w:r>
    </w:p>
    <w:p>
      <w:pPr>
        <w:spacing w:after="120" w:before="0"/>
        <w:ind w:left="431"/>
        <w:jc w:val="both"/>
      </w:pPr>
      <w:r>
        <w:rPr>
          <w:rFonts w:ascii="Garamond" w:cs="Garamond" w:eastAsia="Garamond" w:hAnsi="Garamond"/>
          <w:b w:val="false"/>
          <w:bCs w:val="false"/>
          <w:i w:val="false"/>
          <w:iCs w:val="false"/>
          <w:color w:val="auto"/>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§3.5; and impeachment and removal under §3.10. Any mechanism enabling the people themselves to shorten an elected mandate not already provided in this Constitution requires a constitutional amendment under Article XVII and may not be established by ordinary statute.</w:t>
      </w:r>
    </w:p>
    <w:p>
      <w:pPr>
        <w:spacing w:after="60" w:before="200"/>
        <w:ind w:left="431"/>
        <w:jc w:val="left"/>
      </w:pPr>
      <w:r>
        <w:rPr>
          <w:rFonts w:ascii="Courier New" w:cs="Courier New" w:eastAsia="Courier New" w:hAnsi="Courier New"/>
          <w:b/>
          <w:bCs/>
          <w:color w:val="1B2A4A"/>
          <w:sz w:val="18"/>
          <w:szCs w:val="18"/>
        </w:rPr>
        <w:t xml:space="preserve">§3.12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§3.13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reported by the LM.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meeting the qualifications for inferior court judges defined by statute may apply directly to the Elections Panel; the JM certifies eligibility against those qualifications and the Elections Panel enters certified applicants into the pool. Exceptions to pool eligibility — including persons currently holding government positions, those with disqualifying financial interests, and those removed from a court within a recent period — are defined by statute. The Civic Consul nominates inferior court judges from the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an EM assessment of constitutional breach or demonstrated incapacity, which either chamber may request;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EM finding of constitutional breach in the exercise of judicial authority; certified permanent incapacity jointly certified by the EM and LI;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Civic Consul from the open SC Candidate Registry maintained by the Elections Panel with eligibility certified by the JM under §9.4.b — any eligible citizen who applies and meets the qualification criteria is entered. The Civic Consul nominates within the period defined by statute following a vacancy (not to exceed 90 days for anticipated vacancies, 60 days for unanticipated vacancies). The JM confirms registry status and publishes the nominee's full record. The Senate must vote within the period defined by statute following JM publication of the nominee's record (not to exceed 120 days); no deemed confirmation applies, but failure to vote within that period is certified by the LM as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SC Candidate Registry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absence of documented welfare dependency on a foreign state — no ideological screening or nationality-based quotas. Any denial must specify the precise ground in writing. Once an applicant clears both gates, the Legat Consul must ministerially issue residency credentials; Legat Consul's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§6.3 are exempt from Gate 1 — no State's refusal to sponsor can extinguish a §1.21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Gate 1 challenges brought on §1.6 grounds are published to the NRS; personally identifying information of applicants who are not public figures is protected consistent with §1.7. Where Gate 2 is denied on national security grounds, a reviewing court may examine the classified assessment in camera to determine whether it constitutes a credible, specific, and documented security concern; where the court finds the assessment insufficient, the denial is vacated and Gate 2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§6.3.c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§1.21 protection. A federal legal guardian must be appointed by the federal court with jurisdiction over the point of contact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The Elections Panel administers and certifies all consular elections. Territory citizens vote in consular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or the Elections Panel itself where it identifies a material error in its own certification. No transfer of Legat Consul's authority may be delayed beyond the constitutional transition provisions.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Assembly elections every two years; Senate elections on the staggered six-year cycle; consular elections every four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report them within 10 days and either return them to the contributor or remit them to the public campaign financing fund.</w:t>
      </w:r>
    </w:p>
    <w:p>
      <w:pPr>
        <w:spacing w:after="60" w:before="200"/>
        <w:jc w:val="left"/>
      </w:pPr>
      <w:r>
        <w:rPr>
          <w:rFonts w:ascii="Garamond" w:cs="Garamond" w:eastAsia="Garamond" w:hAnsi="Garamond"/>
          <w:b/>
          <w:bCs/>
          <w:i w:val="false"/>
          <w:iCs w:val="false"/>
          <w:color w:val="1B2A4A"/>
          <w:sz w:val="34"/>
          <w:szCs w:val="34"/>
        </w:rPr>
        <w:t xml:space="preserve">Article IX — The Monitors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Monitors — Legislative (LI), Executive (EI), and Judicial (JI) — each selected by bodies other than those it oversees. The Monitors hold an information-only mandate: they publish findings but do not issue binding orders. Each Monitor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audits the courts for judicial scope and independence. The JM certifies eligibility for the SC Candidate Registry under §9.4.b and confirms registry status for SC nominees, and conducts annual audits of the Elections Panel for electoral integrity compliance. The JM reviews accommodation compact compliance, Associated Community compact compliance under Article XX, and Article XVI indigenous compact obligations. The JM's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An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Monitor is constituted through a process that structurally excludes the body being watched from selecting its watchers. The SC nominates the LM Monitor General, confirmed by Senate 2/3 supermajority — the Legislature is entirely excluded. The Assembly Speaker and Senate Speaker jointly nominate the EM Monitor General, confirmed by Senate 2/3 supermajority with JM vetting — the executives are excluded, neither Speaker can act alone, and the 2/3 confirmation threshold requires broad Senate consensus for confirmation. The JM Monitor General is selected by public lottery from a pool of former judges certified by the LM and EM — the JM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Monitor General is nominated by the SC from a pool of qualified candidates maintained by the Elections Panel and certified jointly by the EM and JM, sufficiently in advance under the timeline defined by statute to ensure confirmation is complete before the transition under §3.13; confirmed by national popular vote at the next federal electoral period following nomination, by simple majority of votes cast. The confirmed successor assumes full Monitor General authority at the precise moment the incumbent’s term concludes under §3.13. If the confirmation vote fails, the §9.1.d acting mechanism activates and the SC initiates a new nomination from the pool within 60 days. The EM Monitor General is nominated jointly by the Assembly Speaker and Senate Speaker from a pool of qualified candidates maintained by the Elections Panel and certified jointly by the LM and JM, sufficiently in advance under the timeline defined by statute under §3.13; confirmed by national popular vote at the next federal electoral period following nomination, by simple majority of votes cast, with JM vetting of the nominee’s disclosure record published before the vote. The same timing and failed-vote provisions apply. Where the Assembly Speaker and Senate Speaker fail to jointly nominate within 60 days of a vacancy being published to the NRS, the Senate selects a nominee from the certified pool directly by 2/3 vote of full seated membership; the selected nominee proceeds to national popular vote confirmation on the same terms; the executives remain excluded from nomination under both paths. The JM Monitor General is selected by public lottery under §9.12 from the JM Candidate Pool under §9.4.a maintained by the Elections Panel, conducted at the statutory timeline under §3.13, sufficiently in advance to ensure seamless succession. The lottery-selected candidate is confirmed by national popular vote at the next federal electoral period following the draw, by simple majority of votes cast; the confirmed candidate assumes office at the precise moment the incumbent’s term concludes under §3.13. If the confirmation vote fails, the §9.1.d acting mechanism activates and the JMC conducts a new lottery from the pool within 60 days; the same confirmation process applies to the new selection. All Monitor Generals serve 10-year non-renewable terms. No two Monitor General terms may begin within 18 months of each other, ensuring continuous institutional knowledge across offices. The Elections Panel administers all Monitor General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JM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JM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§9.4.a  </w:t>
      </w:r>
      <w:r>
        <w:rPr>
          <w:rFonts w:ascii="Garamond" w:cs="Garamond" w:eastAsia="Garamond" w:hAnsi="Garamond"/>
          <w:b/>
          <w:bCs/>
          <w:i w:val="false"/>
          <w:iCs w:val="false"/>
          <w:color w:val="1B2A4A"/>
          <w:sz w:val="22"/>
          <w:szCs w:val="22"/>
        </w:rPr>
        <w:t xml:space="preserve">Judicial Monitor General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LM certifies each applicant's judicial service record for accuracy; the EM reviews financial disclosure; both certifications are published to the NRS as the pool entry record. The Elections Panel enters an applicant into the pool upon LM and EM certification; it may not exclude a certified applicant. The Joint Monitor Council conducts the lottery from the pool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§9.4.b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JM certifies the eligibility of each applicant against the stated criteria and publishes its certification to the NRS as part of the registry entry. The EM reviews each applicant's financial disclosure for factual accuracy and publishes findings to the NRS alongside the JM certification. The Elections Panel includes an applicant in the registry upon JM certification; it may not exclude a JI-certified applicant. Registry inclusion does not expire unless the JM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Monitor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Monitor General follows §9.14 Standard Track. The Judicial Track under §9.14 is additionally available where two of the three Monitors jointly assess and report for-cause grounds.</w:t>
      </w:r>
    </w:p>
    <w:p>
      <w:pPr>
        <w:spacing w:after="60" w:before="200"/>
        <w:ind w:left="431"/>
        <w:jc w:val="left"/>
      </w:pPr>
      <w:r>
        <w:rPr>
          <w:rFonts w:ascii="Courier New" w:cs="Courier New" w:eastAsia="Courier New" w:hAnsi="Courier New"/>
          <w:b/>
          <w:bCs/>
          <w:color w:val="1B2A4A"/>
          <w:sz w:val="18"/>
          <w:szCs w:val="18"/>
        </w:rPr>
        <w:t xml:space="preserve">§9.6  </w:t>
      </w:r>
      <w:r>
        <w:rPr>
          <w:rFonts w:ascii="Garamond" w:cs="Garamond" w:eastAsia="Garamond" w:hAnsi="Garamond"/>
          <w:b/>
          <w:bCs/>
          <w:i w:val="false"/>
          <w:iCs w:val="false"/>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Monitors publish findings; they do not issue binding orders or legal determinations. Every finding, report, and discrepancy notice must be published to the NRS permanently and free of charge; no official may suppress, delay, classify, or alter an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reported by the LM.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§9.7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§9.8  </w:t>
      </w:r>
      <w:r>
        <w:rPr>
          <w:rFonts w:ascii="Garamond" w:cs="Garamond" w:eastAsia="Garamond" w:hAnsi="Garamond"/>
          <w:b/>
          <w:bCs/>
          <w:i w:val="false"/>
          <w:iCs w:val="false"/>
          <w:color w:val="1B2A4A"/>
          <w:sz w:val="22"/>
          <w:szCs w:val="22"/>
        </w:rPr>
        <w:t xml:space="preserve">EM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EM's annual report covers: whether military operations in the prior year were authorized through the correct tier; whether the §2.3 intelligence warrant requirement was maintained throughout all operations; whether Civic Consul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§9.9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§9.14, the charging party — a concurrent resolution of 1/3 of either chamber, or two of the three Monitors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§9.10  </w:t>
      </w:r>
      <w:r>
        <w:rPr>
          <w:rFonts w:ascii="Garamond" w:cs="Garamond" w:eastAsia="Garamond" w:hAnsi="Garamond"/>
          <w:b/>
          <w:bCs/>
          <w:i w:val="false"/>
          <w:iCs w:val="false"/>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Monitor may not fall below the inflation-adjusted equivalent of the prior fiscal year's funding level without a 2/3 vote of both chambers simultaneously. The Monetary Authority certifies each Monitor's prior-year funding level adjusted for inflation and publishes the certified floor to the NRS before the Legislature begins its annual budget process. Where a budget reduces any Monitor below its certified inflation-adjusted floor without the required supermajority, the prior-year funding level takes effect automatically for that Monitor by constitutional operation.</w:t>
      </w:r>
    </w:p>
    <w:p>
      <w:pPr>
        <w:spacing w:after="60" w:before="200"/>
        <w:ind w:left="431"/>
        <w:jc w:val="left"/>
      </w:pPr>
      <w:r>
        <w:rPr>
          <w:rFonts w:ascii="Courier New" w:cs="Courier New" w:eastAsia="Courier New" w:hAnsi="Courier New"/>
          <w:b/>
          <w:bCs/>
          <w:color w:val="1B2A4A"/>
          <w:sz w:val="18"/>
          <w:szCs w:val="18"/>
        </w:rPr>
        <w:t xml:space="preserve">§9.11  </w:t>
      </w:r>
      <w:r>
        <w:rPr>
          <w:rFonts w:ascii="Garamond" w:cs="Garamond" w:eastAsia="Garamond" w:hAnsi="Garamond"/>
          <w:b/>
          <w:bCs/>
          <w:i w:val="false"/>
          <w:iCs w:val="false"/>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Inspectors General jointly constitute the JMC as the standing coordination body for matters crossing Monitor jurisdictions. The JMC formally houses all jointly certified constitutional functions — including lottery draws and selection processes throughout the constitution. The chair of any joint session is the Monitor General whose domain covers the primary subject matter; where all domains are equally engaged, the chair rotates annually. Where the IGs cannot reach consensus on a joint matter, each publishes their individual assessment and the disagreement is noted in the permanent NRS record.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1B2A4A"/>
          <w:sz w:val="18"/>
          <w:szCs w:val="18"/>
        </w:rPr>
        <w:t xml:space="preserve">§9.11.a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Monitor General assumes all constitutional functions of the compromised Monitor from the moment of designation. If the SC does not confirm the finding, the Acting Monitor General stands down and all functions return immediately to the original Monitor General.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§9.12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Monitor. The appropriate Monitor reviews each applicant against the qualification requirements for that registry or pool and publishes a certification to the NRS. Where an office involves significant financial authority, the EM reviews financial disclosure concurrently. Pool records and certifications are public NRS records at all times. The Joint Monitor Council conducts the draw in a public session, certifies the result jointly, and publishes it to the NRS. Where selection is by deliberate nomination, the named officer nominates from certified pool members. Where confirmation is required, the Senate must act within the period defined by the establishing provision; failure to confirm within that period is a constitutional compliance breach reported by the LM. The JM monitors all constitutional pools annually and publishes a status report; where a pool falls below its constitutional minimum, the relevant nominating bodies must respond within 30 days.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§9.13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JMC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§9.14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§9.9;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Monitors jointly assess and report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Monitor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Monitor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JM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EI;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XI — NRS Panel and Elections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The Chair of each panel is its most senior member by continuous service; where two or more members have equal continuous service, the Chair is determined by lot conducted by the JMC.</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XII — Social State and Economic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reported by the LM.</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public campaign financing system within the period defined by statute following the first Legislature convening; failure to do so is a constitutional compliance breach reported by the LM.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EM reports the conflict to the NRS and the relevant chamber may void the decision by simple majority within 90 days of that certification. Constitutional officers may not, for a period defined by statute after leaving office — which may not be less than two years — engage in any activity that monetizes or draws on non-public information, relationships, or access accumulated during service; the EM determines whether a post-service engagement falls within this restriction and the officer bears the burden of demonstrating it does not.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§12.1 during periods of Severe Revenue Contraction, as certified by the independent Monetary Authority established under §12.1. It operates independently of the annual budget process. The Endowment is governed by a board of five trustees selected by public lottery from the National Endowment Trustee Pool. Each executive nominates qualified persons to the pool annually; pool entry follows §9.12 and eligibility is certified jointly by the EM and LI; the JMC conducts the trustee lottery under §9.12. Disbursements are activated on Monetary Authority certification of Severe Revenue Contraction and continue until the Monetary Authority certifies the contraction has ended. Trustees serve staggered 6-year non-renewable terms and may be removed only for cause under the framework established in §9.14. The board's sole mandate is to preserve and grow the Endowment for social state backstop purposes; it may not be directed to any other goal. All board decisions and performance reports are published to the NRS; the EM audits the board annually.</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EM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XIII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LM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the same threshold as a citizen-initiated constitutional amendment under §17.1, reflecting the democratic mandate required to bypass the Legislature entirely.</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the Judicial Track (§9.14). The Legislature may not set a higher or lower threshold for any direct electoral supermajority determination without a constitutional amendment. This provision does not govern the optional referendum or citizen initiative under §13.1–§13.2,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XIV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Civic Consul certification concurrent with legislative authorization. No military operation may be funded without Civic Consul certification; the Civic Consul may certify, condition, or decline certification on any operation. Expenditure in categories not covered by the certification requires supplementary Civic Consul certification. When legislative authorization expires or is not renewed, all military expenditure ceases; ongoing contracts may continue to wind down for the period the Legislature defines by statute; no new commitments may be entered after authorization expires. The EM audits all military expenditure during active operations and publishes findings to the NRS. Within the period the Legislature defines by statute following the conclusion of any military operation, not to exceed 180 days, the EM publishes a comprehensive expenditure accountability report. Where the Civic Consul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Legat Consul must publish notice of the certification refusal to the NRS within 24 hours with stated grounds; both chambers must be notified simultaneously; if the Legislature does not act within the maintenance period, all expenditure ceases. A Civic Consul who declines certification bears the same constitutional attribution for the consequences of that decision as a Legat Consul who orders an operation.</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the LM reports a constitutional compliance breach; the Civic Consul may provisionally authorize continued operations for up to 60 days total in two 30-day extensions, each requiring Civic Consul notification to the Senate and publication to the NRS confirming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Legat Consul may act immediately and must notify both chambers and the Civic Consul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Civic Consul certification of expenditure applies from the moment of action under §14.2.</w:t>
      </w:r>
    </w:p>
    <w:p>
      <w:pPr>
        <w:spacing w:after="60" w:before="200"/>
        <w:jc w:val="left"/>
      </w:pPr>
      <w:r>
        <w:rPr>
          <w:rFonts w:ascii="Garamond" w:cs="Garamond" w:eastAsia="Garamond" w:hAnsi="Garamond"/>
          <w:b/>
          <w:bCs/>
          <w:i w:val="false"/>
          <w:iCs w:val="false"/>
          <w:color w:val="1B2A4A"/>
          <w:sz w:val="34"/>
          <w:szCs w:val="34"/>
        </w:rPr>
        <w:t xml:space="preserve">Article XV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grant provisional audit status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LM and confirmed by both the EM and JM. After each failing audit, the LM publishes an Early Warning specifying compliance requirements; the State must publish a Remediation Plan within 60 days. After three consecutive failures, citizens vote on one of three paths: a two-year federal remediation commission; a State-managed remediation plan subject to LM quarterly assessment of progress against the published compliance requirements; or devolution to Territory status. The chosen path is published to the NRS. A State-managed plan that fails two consecutive quarterly assessments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Assembly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§15.2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JM's published assessment of whether the entity systematically violates any non-derogable right listed in §1.19.b; and acceptance by the Legislature by 2/3 of both chambers.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1B2A4A"/>
          <w:sz w:val="18"/>
          <w:szCs w:val="18"/>
        </w:rPr>
        <w:t xml:space="preserve">§15.7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XVI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Consul's domestic affairs office,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Civic Consul's designated Compact Officer for domestic and governance matters; the Legat Consul's designated representative participates for any matter within the Legat Consul's domain under §2.1. Council decisions are binding on both parties within the scope of the compact; neither party may unilaterally declare a compact dispute resolved. Constitutional questions are appealed to the SC, which must rule within 90 days of petition; where the SC fails to rule within 90 days, the Nation’s position is upheld by constitutional operation pending any subsequent ruling.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XVI holds the constitutional right to initiate a status transition through its own democratic or traditional governance process. Three status options are available: (a) Compact Status — continued Article XVI compact relationship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§16.7.a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§16.7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XVI compact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§16.7.</w:t>
      </w:r>
    </w:p>
    <w:p>
      <w:pPr>
        <w:spacing w:after="60" w:before="200"/>
        <w:jc w:val="left"/>
      </w:pPr>
      <w:r>
        <w:rPr>
          <w:rFonts w:ascii="Garamond" w:cs="Garamond" w:eastAsia="Garamond" w:hAnsi="Garamond"/>
          <w:b/>
          <w:bCs/>
          <w:i w:val="false"/>
          <w:iCs w:val="false"/>
          <w:color w:val="1B2A4A"/>
          <w:sz w:val="34"/>
          <w:szCs w:val="34"/>
        </w:rPr>
        <w:t xml:space="preserve">Article XVII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LM,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LM petition verification. Citizen initiative amendments are subject to §17.3 consistency analysis by the LM, advisory only.</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Legat Consul nor the Civic Consul has any role in the constitutional amendment process. No signature required. No veto available. An amendment takes effect immediately upon LM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LM publishes a consistency analysis of any proposed amendment within 30 days of passage by both chambers for a parliamentary amendment, or within 30 days of LM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Civic Consul publishes a Requirements Specification to the NRS defining minimum functional, security, physical, and operational requirements; the Legislature establishes specific standards by statute. Any State or Territory may submit a bid; the Legislature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or if bids are submitted but none meet the published Requirements Specification, the existing arrangement continues and the Legislature may revise the Specification for the next cycle.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§18.4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1B2A4A"/>
          <w:sz w:val="18"/>
          <w:szCs w:val="18"/>
        </w:rPr>
        <w:t xml:space="preserve">§18.5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§18.3 and §18.4. Host State legislative consent is not required because Territories have no State legislature; the Territory's representative body must publish a written position to the NRS within 60 days of the proposed use right registration; the LM confirms the position was published before the use right is registered; where no position is published within 60 days, the LM certifies the omission and the registration may proceed.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Monitor panel of one representative per Monitor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Legat Consul,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Monitor panel assembles the initial Candidate Registers for all constitutionally established positions before Phase 3 elections can occur. The panel performs the register-assembly and vetting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§5.1.a, within 180 days; the Census Bureau under §3.2, within 18 months. Where the Legislature fails to meet a deadline, §3.9 applies: the LM publishes a compliance notice certifying the breach, and the responsible Monitor reports on the unfilled mandate until the agency is established. The LM publishes a compliance notice when any establishment deadline is missed and again when the agency becomes operational. The Legislature may not permanently delegate a constitutionally required statutory function to an Monitor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§15.7, to independent nations outside the Republic seeking a defined relationship, or to nations recognized as pre-existing sovereigns under Article XIV.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Judicial Monitor assesses and reports on compliance with this condition before parliamentary ratification of any compact; a compact negotiated with a non-compliant entity is void regardless of parliamentary ratification. The JM conducts annual compliance reviews and publishes findings to the NRS. Where the JM finds systematic violations of the non-derogable rights under §1.19.b, the compact is suspended pending Supreme Court review. The Court may terminate the compact on confirmed systematic violations without remediation within a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JM publishes its assessment.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JM assessment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