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§1.26.b.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§1.26.b.</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§10.1.</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§1.26.b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§1.26.a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(§1.26.d) without renewal.</w:t>
      </w:r>
    </w:p>
    <w:p>
      <w:pPr>
        <w:spacing w:after="60" w:before="200"/>
        <w:ind w:left="431"/>
        <w:jc w:val="left"/>
      </w:pPr>
      <w:r>
        <w:rPr>
          <w:rFonts w:ascii="Courier New" w:cs="Courier New" w:eastAsia="Courier New" w:hAnsi="Courier New"/>
          <w:b/>
          <w:bCs/>
          <w:color w:val="1B2A4A"/>
          <w:sz w:val="18"/>
          <w:szCs w:val="18"/>
        </w:rPr>
        <w:t xml:space="preserve">§1.26.b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(§1.12); the right to a public trial (§1.16); no retroactive punishment (§1.19); and non-refoulement (§1.28).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§1.26.c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§1.26.d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§1.26.e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§1.27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§6.4.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§1.28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§1.26.b.</w:t>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§12.1.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§8.13.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§11.4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XIV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§1.32;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and certified by the JI under §8.13.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§8.4.e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§15.6.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§5.1.c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§5.1.f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§6.4 are exempt from Gate 1 — no State's refusal to sponsor can extinguish a §1.28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§6.4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§1.28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§6.4.c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§6.4.e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§1.28. Indefinite stateless detention is constitutionally prohibited. Where the Asylum Court grants §1.28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§6.4.h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§1.28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Inspectorates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§8.1.a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§8.1.b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§8.1.c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§8.4.e and confirms registry status for SC nominees, and conducts annual audits of the Elections Panel for electoral integrity compliance. The JI reviews accommodation compact compliance, Associated Community compact compliance under Article XX, and Article XIV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§8.1.d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§8.3.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§1.31.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§1.31; confirmed by national popular vote at the next federal electoral period following nomination, by simple majority of votes cast. The confirmed successor assumes full IG authority at the precise moment the incumbent’s term concludes under §1.31. If the confirmation vote fails, the §8.1.d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§1.31;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§8.13 from the JI Candidate Pool under §8.4.a maintained by the Elections Panel, conducted at the statutory timeline under §1.31,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§8.4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§8.4.a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§8.4.e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§8.5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§8.15 Standard Track. The Judicial Track under §8.15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§8.6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§8.7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§8.8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§8.9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§8.15,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§8.10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§8.12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§8.12.a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§8.3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§8.13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§8.15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§8.9;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IX — The National Record System</w:t>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Every government act required to be published must appear on the NRS before it takes legal effect.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§9.5.a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automatic declassification and NRS publication applies within 30 days.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 — Economic Provisions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EI audits its operations annually and publishes findings to the NRS. The Legislature may not define MA independence standards in a manner that compromises the credibility of its certification functions; the EI assesses MA independence through its annual operational audit and publishes findings to the NRS.</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§10.5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of taking office and annually thereafter; disclosure records are published to the NRS. Any officer with a direct financial interest in a decision within their authority must recuse themselves; recusal is self-executing.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§10.6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§10.1 during periods of Severe Revenue Contraction, as certified by the independent Monetary Authority established under §10.1. It operates independently of the annual budget process. The Endowment is governed by a board of five trustees selected by public lottery from the National Endowment Trustee Pool. Each executive nominates qualified persons to the pool annually; pool entry and certification follow §8.13; the JIC conducts the trustee lottery under §8.13.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§8.15.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§10.7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House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national citizen initiative referendum at the thresholds defined in §15.1. Citizen-initiated legislation that bypasses the Legislature requires the higher democratic mandate of the citizen-led amendment threshold.</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starve local governments to achieve de facto state centralization.</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(§8.15). The Legislature may not set a higher or lower threshold for any direct electoral supermajority determination without a constitutional amendment. This provision does not govern the optional referendum or citizen initiative under §11.1–§11.2,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XII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Three purposes are explicitly prohibited regardless of legislative authorization: nation-building,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the executive.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§12.2.</w:t>
      </w:r>
    </w:p>
    <w:p>
      <w:pPr>
        <w:spacing w:after="60" w:before="200"/>
        <w:jc w:val="left"/>
      </w:pPr>
      <w:r>
        <w:rPr>
          <w:rFonts w:ascii="Garamond" w:cs="Garamond" w:eastAsia="Garamond" w:hAnsi="Garamond"/>
          <w:b/>
          <w:bCs/>
          <w:i w:val="false"/>
          <w:iCs w:val="false"/>
          <w:color w:val="1B2A4A"/>
          <w:sz w:val="34"/>
          <w:szCs w:val="34"/>
        </w:rPr>
        <w:t xml:space="preserve">Article XIII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§10.1, and may begin the Statehood pathway under §13.2.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whether to accept a two-year federal remediation commission or proceed to devolution; either path is published to the NRS.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§13.5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§13.2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§13.6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§1.26.b; and acceptance by the Legislature by 2/3 of both chambers. An accepted petition produces an incorporation agreement specifying a transition period not exceeding 48 months. The Republic may not pressure any entity to initiate this process. An indigenous nation recognized under Article XIV must make a status election under §14.7 before this provision applies.</w:t>
      </w:r>
    </w:p>
    <w:p>
      <w:pPr>
        <w:spacing w:after="60" w:before="200"/>
        <w:ind w:left="431"/>
        <w:jc w:val="left"/>
      </w:pPr>
      <w:r>
        <w:rPr>
          <w:rFonts w:ascii="Courier New" w:cs="Courier New" w:eastAsia="Courier New" w:hAnsi="Courier New"/>
          <w:b/>
          <w:bCs/>
          <w:color w:val="1B2A4A"/>
          <w:sz w:val="18"/>
          <w:szCs w:val="18"/>
        </w:rPr>
        <w:t xml:space="preserve">§13.7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XIV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foundational provision recognizing that Indigenous Nations within the Republic's territory hold a distinct constitutional relationship based on prior sovereignty. The compact relationship is bilateral: the Republic acknowledges Indigenous prior sovereignty; Indigenous Nations acknowledge the Republic's constitutional framework.</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respond within 7 days.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§14.6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§14.2 and §14.4.</w:t>
      </w:r>
    </w:p>
    <w:p>
      <w:pPr>
        <w:spacing w:after="60" w:before="200"/>
        <w:ind w:left="431"/>
        <w:jc w:val="left"/>
      </w:pPr>
      <w:r>
        <w:rPr>
          <w:rFonts w:ascii="Courier New" w:cs="Courier New" w:eastAsia="Courier New" w:hAnsi="Courier New"/>
          <w:b/>
          <w:bCs/>
          <w:color w:val="1B2A4A"/>
          <w:sz w:val="18"/>
          <w:szCs w:val="18"/>
        </w:rPr>
        <w:t xml:space="preserve">§14.7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XIV holds the constitutional right to initiate a status transition through its own democratic or traditional governance process. Three status options are available: (a) Compact Status — continued Article XIV compact relationship (default; no election required to remain); (b) Territorial Integration — election to pursue territorial incorporation through §13.6, entering as a Territory with the standard §13.2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§14.7.a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§14.7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XIV compact status. Once a Nation has transitioned to Territory or State status, any further changes follow the standard constitutional processes applicable to that status under Articles XIII and XIX — including mandatory devolution under §13.3 if three consecutive Statehood Audits are failed. A Territory or State that formerly held Article XIV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§14.7.</w:t>
      </w:r>
    </w:p>
    <w:p>
      <w:pPr>
        <w:spacing w:after="60" w:before="200"/>
        <w:jc w:val="left"/>
      </w:pPr>
      <w:r>
        <w:rPr>
          <w:rFonts w:ascii="Garamond" w:cs="Garamond" w:eastAsia="Garamond" w:hAnsi="Garamond"/>
          <w:b/>
          <w:bCs/>
          <w:i w:val="false"/>
          <w:iCs w:val="false"/>
          <w:color w:val="1B2A4A"/>
          <w:sz w:val="34"/>
          <w:szCs w:val="34"/>
        </w:rPr>
        <w:t xml:space="preserve">Article XV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A proposed amendment may be withdrawn at any point before ratification is certified. Citizen Initiative Amendment (Path C):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Path C amendments are subject to §15.5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its official proposal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 — National Record System and Electoral Operations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States may offer early voting, mail-in ballots, and alternative participation methods provided all methods connect to the NVS and meet its constitutional standards. No State may reduce NVS access, functionality, or availability within its territory.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full panel ratifies them by majority vote.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XVII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House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the existing arrangement continues.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§1.23.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§17.5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§17.3 and §17.4. Host State legislative consent is not required because Territories have no State legislature; the Territory's representative body and the LI are consulted before any use right is registered.</w:t>
      </w:r>
    </w:p>
    <w:p>
      <w:pPr>
        <w:spacing w:after="60" w:before="200"/>
        <w:jc w:val="left"/>
      </w:pPr>
      <w:r>
        <w:rPr>
          <w:rFonts w:ascii="Garamond" w:cs="Garamond" w:eastAsia="Garamond" w:hAnsi="Garamond"/>
          <w:b/>
          <w:bCs/>
          <w:i w:val="false"/>
          <w:iCs w:val="false"/>
          <w:color w:val="1B2A4A"/>
          <w:sz w:val="34"/>
          <w:szCs w:val="34"/>
        </w:rPr>
        <w:t xml:space="preserve">Article XVIII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§16.3;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joint Phase 0/1 certification, consolidated debt assumption, and proportional obligation assumption per treaty terms.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the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person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§13.2 path.</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§19.10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§5.1.c, within 180 days; the Census Bureau under §3.2, within 18 months. Where the Legislature fails to meet a deadline, §3.9 applies: the function is administered on an interim basis by the responsible Inspectorate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§13.7, to independent nations outside the Republic seeking a defined relationship, or to nations recognized as pre-existing sovereigns under Article XIV. Indigenous nations holding rights under Article XIV may not substitute an Article XX compact for their Article XIV compact relationship without first completing a status election under §14.7.a.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§1.26.b,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§1.26.b,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During suspension, both parties' obligations under the compact continue in effect pending the SC's determination; the Associated Community's observer delegate rights are suspended for the duration of the review.</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Republic receives written notice of termination,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