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B2A4A"/>
          <w:sz w:val="52"/>
          <w:szCs w:val="52"/>
        </w:rPr>
        <w:t xml:space="preserve">THE CONSTITUTION OF THE FEDERATED REPUBLIC</w:t>
      </w:r>
    </w:p>
    <w:p>
      <w:pPr>
        <w:spacing w:after="60" w:before="60"/>
        <w:jc w:val="center"/>
      </w:pPr>
      <w:r>
        <w:rPr>
          <w:rFonts w:ascii="Arial" w:cs="Arial" w:eastAsia="Arial" w:hAnsi="Arial"/>
          <w:i/>
          <w:iCs/>
          <w:color w:val="4A6FA5"/>
          <w:sz w:val="24"/>
          <w:szCs w:val="24"/>
        </w:rPr>
        <w:t xml:space="preserve">v109b — Beta (Three Recommendations Implemented)</w:t>
      </w:r>
    </w:p>
    <w:p>
      <w:pPr>
        <w:spacing w:after="60" w:before="60"/>
        <w:jc w:val="center"/>
      </w:pPr>
      <w:r>
        <w:rPr>
          <w:rFonts w:ascii="Arial" w:cs="Arial" w:eastAsia="Arial" w:hAnsi="Arial"/>
          <w:i/>
          <w:iCs/>
          <w:color w:val="4A6FA5"/>
          <w:sz w:val="24"/>
          <w:szCs w:val="24"/>
        </w:rPr>
        <w:t xml:space="preserve">April 23, 2026</w:t>
      </w:r>
    </w:p>
    <w:p>
      <w:pPr>
        <w:pBdr>
          <w:bottom w:val="single" w:color="1B2A4A" w:sz="6" w:space="1"/>
        </w:pBdr>
        <w:spacing w:after="120" w:before="120"/>
      </w:pPr>
    </w:p>
    <w:p>
      <w:pPr>
        <w:spacing w:after="60" w:before="60"/>
      </w:pPr>
      <w:r>
        <w:rPr>
          <w:rFonts w:ascii="Arial" w:cs="Arial" w:eastAsia="Arial" w:hAnsi="Arial"/>
          <w:i/>
          <w:iCs/>
          <w:color w:val="000000"/>
          <w:sz w:val="22"/>
          <w:szCs w:val="22"/>
        </w:rPr>
        <w:t xml:space="preserve">A Constitutional Framework for Sovereign Governance — Rights, Powers, and Limits</w:t>
      </w:r>
    </w:p>
    <w:p>
      <w:pPr>
        <w:spacing w:after="0" w:before="240"/>
      </w:pPr>
      <w:r>
        <w:t xml:space="preserve"/>
      </w:r>
    </w:p>
    <w:p>
      <w:pPr>
        <w:pStyle w:val="Heading1"/>
        <w:spacing w:after="120" w:before="360"/>
      </w:pPr>
      <w:r>
        <w:rPr>
          <w:rFonts w:ascii="Arial" w:cs="Arial" w:eastAsia="Arial" w:hAnsi="Arial"/>
          <w:b/>
          <w:bCs/>
          <w:color w:val="1B2A4A"/>
          <w:sz w:val="32"/>
          <w:szCs w:val="32"/>
        </w:rPr>
        <w:t xml:space="preserve">PREAMBLE</w:t>
      </w:r>
    </w:p>
    <w:p>
      <w:pPr>
        <w:spacing w:after="60" w:before="60"/>
      </w:pPr>
      <w:r>
        <w:rPr>
          <w:rFonts w:ascii="Arial" w:cs="Arial" w:eastAsia="Arial" w:hAnsi="Arial"/>
          <w:color w:val="000000"/>
          <w:sz w:val="22"/>
          <w:szCs w:val="22"/>
        </w:rPr>
        <w:t xml:space="preserve">We, the inhabitants of the Federated Republic, knowing that power unchecked becomes tyranny and that rights unprotected become hollow, do ordain and establish this Constitution.</w:t>
      </w:r>
    </w:p>
    <w:p>
      <w:pPr>
        <w:spacing w:after="60" w:before="60"/>
      </w:pPr>
      <w:r>
        <w:rPr>
          <w:rFonts w:ascii="Arial" w:cs="Arial" w:eastAsia="Arial" w:hAnsi="Arial"/>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60" w:before="60"/>
      </w:pPr>
      <w:r>
        <w:rPr>
          <w:rFonts w:ascii="Arial" w:cs="Arial" w:eastAsia="Arial" w:hAnsi="Arial"/>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60" w:before="60"/>
      </w:pPr>
      <w:r>
        <w:rPr>
          <w:rFonts w:ascii="Arial" w:cs="Arial" w:eastAsia="Arial" w:hAnsi="Arial"/>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60" w:before="60"/>
      </w:pPr>
      <w:r>
        <w:rPr>
          <w:rFonts w:ascii="Arial" w:cs="Arial" w:eastAsia="Arial" w:hAnsi="Arial"/>
          <w:color w:val="000000"/>
          <w:sz w:val="22"/>
          <w:szCs w:val="22"/>
        </w:rPr>
        <w:t xml:space="preserve">This is our compact — with each other, and with those who will inherit what we build.</w:t>
      </w:r>
    </w:p>
    <w:p>
      <w:pPr>
        <w:pBdr>
          <w:bottom w:val="single" w:color="1B2A4A" w:sz="6" w:space="1"/>
        </w:pBdr>
        <w:spacing w:after="120" w:before="120"/>
      </w:pPr>
    </w:p>
    <w:p>
      <w:pPr>
        <w:spacing w:after="60" w:before="60"/>
      </w:pPr>
      <w:r>
        <w:rPr>
          <w:rFonts w:ascii="Arial" w:cs="Arial" w:eastAsia="Arial" w:hAnsi="Arial"/>
          <w:i/>
          <w:iCs/>
          <w:color w:val="555555"/>
          <w:sz w:val="22"/>
          <w:szCs w:val="22"/>
        </w:rPr>
        <w:t xml:space="preserve">Navigation Guide and Citizen Glossary are published as companion documents. They have no legal force. The operative text begins with Article I.</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 — THE INDIVIDUAL SOVEREIGNTY FLOOR</w:t>
      </w:r>
    </w:p>
    <w:p>
      <w:pPr>
        <w:spacing w:after="60" w:before="60"/>
      </w:pPr>
      <w:r>
        <w:rPr>
          <w:rFonts w:ascii="Arial" w:cs="Arial" w:eastAsia="Arial" w:hAnsi="Arial"/>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pPr>
      <w:r>
        <w:rPr>
          <w:rFonts w:ascii="Arial" w:cs="Arial" w:eastAsia="Arial" w:hAnsi="Arial"/>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A — Personal Integrity (§§ 1.0 – 1.3)  —</w:t>
      </w:r>
    </w:p>
    <w:p>
      <w:pPr>
        <w:spacing w:after="60" w:before="60"/>
      </w:pPr>
      <w:r>
        <w:rPr>
          <w:rFonts w:ascii="Arial" w:cs="Arial" w:eastAsia="Arial" w:hAnsi="Arial"/>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Parliament must by statute ensure that legal aid is available to persons who cannot afford representation in civil matters affecting their fundamental rights.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 — Right to Life</w:t>
      </w:r>
    </w:p>
    <w:p>
      <w:pPr>
        <w:spacing w:after="60" w:before="60"/>
      </w:pPr>
      <w:r>
        <w:rPr>
          <w:rFonts w:ascii="Arial" w:cs="Arial" w:eastAsia="Arial" w:hAnsi="Arial"/>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 — Prohibition of Torture and Cruel Treatment</w:t>
      </w:r>
    </w:p>
    <w:p>
      <w:pPr>
        <w:spacing w:after="60" w:before="60"/>
      </w:pPr>
      <w:r>
        <w:rPr>
          <w:rFonts w:ascii="Arial" w:cs="Arial" w:eastAsia="Arial" w:hAnsi="Arial"/>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Parliamentary act, executive order, or military necessity may authorize or excuse a violation. Any official who orders, authorizes, or knowingly permits such treatment commits a criminal offense under House statute and may trigger Rule Violation proceedings under §2.8 — a constitutional mechanism that triggers automatic suspension from duties and a Senate trial, defined fully at §2.8. This prohibition is permanently unamendable under §15.3.</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 — Prohibition of Slavery and Forced Labor</w:t>
      </w:r>
    </w:p>
    <w:p>
      <w:pPr>
        <w:spacing w:after="60" w:before="60"/>
      </w:pPr>
      <w:r>
        <w:rPr>
          <w:rFonts w:ascii="Arial" w:cs="Arial" w:eastAsia="Arial" w:hAnsi="Arial"/>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B — Civil and Political Liberties (§§ 1.4 – 1.7)  —</w:t>
      </w:r>
    </w:p>
    <w:p>
      <w:pPr>
        <w:pStyle w:val="Heading2"/>
        <w:spacing w:after="80" w:before="200"/>
      </w:pPr>
      <w:r>
        <w:rPr>
          <w:rFonts w:ascii="Arial" w:cs="Arial" w:eastAsia="Arial" w:hAnsi="Arial"/>
          <w:b/>
          <w:bCs/>
          <w:color w:val="4A6FA5"/>
          <w:sz w:val="24"/>
          <w:szCs w:val="24"/>
        </w:rPr>
        <w:t xml:space="preserve">Section 1.4 — Freedom of Expression</w:t>
      </w:r>
    </w:p>
    <w:p>
      <w:pPr>
        <w:spacing w:after="60" w:before="60"/>
      </w:pPr>
      <w:r>
        <w:rPr>
          <w:rFonts w:ascii="Arial" w:cs="Arial" w:eastAsia="Arial" w:hAnsi="Arial"/>
          <w:color w:val="000000"/>
          <w:sz w:val="22"/>
          <w:szCs w:val="22"/>
        </w:rPr>
        <w:t xml:space="preserve">No branch, agency, official, or instrumentality of the Republic or any State may abridge the freedom of speech, press, or assembly in any medium — physical or digital.</w:t>
      </w:r>
    </w:p>
    <w:p>
      <w:pPr>
        <w:spacing w:after="60" w:before="60"/>
        <w:ind w:left="720" w:hanging="360"/>
      </w:pPr>
      <w:r>
        <w:rPr>
          <w:rFonts w:ascii="Arial" w:cs="Arial" w:eastAsia="Arial" w:hAnsi="Arial"/>
          <w:b/>
          <w:bCs/>
          <w:color w:val="4A6FA5"/>
          <w:sz w:val="22"/>
          <w:szCs w:val="22"/>
        </w:rPr>
        <w:t xml:space="preserve">1.4.a Censorship by Proxy: </w:t>
      </w:r>
      <w:r>
        <w:rPr>
          <w:rFonts w:ascii="Arial" w:cs="Arial" w:eastAsia="Arial" w:hAnsi="Arial"/>
          <w:color w:val="000000"/>
          <w:sz w:val="22"/>
          <w:szCs w:val="22"/>
        </w:rPr>
        <w:t xml:space="preserve">No government agent may coerce, incentivize, or direct private entities to suppress protected speech.</w:t>
      </w:r>
    </w:p>
    <w:p>
      <w:pPr>
        <w:spacing w:after="60" w:before="60"/>
        <w:ind w:left="720" w:hanging="360"/>
      </w:pPr>
      <w:r>
        <w:rPr>
          <w:rFonts w:ascii="Arial" w:cs="Arial" w:eastAsia="Arial" w:hAnsi="Arial"/>
          <w:b/>
          <w:bCs/>
          <w:color w:val="4A6FA5"/>
          <w:sz w:val="22"/>
          <w:szCs w:val="22"/>
        </w:rPr>
        <w:t xml:space="preserve">1.4.b Separation of Church and State: </w:t>
      </w:r>
      <w:r>
        <w:rPr>
          <w:rFonts w:ascii="Arial" w:cs="Arial" w:eastAsia="Arial" w:hAnsi="Arial"/>
          <w:color w:val="000000"/>
          <w:sz w:val="22"/>
          <w:szCs w:val="22"/>
        </w:rPr>
        <w:t xml:space="preserve">No religion may be established by law. Public funds directed to religious organizations for secular services must adhere to non-discrimination statutes.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 — Freedom of Thought, Conscience, and Religion</w:t>
      </w:r>
    </w:p>
    <w:p>
      <w:pPr>
        <w:spacing w:after="60" w:before="60"/>
      </w:pPr>
      <w:r>
        <w:rPr>
          <w:rFonts w:ascii="Arial" w:cs="Arial" w:eastAsia="Arial" w:hAnsi="Arial"/>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 — Freedom of Association</w:t>
      </w:r>
    </w:p>
    <w:p>
      <w:pPr>
        <w:spacing w:after="60" w:before="60"/>
      </w:pPr>
      <w:r>
        <w:rPr>
          <w:rFonts w:ascii="Arial" w:cs="Arial" w:eastAsia="Arial" w:hAnsi="Arial"/>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 — Right to Petition</w:t>
      </w:r>
    </w:p>
    <w:p>
      <w:pPr>
        <w:spacing w:after="60" w:before="60"/>
      </w:pPr>
      <w:r>
        <w:rPr>
          <w:rFonts w:ascii="Arial" w:cs="Arial" w:eastAsia="Arial" w:hAnsi="Arial"/>
          <w:color w:val="000000"/>
          <w:sz w:val="22"/>
          <w:szCs w:val="22"/>
        </w:rPr>
        <w:t xml:space="preserve">Every citizen has the right to petition any branch of government on any matter of public or personal concern. This right extends to citizens only. All petitions must receive a formal response within a period Parliament defines by statute. Petition records are published to the National Record System. The right to petition includes the right to file formal complaints against government officials and agencies.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C — Equality (§ 1.8)  —</w:t>
      </w:r>
    </w:p>
    <w:p>
      <w:pPr>
        <w:pStyle w:val="Heading2"/>
        <w:spacing w:after="80" w:before="200"/>
      </w:pPr>
      <w:r>
        <w:rPr>
          <w:rFonts w:ascii="Arial" w:cs="Arial" w:eastAsia="Arial" w:hAnsi="Arial"/>
          <w:b/>
          <w:bCs/>
          <w:color w:val="4A6FA5"/>
          <w:sz w:val="24"/>
          <w:szCs w:val="24"/>
        </w:rPr>
        <w:t xml:space="preserve">Section 1.8 — Equality Before the Law</w:t>
      </w:r>
    </w:p>
    <w:p>
      <w:pPr>
        <w:spacing w:after="60" w:before="60"/>
      </w:pPr>
      <w:r>
        <w:rPr>
          <w:rFonts w:ascii="Arial" w:cs="Arial" w:eastAsia="Arial" w:hAnsi="Arial"/>
          <w:color w:val="000000"/>
          <w:sz w:val="22"/>
          <w:szCs w:val="22"/>
        </w:rPr>
        <w:t xml:space="preserve">All persons are equal before the law and entitled to equal protection without discrimination on the basis of race, ethnicity, sex, sexual orientation, gender identity, religion, disability, age, or national origin.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D — Privacy, Property and Economic Rights (§§ 1.9 – 1.12)  —</w:t>
      </w:r>
    </w:p>
    <w:p>
      <w:pPr>
        <w:pStyle w:val="Heading2"/>
        <w:spacing w:after="80" w:before="200"/>
      </w:pPr>
      <w:r>
        <w:rPr>
          <w:rFonts w:ascii="Arial" w:cs="Arial" w:eastAsia="Arial" w:hAnsi="Arial"/>
          <w:b/>
          <w:bCs/>
          <w:color w:val="4A6FA5"/>
          <w:sz w:val="24"/>
          <w:szCs w:val="24"/>
        </w:rPr>
        <w:t xml:space="preserve">Section 1.9 — Bodily Autonomy and Digital Privacy</w:t>
      </w:r>
    </w:p>
    <w:p>
      <w:pPr>
        <w:spacing w:after="60" w:before="60"/>
        <w:ind w:left="720" w:hanging="360"/>
      </w:pPr>
      <w:r>
        <w:rPr>
          <w:rFonts w:ascii="Arial" w:cs="Arial" w:eastAsia="Arial" w:hAnsi="Arial"/>
          <w:b/>
          <w:bCs/>
          <w:color w:val="4A6FA5"/>
          <w:sz w:val="22"/>
          <w:szCs w:val="22"/>
        </w:rPr>
        <w:t xml:space="preserve">1.9.a Physical Sovereignty: </w:t>
      </w:r>
      <w:r>
        <w:rPr>
          <w:rFonts w:ascii="Arial" w:cs="Arial" w:eastAsia="Arial" w:hAnsi="Arial"/>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ind w:left="720" w:hanging="360"/>
      </w:pPr>
      <w:r>
        <w:rPr>
          <w:rFonts w:ascii="Arial" w:cs="Arial" w:eastAsia="Arial" w:hAnsi="Arial"/>
          <w:b/>
          <w:bCs/>
          <w:color w:val="4A6FA5"/>
          <w:sz w:val="22"/>
          <w:szCs w:val="22"/>
        </w:rPr>
        <w:t xml:space="preserve">1.9.b Data Ownership: </w:t>
      </w:r>
      <w:r>
        <w:rPr>
          <w:rFonts w:ascii="Arial" w:cs="Arial" w:eastAsia="Arial" w:hAnsi="Arial"/>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ind w:left="720" w:hanging="360"/>
      </w:pPr>
      <w:r>
        <w:rPr>
          <w:rFonts w:ascii="Arial" w:cs="Arial" w:eastAsia="Arial" w:hAnsi="Arial"/>
          <w:b/>
          <w:bCs/>
          <w:color w:val="4A6FA5"/>
          <w:sz w:val="22"/>
          <w:szCs w:val="22"/>
        </w:rPr>
        <w:t xml:space="preserve">1.9.c Encryption Protection: </w:t>
      </w:r>
      <w:r>
        <w:rPr>
          <w:rFonts w:ascii="Arial" w:cs="Arial" w:eastAsia="Arial" w:hAnsi="Arial"/>
          <w:color w:val="000000"/>
          <w:sz w:val="22"/>
          <w:szCs w:val="22"/>
        </w:rPr>
        <w:t xml:space="preserve">Cryptographic keys are private property. No court or agency may compel their disclosure.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1.10 — Inviolability of the Home and Property Rights</w:t>
      </w:r>
    </w:p>
    <w:p>
      <w:pPr>
        <w:spacing w:after="60" w:before="60"/>
        <w:ind w:left="720" w:hanging="360"/>
      </w:pPr>
      <w:r>
        <w:rPr>
          <w:rFonts w:ascii="Arial" w:cs="Arial" w:eastAsia="Arial" w:hAnsi="Arial"/>
          <w:b/>
          <w:bCs/>
          <w:color w:val="4A6FA5"/>
          <w:sz w:val="22"/>
          <w:szCs w:val="22"/>
        </w:rPr>
        <w:t xml:space="preserve">1.10.a Home and Digital Privacy: </w:t>
      </w:r>
      <w:r>
        <w:rPr>
          <w:rFonts w:ascii="Arial" w:cs="Arial" w:eastAsia="Arial" w:hAnsi="Arial"/>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The judge who issues this warrant operates under the judicial independence principles of Article IV — meaning they act only on cases brought to them, never on their own initiative. General warrants — broad or unspecified authorizations — are absolutely prohibited.</w:t>
      </w:r>
    </w:p>
    <w:p>
      <w:pPr>
        <w:spacing w:after="60" w:before="60"/>
        <w:ind w:left="720" w:hanging="360"/>
      </w:pPr>
      <w:r>
        <w:rPr>
          <w:rFonts w:ascii="Arial" w:cs="Arial" w:eastAsia="Arial" w:hAnsi="Arial"/>
          <w:b/>
          <w:bCs/>
          <w:color w:val="4A6FA5"/>
          <w:sz w:val="22"/>
          <w:szCs w:val="22"/>
        </w:rPr>
        <w:t xml:space="preserve">1.10.b Eminent Domain: </w:t>
      </w:r>
      <w:r>
        <w:rPr>
          <w:rFonts w:ascii="Arial" w:cs="Arial" w:eastAsia="Arial" w:hAnsi="Arial"/>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Self-Defense and the Right to Bear Arms</w:t>
      </w:r>
    </w:p>
    <w:p>
      <w:pPr>
        <w:spacing w:after="60" w:before="60"/>
        <w:ind w:left="720" w:hanging="360"/>
      </w:pPr>
      <w:r>
        <w:rPr>
          <w:rFonts w:ascii="Arial" w:cs="Arial" w:eastAsia="Arial" w:hAnsi="Arial"/>
          <w:b/>
          <w:bCs/>
          <w:color w:val="4A6FA5"/>
          <w:sz w:val="22"/>
          <w:szCs w:val="22"/>
        </w:rPr>
        <w:t xml:space="preserve">1.11.a Right to Bear Arms: </w:t>
      </w:r>
      <w:r>
        <w:rPr>
          <w:rFonts w:ascii="Arial" w:cs="Arial" w:eastAsia="Arial" w:hAnsi="Arial"/>
          <w:color w:val="000000"/>
          <w:sz w:val="22"/>
          <w:szCs w:val="22"/>
        </w:rPr>
        <w:t xml:space="preserve">The right to keep and bear arms for personal defense and hunting must not be infringed.</w:t>
      </w:r>
    </w:p>
    <w:p>
      <w:pPr>
        <w:spacing w:after="60" w:before="60"/>
        <w:ind w:left="720" w:hanging="360"/>
      </w:pPr>
      <w:r>
        <w:rPr>
          <w:rFonts w:ascii="Arial" w:cs="Arial" w:eastAsia="Arial" w:hAnsi="Arial"/>
          <w:b/>
          <w:bCs/>
          <w:color w:val="4A6FA5"/>
          <w:sz w:val="22"/>
          <w:szCs w:val="22"/>
        </w:rPr>
        <w:t xml:space="preserve">1.11.b State Licensing Latitude: </w:t>
      </w:r>
      <w:r>
        <w:rPr>
          <w:rFonts w:ascii="Arial" w:cs="Arial" w:eastAsia="Arial" w:hAnsi="Arial"/>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ind w:left="720" w:hanging="360"/>
      </w:pPr>
      <w:r>
        <w:rPr>
          <w:rFonts w:ascii="Arial" w:cs="Arial" w:eastAsia="Arial" w:hAnsi="Arial"/>
          <w:b/>
          <w:bCs/>
          <w:color w:val="4A6FA5"/>
          <w:sz w:val="22"/>
          <w:szCs w:val="22"/>
        </w:rPr>
        <w:t xml:space="preserve">1.11.c Non-Prohibition Principle: </w:t>
      </w:r>
      <w:r>
        <w:rPr>
          <w:rFonts w:ascii="Arial" w:cs="Arial" w:eastAsia="Arial" w:hAnsi="Arial"/>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Freedom of Movement and Labor</w:t>
      </w:r>
    </w:p>
    <w:p>
      <w:pPr>
        <w:spacing w:after="60" w:before="60"/>
      </w:pPr>
      <w:r>
        <w:rPr>
          <w:rFonts w:ascii="Arial" w:cs="Arial" w:eastAsia="Arial" w:hAnsi="Arial"/>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pPr>
      <w:r>
        <w:rPr>
          <w:rFonts w:ascii="Arial" w:cs="Arial" w:eastAsia="Arial" w:hAnsi="Arial"/>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E — Criminal Justice Rights (§§ 1.13 – 1.18)  —</w:t>
      </w:r>
    </w:p>
    <w:p>
      <w:pPr>
        <w:pStyle w:val="Heading2"/>
        <w:spacing w:after="80" w:before="200"/>
      </w:pPr>
      <w:r>
        <w:rPr>
          <w:rFonts w:ascii="Arial" w:cs="Arial" w:eastAsia="Arial" w:hAnsi="Arial"/>
          <w:b/>
          <w:bCs/>
          <w:color w:val="4A6FA5"/>
          <w:sz w:val="24"/>
          <w:szCs w:val="24"/>
        </w:rPr>
        <w:t xml:space="preserve">Section 1.13 — Right Against Arbitrary Detention</w:t>
      </w:r>
    </w:p>
    <w:p>
      <w:pPr>
        <w:spacing w:after="60" w:before="60"/>
      </w:pPr>
      <w:r>
        <w:rPr>
          <w:rFonts w:ascii="Arial" w:cs="Arial" w:eastAsia="Arial" w:hAnsi="Arial"/>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ind w:left="720" w:hanging="360"/>
      </w:pPr>
      <w:r>
        <w:rPr>
          <w:rFonts w:ascii="Arial" w:cs="Arial" w:eastAsia="Arial" w:hAnsi="Arial"/>
          <w:b/>
          <w:bCs/>
          <w:color w:val="4A6FA5"/>
          <w:sz w:val="22"/>
          <w:szCs w:val="22"/>
        </w:rPr>
        <w:t xml:space="preserve">1.13.a First Appearance: </w:t>
      </w:r>
      <w:r>
        <w:rPr>
          <w:rFonts w:ascii="Arial" w:cs="Arial" w:eastAsia="Arial" w:hAnsi="Arial"/>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§1.16.b. The First Appearance is not a trial and does not determine guilt. It is a mandatory judicial gate on the State's power to hold a person. No investigative convenience, resource constraint, or emergency justifies delay beyond 24 hours.</w:t>
      </w:r>
    </w:p>
    <w:p>
      <w:pPr>
        <w:spacing w:after="60" w:before="60"/>
        <w:ind w:left="720" w:hanging="360"/>
      </w:pPr>
      <w:r>
        <w:rPr>
          <w:rFonts w:ascii="Arial" w:cs="Arial" w:eastAsia="Arial" w:hAnsi="Arial"/>
          <w:b/>
          <w:bCs/>
          <w:color w:val="4A6FA5"/>
          <w:sz w:val="22"/>
          <w:szCs w:val="22"/>
        </w:rPr>
        <w:t xml:space="preserve">1.13.b Habeas Corpus: </w:t>
      </w:r>
      <w:r>
        <w:rPr>
          <w:rFonts w:ascii="Arial" w:cs="Arial" w:eastAsia="Arial" w:hAnsi="Arial"/>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1.14 — Right to Counsel and to Be Informed</w:t>
      </w:r>
    </w:p>
    <w:p>
      <w:pPr>
        <w:spacing w:after="60" w:before="60"/>
        <w:ind w:left="720" w:hanging="360"/>
      </w:pPr>
      <w:r>
        <w:rPr>
          <w:rFonts w:ascii="Arial" w:cs="Arial" w:eastAsia="Arial" w:hAnsi="Arial"/>
          <w:b/>
          <w:bCs/>
          <w:color w:val="4A6FA5"/>
          <w:sz w:val="22"/>
          <w:szCs w:val="22"/>
        </w:rPr>
        <w:t xml:space="preserve">1.14.a Right to Counsel: </w:t>
      </w:r>
      <w:r>
        <w:rPr>
          <w:rFonts w:ascii="Arial" w:cs="Arial" w:eastAsia="Arial" w:hAnsi="Arial"/>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ind w:left="720" w:hanging="360"/>
      </w:pPr>
      <w:r>
        <w:rPr>
          <w:rFonts w:ascii="Arial" w:cs="Arial" w:eastAsia="Arial" w:hAnsi="Arial"/>
          <w:b/>
          <w:bCs/>
          <w:color w:val="4A6FA5"/>
          <w:sz w:val="22"/>
          <w:szCs w:val="22"/>
        </w:rPr>
        <w:t xml:space="preserve">1.14.b Caseload Guarantee: </w:t>
      </w:r>
      <w:r>
        <w:rPr>
          <w:rFonts w:ascii="Arial" w:cs="Arial" w:eastAsia="Arial" w:hAnsi="Arial"/>
          <w:color w:val="000000"/>
          <w:sz w:val="22"/>
          <w:szCs w:val="22"/>
        </w:rPr>
        <w:t xml:space="preserve">Parliament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w:t>
      </w:r>
    </w:p>
    <w:p>
      <w:pPr>
        <w:spacing w:after="60" w:before="60"/>
        <w:ind w:left="720" w:hanging="360"/>
      </w:pPr>
      <w:r>
        <w:rPr>
          <w:rFonts w:ascii="Arial" w:cs="Arial" w:eastAsia="Arial" w:hAnsi="Arial"/>
          <w:b/>
          <w:bCs/>
          <w:color w:val="4A6FA5"/>
          <w:sz w:val="22"/>
          <w:szCs w:val="22"/>
        </w:rPr>
        <w:t xml:space="preserve">1.14.c Right to Be Informed of Charges: </w:t>
      </w:r>
      <w:r>
        <w:rPr>
          <w:rFonts w:ascii="Arial" w:cs="Arial" w:eastAsia="Arial" w:hAnsi="Arial"/>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ind w:left="720" w:hanging="360"/>
      </w:pPr>
      <w:r>
        <w:rPr>
          <w:rFonts w:ascii="Arial" w:cs="Arial" w:eastAsia="Arial" w:hAnsi="Arial"/>
          <w:b/>
          <w:bCs/>
          <w:color w:val="4A6FA5"/>
          <w:sz w:val="22"/>
          <w:szCs w:val="22"/>
        </w:rPr>
        <w:t xml:space="preserve">1.14.d Right to Full Disclosure: </w:t>
      </w:r>
      <w:r>
        <w:rPr>
          <w:rFonts w:ascii="Arial" w:cs="Arial" w:eastAsia="Arial" w:hAnsi="Arial"/>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may trigger Rule Violation proceedings under §2.8.</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1.15 — Due Process</w:t>
      </w:r>
    </w:p>
    <w:p>
      <w:pPr>
        <w:spacing w:after="60" w:before="60"/>
        <w:ind w:left="720" w:hanging="360"/>
      </w:pPr>
      <w:r>
        <w:rPr>
          <w:rFonts w:ascii="Arial" w:cs="Arial" w:eastAsia="Arial" w:hAnsi="Arial"/>
          <w:b/>
          <w:bCs/>
          <w:color w:val="4A6FA5"/>
          <w:sz w:val="22"/>
          <w:szCs w:val="22"/>
        </w:rPr>
        <w:t xml:space="preserve">1.15.a Speedy Trial Principle: </w:t>
      </w:r>
      <w:r>
        <w:rPr>
          <w:rFonts w:ascii="Arial" w:cs="Arial" w:eastAsia="Arial" w:hAnsi="Arial"/>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ind w:left="720" w:hanging="360"/>
      </w:pPr>
      <w:r>
        <w:rPr>
          <w:rFonts w:ascii="Arial" w:cs="Arial" w:eastAsia="Arial" w:hAnsi="Arial"/>
          <w:b/>
          <w:bCs/>
          <w:color w:val="4A6FA5"/>
          <w:sz w:val="22"/>
          <w:szCs w:val="22"/>
        </w:rPr>
        <w:t xml:space="preserve">1.15.b Bail Proportionality: </w:t>
      </w:r>
      <w:r>
        <w:rPr>
          <w:rFonts w:ascii="Arial" w:cs="Arial" w:eastAsia="Arial" w:hAnsi="Arial"/>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ind w:left="720" w:hanging="360"/>
      </w:pPr>
      <w:r>
        <w:rPr>
          <w:rFonts w:ascii="Arial" w:cs="Arial" w:eastAsia="Arial" w:hAnsi="Arial"/>
          <w:b/>
          <w:bCs/>
          <w:color w:val="4A6FA5"/>
          <w:sz w:val="22"/>
          <w:szCs w:val="22"/>
        </w:rPr>
        <w:t xml:space="preserve">1.15.c Protection from Trial Penalties: </w:t>
      </w:r>
      <w:r>
        <w:rPr>
          <w:rFonts w:ascii="Arial" w:cs="Arial" w:eastAsia="Arial" w:hAnsi="Arial"/>
          <w:color w:val="000000"/>
          <w:sz w:val="22"/>
          <w:szCs w:val="22"/>
        </w:rPr>
        <w:t xml:space="preserve">No prosecutor may increase charges, withdraw previously extended plea offers, or recommend enhanced penalties solely on the grounds that the accused has declined to plead guilty. A defendant who is convicted at trial may not receive a sentence that exceeds what was offered as a plea unless evidence presented at trial revealed conduct materially beyond what was known to the prosecution when the plea offer — meaning evidence of more serious crimes than those charged at the time, not merely additional details of the same conduct. Violation of this provision by a prosecutor may trigger Rule Violation proceedings under §2.8 and is grounds for case dismissal or sentence reduction at the court's discretion.</w:t>
      </w:r>
    </w:p>
    <w:p>
      <w:pPr>
        <w:spacing w:after="60" w:before="60"/>
        <w:ind w:left="720" w:hanging="360"/>
      </w:pPr>
      <w:r>
        <w:rPr>
          <w:rFonts w:ascii="Arial" w:cs="Arial" w:eastAsia="Arial" w:hAnsi="Arial"/>
          <w:b/>
          <w:bCs/>
          <w:color w:val="4A6FA5"/>
          <w:sz w:val="22"/>
          <w:szCs w:val="22"/>
        </w:rPr>
        <w:t xml:space="preserve">1.15.d Source Code Right: </w:t>
      </w:r>
      <w:r>
        <w:rPr>
          <w:rFonts w:ascii="Arial" w:cs="Arial" w:eastAsia="Arial" w:hAnsi="Arial"/>
          <w:color w:val="000000"/>
          <w:sz w:val="22"/>
          <w:szCs w:val="22"/>
        </w:rPr>
        <w:t xml:space="preserve">Any accused person has the right to inspect, challenge, and rebut any algorithm, source code, or raw dataset used as evidence or to generate a score influencing their case.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1.16 — Right to Silence and Protection from Self-Incrimination</w:t>
      </w:r>
    </w:p>
    <w:p>
      <w:pPr>
        <w:spacing w:after="60" w:before="60"/>
      </w:pPr>
      <w:r>
        <w:rPr>
          <w:rFonts w:ascii="Arial" w:cs="Arial" w:eastAsia="Arial" w:hAnsi="Arial"/>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1.17 — Right to a Public Trial</w:t>
      </w:r>
    </w:p>
    <w:p>
      <w:pPr>
        <w:spacing w:after="60" w:before="60"/>
      </w:pPr>
      <w:r>
        <w:rPr>
          <w:rFonts w:ascii="Arial" w:cs="Arial" w:eastAsia="Arial" w:hAnsi="Arial"/>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1.18 — Retroactivity and Double Jeopardy</w:t>
      </w:r>
    </w:p>
    <w:p>
      <w:pPr>
        <w:spacing w:after="60" w:before="60"/>
        <w:ind w:left="720" w:hanging="360"/>
      </w:pPr>
      <w:r>
        <w:rPr>
          <w:rFonts w:ascii="Arial" w:cs="Arial" w:eastAsia="Arial" w:hAnsi="Arial"/>
          <w:b/>
          <w:bCs/>
          <w:color w:val="4A6FA5"/>
          <w:sz w:val="22"/>
          <w:szCs w:val="22"/>
        </w:rPr>
        <w:t xml:space="preserve">1.18.a No Retroactive Criminal Laws: </w:t>
      </w:r>
      <w:r>
        <w:rPr>
          <w:rFonts w:ascii="Arial" w:cs="Arial" w:eastAsia="Arial" w:hAnsi="Arial"/>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ind w:left="720" w:hanging="360"/>
      </w:pPr>
      <w:r>
        <w:rPr>
          <w:rFonts w:ascii="Arial" w:cs="Arial" w:eastAsia="Arial" w:hAnsi="Arial"/>
          <w:b/>
          <w:bCs/>
          <w:color w:val="4A6FA5"/>
          <w:sz w:val="22"/>
          <w:szCs w:val="22"/>
        </w:rPr>
        <w:t xml:space="preserve">1.18.b Double Jeopardy: </w:t>
      </w:r>
      <w:r>
        <w:rPr>
          <w:rFonts w:ascii="Arial" w:cs="Arial" w:eastAsia="Arial" w:hAnsi="Arial"/>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0" w:before="120"/>
      </w:pPr>
      <w:r>
        <w:t xml:space="preserve"/>
      </w:r>
    </w:p>
    <w:p>
      <w:pPr>
        <w:pBdr>
          <w:top w:val="single" w:color="8A9DB5" w:sz="3" w:space="6"/>
          <w:bottom w:val="single" w:color="8A9DB5" w:sz="3" w:space="6"/>
        </w:pBdr>
        <w:spacing w:after="100" w:before="280"/>
        <w:jc w:val="center"/>
      </w:pPr>
      <w:r>
        <w:rPr>
          <w:rFonts w:ascii="Arial" w:cs="Arial" w:eastAsia="Arial" w:hAnsi="Arial"/>
          <w:b/>
          <w:bCs/>
          <w:caps/>
          <w:color w:val="4A6FA5"/>
          <w:sz w:val="19"/>
          <w:szCs w:val="19"/>
        </w:rPr>
        <w:t xml:space="preserve">—  Part F — Social and Community Rights (§§ 1.20 – 1.24)  —</w:t>
      </w:r>
    </w:p>
    <w:p>
      <w:pPr>
        <w:pStyle w:val="Heading2"/>
        <w:spacing w:after="80" w:before="200"/>
      </w:pPr>
      <w:r>
        <w:rPr>
          <w:rFonts w:ascii="Arial" w:cs="Arial" w:eastAsia="Arial" w:hAnsi="Arial"/>
          <w:b/>
          <w:bCs/>
          <w:color w:val="4A6FA5"/>
          <w:sz w:val="24"/>
          <w:szCs w:val="24"/>
        </w:rPr>
        <w:t xml:space="preserve">Section 1.19 — Right to Democratic Participation</w:t>
      </w:r>
    </w:p>
    <w:p>
      <w:pPr>
        <w:spacing w:after="60" w:before="60"/>
        <w:ind w:left="720" w:hanging="360"/>
      </w:pPr>
      <w:r>
        <w:rPr>
          <w:rFonts w:ascii="Arial" w:cs="Arial" w:eastAsia="Arial" w:hAnsi="Arial"/>
          <w:b/>
          <w:bCs/>
          <w:color w:val="4A6FA5"/>
          <w:sz w:val="22"/>
          <w:szCs w:val="22"/>
        </w:rPr>
        <w:t xml:space="preserve">1.19 Suffrage and Candidacy: </w:t>
      </w:r>
      <w:r>
        <w:rPr>
          <w:rFonts w:ascii="Arial" w:cs="Arial" w:eastAsia="Arial" w:hAnsi="Arial"/>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1.20 — Right to Marry and Found a Family</w:t>
      </w:r>
    </w:p>
    <w:p>
      <w:pPr>
        <w:spacing w:after="60" w:before="60"/>
      </w:pPr>
      <w:r>
        <w:rPr>
          <w:rFonts w:ascii="Arial" w:cs="Arial" w:eastAsia="Arial" w:hAnsi="Arial"/>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Rights of Children</w:t>
      </w:r>
    </w:p>
    <w:p>
      <w:pPr>
        <w:spacing w:after="60" w:before="60"/>
      </w:pPr>
      <w:r>
        <w:rPr>
          <w:rFonts w:ascii="Arial" w:cs="Arial" w:eastAsia="Arial" w:hAnsi="Arial"/>
          <w:color w:val="000000"/>
          <w:sz w:val="22"/>
          <w:szCs w:val="22"/>
        </w:rPr>
        <w:t xml:space="preserve">Every child has the right to protection from exploitation, abuse, and neglect. In all State actions affecting minors, the welfare and best interests of the child are a primary consideration. The prohibitions on forced labor (§1.3) and torture (§1.2) apply without exception to all persons under the age of 18.</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Environmental Accountability and Stewardship</w:t>
      </w:r>
    </w:p>
    <w:p>
      <w:pPr>
        <w:spacing w:after="60" w:before="60"/>
        <w:ind w:left="720" w:hanging="360"/>
      </w:pPr>
      <w:r>
        <w:rPr>
          <w:rFonts w:ascii="Arial" w:cs="Arial" w:eastAsia="Arial" w:hAnsi="Arial"/>
          <w:b/>
          <w:bCs/>
          <w:color w:val="4A6FA5"/>
          <w:sz w:val="22"/>
          <w:szCs w:val="22"/>
        </w:rPr>
        <w:t xml:space="preserve">1.22.a Government Non-Harm: </w:t>
      </w:r>
      <w:r>
        <w:rPr>
          <w:rFonts w:ascii="Arial" w:cs="Arial" w:eastAsia="Arial" w:hAnsi="Arial"/>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Parliament defines by statute. No official may authorize, direct, or participate in the concealment of government-caused or government-permitted environmental harm. Willful concealment triggers Rule Violation proceedings under §2.8.</w:t>
      </w:r>
    </w:p>
    <w:p>
      <w:pPr>
        <w:spacing w:after="60" w:before="60"/>
        <w:ind w:left="720" w:hanging="360"/>
      </w:pPr>
      <w:r>
        <w:rPr>
          <w:rFonts w:ascii="Arial" w:cs="Arial" w:eastAsia="Arial" w:hAnsi="Arial"/>
          <w:b/>
          <w:bCs/>
          <w:color w:val="4A6FA5"/>
          <w:sz w:val="22"/>
          <w:szCs w:val="22"/>
        </w:rPr>
        <w:t xml:space="preserve">1.22.b Environmental Stewardship: </w:t>
      </w:r>
      <w:r>
        <w:rPr>
          <w:rFonts w:ascii="Arial" w:cs="Arial" w:eastAsia="Arial" w:hAnsi="Arial"/>
          <w:color w:val="000000"/>
          <w:sz w:val="22"/>
          <w:szCs w:val="22"/>
        </w:rPr>
        <w:t xml:space="preserve">The long-term stewardship of the Republic's natural environment — its lands, waters, air, and living systems — is a constitutional obligation addressed through the National Trust established under this Constitution. This section governs the government's immediate accountability to citizens for environmental harm; it does not create a general regulatory mandate over private conduct.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Federal Education Assistance and Constitutional Literacy</w:t>
      </w:r>
    </w:p>
    <w:p>
      <w:pPr>
        <w:spacing w:after="60" w:before="60"/>
        <w:ind w:left="720" w:hanging="360"/>
      </w:pPr>
      <w:r>
        <w:rPr>
          <w:rFonts w:ascii="Arial" w:cs="Arial" w:eastAsia="Arial" w:hAnsi="Arial"/>
          <w:b/>
          <w:bCs/>
          <w:color w:val="4A6FA5"/>
          <w:sz w:val="22"/>
          <w:szCs w:val="22"/>
        </w:rPr>
        <w:t xml:space="preserve">1.23.a Federal Education Assistance: </w:t>
      </w:r>
      <w:r>
        <w:rPr>
          <w:rFonts w:ascii="Arial" w:cs="Arial" w:eastAsia="Arial" w:hAnsi="Arial"/>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ind w:left="720" w:hanging="360"/>
      </w:pPr>
      <w:r>
        <w:rPr>
          <w:rFonts w:ascii="Arial" w:cs="Arial" w:eastAsia="Arial" w:hAnsi="Arial"/>
          <w:b/>
          <w:bCs/>
          <w:color w:val="4A6FA5"/>
          <w:sz w:val="22"/>
          <w:szCs w:val="22"/>
        </w:rPr>
        <w:t xml:space="preserve">1.23.b Constitutional Literacy: </w:t>
      </w:r>
      <w:r>
        <w:rPr>
          <w:rFonts w:ascii="Arial" w:cs="Arial" w:eastAsia="Arial" w:hAnsi="Arial"/>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ind w:left="720" w:hanging="360"/>
      </w:pPr>
      <w:r>
        <w:rPr>
          <w:rFonts w:ascii="Arial" w:cs="Arial" w:eastAsia="Arial" w:hAnsi="Arial"/>
          <w:b/>
          <w:bCs/>
          <w:color w:val="4A6FA5"/>
          <w:sz w:val="22"/>
          <w:szCs w:val="22"/>
        </w:rPr>
        <w:t xml:space="preserve">1.23.c Parental Right: </w:t>
      </w:r>
      <w:r>
        <w:rPr>
          <w:rFonts w:ascii="Arial" w:cs="Arial" w:eastAsia="Arial" w:hAnsi="Arial"/>
          <w:color w:val="000000"/>
          <w:sz w:val="22"/>
          <w:szCs w:val="22"/>
        </w:rPr>
        <w:t xml:space="preserve">Parents retain the right to educate children through alternative means provided the same constitutional literacy and basic literacy standards established under §1.23.b are demonstrably met.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Housing Access and Non-Exclusion</w:t>
      </w:r>
    </w:p>
    <w:p>
      <w:pPr>
        <w:spacing w:after="60" w:before="60"/>
        <w:ind w:left="720" w:hanging="360"/>
      </w:pPr>
      <w:r>
        <w:rPr>
          <w:rFonts w:ascii="Arial" w:cs="Arial" w:eastAsia="Arial" w:hAnsi="Arial"/>
          <w:b/>
          <w:bCs/>
          <w:color w:val="4A6FA5"/>
          <w:sz w:val="22"/>
          <w:szCs w:val="22"/>
        </w:rPr>
        <w:t xml:space="preserve">1.24.a Non-Exclusion Principle: </w:t>
      </w:r>
      <w:r>
        <w:rPr>
          <w:rFonts w:ascii="Arial" w:cs="Arial" w:eastAsia="Arial" w:hAnsi="Arial"/>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ind w:left="720" w:hanging="360"/>
      </w:pPr>
      <w:r>
        <w:rPr>
          <w:rFonts w:ascii="Arial" w:cs="Arial" w:eastAsia="Arial" w:hAnsi="Arial"/>
          <w:b/>
          <w:bCs/>
          <w:color w:val="4A6FA5"/>
          <w:sz w:val="22"/>
          <w:szCs w:val="22"/>
        </w:rPr>
        <w:t xml:space="preserve">1.24.b BNF Housing Obligation: </w:t>
      </w:r>
      <w:r>
        <w:rPr>
          <w:rFonts w:ascii="Arial" w:cs="Arial" w:eastAsia="Arial" w:hAnsi="Arial"/>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Parliament defines housing adequacy standards by statute. The Monetary Authority certifies annually whether the BNF housing component is sufficient at current distribution levels. Where the MA certifies insufficiency, Parliament must address the gap within one budget cycle.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Emergency Derogation</w:t>
      </w:r>
    </w:p>
    <w:p>
      <w:pPr>
        <w:spacing w:after="60" w:before="60"/>
        <w:ind w:left="720" w:hanging="360"/>
      </w:pPr>
      <w:r>
        <w:rPr>
          <w:rFonts w:ascii="Arial" w:cs="Arial" w:eastAsia="Arial" w:hAnsi="Arial"/>
          <w:b/>
          <w:bCs/>
          <w:color w:val="4A6FA5"/>
          <w:sz w:val="22"/>
          <w:szCs w:val="22"/>
        </w:rPr>
        <w:t xml:space="preserve">1.25.a Declaration Requirements: </w:t>
      </w:r>
      <w:r>
        <w:rPr>
          <w:rFonts w:ascii="Arial" w:cs="Arial" w:eastAsia="Arial" w:hAnsi="Arial"/>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ind w:left="720" w:hanging="360"/>
      </w:pPr>
      <w:r>
        <w:rPr>
          <w:rFonts w:ascii="Arial" w:cs="Arial" w:eastAsia="Arial" w:hAnsi="Arial"/>
          <w:b/>
          <w:bCs/>
          <w:color w:val="4A6FA5"/>
          <w:sz w:val="22"/>
          <w:szCs w:val="22"/>
        </w:rPr>
        <w:t xml:space="preserve">1.25.b Non-Derogable Rights: </w:t>
      </w:r>
      <w:r>
        <w:rPr>
          <w:rFonts w:ascii="Arial" w:cs="Arial" w:eastAsia="Arial" w:hAnsi="Arial"/>
          <w:color w:val="000000"/>
          <w:sz w:val="22"/>
          <w:szCs w:val="22"/>
        </w:rPr>
        <w:t xml:space="preserve">No Declaration of National Emergency may limit, suspend, or qualify: the prohibition on torture and cruel treatment (§1.2); the prohibition on slavery and forced labor (§1.3); the right against arbitrary detention and the right to habeas corpus (§1.13); the right to a public trial (§1.17); or the prohibition of retroactive laws (§1.18). These rights are absolute and apply without exception regardless of any declared emergency.</w:t>
      </w:r>
    </w:p>
    <w:p>
      <w:pPr>
        <w:spacing w:after="60" w:before="60"/>
        <w:ind w:left="720" w:hanging="360"/>
      </w:pPr>
      <w:r>
        <w:rPr>
          <w:rFonts w:ascii="Arial" w:cs="Arial" w:eastAsia="Arial" w:hAnsi="Arial"/>
          <w:b/>
          <w:bCs/>
          <w:color w:val="4A6FA5"/>
          <w:sz w:val="22"/>
          <w:szCs w:val="22"/>
        </w:rPr>
        <w:t xml:space="preserve">1.25.c Inspectorate Continuity: </w:t>
      </w:r>
      <w:r>
        <w:rPr>
          <w:rFonts w:ascii="Arial" w:cs="Arial" w:eastAsia="Arial" w:hAnsi="Arial"/>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ind w:left="720" w:hanging="360"/>
      </w:pPr>
      <w:r>
        <w:rPr>
          <w:rFonts w:ascii="Arial" w:cs="Arial" w:eastAsia="Arial" w:hAnsi="Arial"/>
          <w:b/>
          <w:bCs/>
          <w:color w:val="4A6FA5"/>
          <w:sz w:val="22"/>
          <w:szCs w:val="22"/>
        </w:rPr>
        <w:t xml:space="preserve">1.25.d Automatic Expiry and Judicial Review: </w:t>
      </w:r>
      <w:r>
        <w:rPr>
          <w:rFonts w:ascii="Arial" w:cs="Arial" w:eastAsia="Arial" w:hAnsi="Arial"/>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ind w:left="720" w:hanging="360"/>
      </w:pPr>
      <w:r>
        <w:rPr>
          <w:rFonts w:ascii="Arial" w:cs="Arial" w:eastAsia="Arial" w:hAnsi="Arial"/>
          <w:b/>
          <w:bCs/>
          <w:color w:val="4A6FA5"/>
          <w:sz w:val="22"/>
          <w:szCs w:val="22"/>
        </w:rPr>
        <w:t xml:space="preserve">1.25.e No Permanent Emergency: </w:t>
      </w:r>
      <w:r>
        <w:rPr>
          <w:rFonts w:ascii="Arial" w:cs="Arial" w:eastAsia="Arial" w:hAnsi="Arial"/>
          <w:color w:val="000000"/>
          <w:sz w:val="22"/>
          <w:szCs w:val="22"/>
        </w:rPr>
        <w:t xml:space="preserve">No emergency measure may be made permanent by parliamentary act. A measure that Parliament wishes to retain beyond the emergency must go through the full legislative process as ordinary statute after the emergency Declaration has expired. An emergency measure enacted into statute without a new emergency Declaration is void.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 — THE DUAL EXECUTIVE</w:t>
      </w:r>
    </w:p>
    <w:p>
      <w:pPr>
        <w:spacing w:after="0" w:before="120"/>
      </w:pPr>
      <w:r>
        <w:t xml:space="preserve"/>
      </w:r>
    </w:p>
    <w:p>
      <w:pPr>
        <w:spacing w:after="60" w:before="60"/>
      </w:pPr>
      <w:r>
        <w:rPr>
          <w:rFonts w:ascii="Arial" w:cs="Arial" w:eastAsia="Arial" w:hAnsi="Arial"/>
          <w:color w:val="000000"/>
          <w:sz w:val="22"/>
          <w:szCs w:val="22"/>
        </w:rPr>
        <w:t xml:space="preserve">The President holds authority over national defense and diplomacy, coordinated through a National Security Council Parliament defines by statute. The Prime Minister holds authority over domestic affairs, coordinated through a Domestic Affairs Council Parliament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constitutional Rule Violation during any prior period of federal service. No person may serve more than one presidential term.</w:t>
      </w:r>
    </w:p>
    <w:p>
      <w:pPr>
        <w:pStyle w:val="Heading2"/>
        <w:spacing w:after="80" w:before="200"/>
      </w:pPr>
      <w:r>
        <w:rPr>
          <w:rFonts w:ascii="Arial" w:cs="Arial" w:eastAsia="Arial" w:hAnsi="Arial"/>
          <w:b/>
          <w:bCs/>
          <w:color w:val="4A6FA5"/>
          <w:sz w:val="24"/>
          <w:szCs w:val="24"/>
        </w:rPr>
        <w:t xml:space="preserve">Section 2.1 — The President</w:t>
      </w:r>
    </w:p>
    <w:p>
      <w:pPr>
        <w:spacing w:after="60" w:before="60"/>
        <w:ind w:left="720" w:hanging="360"/>
      </w:pPr>
      <w:r>
        <w:rPr>
          <w:rFonts w:ascii="Arial" w:cs="Arial" w:eastAsia="Arial" w:hAnsi="Arial"/>
          <w:b/>
          <w:bCs/>
          <w:color w:val="4A6FA5"/>
          <w:sz w:val="22"/>
          <w:szCs w:val="22"/>
        </w:rPr>
        <w:t xml:space="preserve">2.1 Presidential Term: </w:t>
      </w:r>
      <w:r>
        <w:rPr>
          <w:rFonts w:ascii="Arial" w:cs="Arial" w:eastAsia="Arial" w:hAnsi="Arial"/>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ind w:left="720" w:hanging="360"/>
      </w:pPr>
      <w:r>
        <w:rPr>
          <w:rFonts w:ascii="Arial" w:cs="Arial" w:eastAsia="Arial" w:hAnsi="Arial"/>
          <w:b/>
          <w:bCs/>
          <w:color w:val="4A6FA5"/>
          <w:sz w:val="22"/>
          <w:szCs w:val="22"/>
        </w:rPr>
        <w:t xml:space="preserve">2.1.a Tier 1 — Immediate Defensive Response: </w:t>
      </w:r>
      <w:r>
        <w:rPr>
          <w:rFonts w:ascii="Arial" w:cs="Arial" w:eastAsia="Arial" w:hAnsi="Arial"/>
          <w:color w:val="000000"/>
          <w:sz w:val="22"/>
          <w:szCs w:val="22"/>
        </w:rPr>
        <w:t xml:space="preserve">The President may respond immediately to an active, imminent, or ongoing attack on Republic territory, Republic citizens abroad, or treaty allies without prior parliamentary authorization. Tier 1 authority is limited to defensive operations only. It does not authorize offensive military operations into foreign territory beyond the immediate threat and does not authorize the initiation of a new conflict. Tier 1 authority continues for as long as the immediate threat persists and expires automatically when the threat is neutralized. The President must notify both chambers of Parliament and the Prime Minister within 12 hours of invoking Tier 1 authority. If Tier 1 defensive operations have been continuously invoked against the same adversary or in the same theater for more than 30 days, the President must seek Tier 2 Senate Armed Services authorization regardless of whether individual incidents still qualify as imminent threats, as the cumulative operation has become a sustained engagement requiring oversight.</w:t>
      </w:r>
    </w:p>
    <w:p>
      <w:pPr>
        <w:spacing w:after="60" w:before="60"/>
        <w:ind w:left="720" w:hanging="360"/>
      </w:pPr>
      <w:r>
        <w:rPr>
          <w:rFonts w:ascii="Arial" w:cs="Arial" w:eastAsia="Arial" w:hAnsi="Arial"/>
          <w:b/>
          <w:bCs/>
          <w:color w:val="4A6FA5"/>
          <w:sz w:val="22"/>
          <w:szCs w:val="22"/>
        </w:rPr>
        <w:t xml:space="preserve">2.1.b Tier 2 — Senate Armed Services Authorization: </w:t>
      </w:r>
      <w:r>
        <w:rPr>
          <w:rFonts w:ascii="Arial" w:cs="Arial" w:eastAsia="Arial" w:hAnsi="Arial"/>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Parliament assembles for a Declaration of Defense. The Prime Minister must certify funds for Tier 2 operations within 96 hours of Committee authorization or issue a Fiscal Objection on specific solvency grounds.</w:t>
      </w:r>
    </w:p>
    <w:p>
      <w:pPr>
        <w:spacing w:after="60" w:before="60"/>
        <w:ind w:left="720" w:hanging="360"/>
      </w:pPr>
      <w:r>
        <w:rPr>
          <w:rFonts w:ascii="Arial" w:cs="Arial" w:eastAsia="Arial" w:hAnsi="Arial"/>
          <w:b/>
          <w:bCs/>
          <w:color w:val="4A6FA5"/>
          <w:sz w:val="22"/>
          <w:szCs w:val="22"/>
        </w:rPr>
        <w:t xml:space="preserve">2.1.c Tier 3 — Parliamentary Declaration of Defense: </w:t>
      </w:r>
      <w:r>
        <w:rPr>
          <w:rFonts w:ascii="Arial" w:cs="Arial" w:eastAsia="Arial" w:hAnsi="Arial"/>
          <w:color w:val="000000"/>
          <w:sz w:val="22"/>
          <w:szCs w:val="22"/>
        </w:rPr>
        <w:t xml:space="preserve">All military operations beyond 30 days from initial deployment require a Parliamentary Declaration of Defense — passed by a 2/3 concurrent majority of both chambers — which simultaneously authorizes extended operations and triggers the Emergency Defense Allocation (§12.2). If Parliament fails to pass a Declaration within 30 days of Senate Armed Services authorization, all operations except immediate defensive protection of Republic territory must cease. The five-year maximum and successive Declaration standard of §12.2 apply from the date of the first Parliamentary Declaration.</w:t>
      </w:r>
    </w:p>
    <w:p>
      <w:pPr>
        <w:spacing w:after="60" w:before="60"/>
        <w:ind w:left="720" w:hanging="360"/>
      </w:pPr>
      <w:r>
        <w:rPr>
          <w:rFonts w:ascii="Arial" w:cs="Arial" w:eastAsia="Arial" w:hAnsi="Arial"/>
          <w:b/>
          <w:bCs/>
          <w:color w:val="4A6FA5"/>
          <w:sz w:val="22"/>
          <w:szCs w:val="22"/>
        </w:rPr>
        <w:t xml:space="preserve">2.1.d Funding Lock: </w:t>
      </w:r>
      <w:r>
        <w:rPr>
          <w:rFonts w:ascii="Arial" w:cs="Arial" w:eastAsia="Arial" w:hAnsi="Arial"/>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Parliamentary Declaration. Uncertified spending beyond the automatic 96-hour allocation is void and triggers an immediate pay freeze.</w:t>
      </w:r>
    </w:p>
    <w:p>
      <w:pPr>
        <w:spacing w:after="60" w:before="60"/>
        <w:ind w:left="720" w:hanging="360"/>
      </w:pPr>
      <w:r>
        <w:rPr>
          <w:rFonts w:ascii="Arial" w:cs="Arial" w:eastAsia="Arial" w:hAnsi="Arial"/>
          <w:b/>
          <w:bCs/>
          <w:color w:val="4A6FA5"/>
          <w:sz w:val="22"/>
          <w:szCs w:val="22"/>
        </w:rPr>
        <w:t xml:space="preserve">2.1.e Privacy Firewall: </w:t>
      </w:r>
      <w:r>
        <w:rPr>
          <w:rFonts w:ascii="Arial" w:cs="Arial" w:eastAsia="Arial" w:hAnsi="Arial"/>
          <w:color w:val="000000"/>
          <w:sz w:val="22"/>
          <w:szCs w:val="22"/>
        </w:rPr>
        <w:t xml:space="preserve">Any order for domestic surveillance or intelligence activity directed at Republic citizens is a Rule Violation against the President and the Director of Intelligence, triggering immediate suspension and a Senate trial within 72 hours under §2.8.</w:t>
      </w:r>
    </w:p>
    <w:p>
      <w:pPr>
        <w:spacing w:after="60" w:before="60"/>
        <w:ind w:left="720" w:hanging="360"/>
      </w:pPr>
      <w:r>
        <w:rPr>
          <w:rFonts w:ascii="Arial" w:cs="Arial" w:eastAsia="Arial" w:hAnsi="Arial"/>
          <w:b/>
          <w:bCs/>
          <w:color w:val="4A6FA5"/>
          <w:sz w:val="22"/>
          <w:szCs w:val="22"/>
        </w:rPr>
        <w:t xml:space="preserve">2.1.f Presidential Veto — Scope: </w:t>
      </w:r>
      <w:r>
        <w:rPr>
          <w:rFonts w:ascii="Arial" w:cs="Arial" w:eastAsia="Arial" w:hAnsi="Arial"/>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Parliament's authority over appropriations is absolute.</w:t>
      </w:r>
    </w:p>
    <w:p>
      <w:pPr>
        <w:spacing w:after="60" w:before="60"/>
        <w:ind w:left="720" w:hanging="360"/>
      </w:pPr>
      <w:r>
        <w:rPr>
          <w:rFonts w:ascii="Arial" w:cs="Arial" w:eastAsia="Arial" w:hAnsi="Arial"/>
          <w:b/>
          <w:bCs/>
          <w:color w:val="4A6FA5"/>
          <w:sz w:val="22"/>
          <w:szCs w:val="22"/>
        </w:rPr>
        <w:t xml:space="preserve">2.1.f.i Judicial Review and Override: </w:t>
      </w:r>
      <w:r>
        <w:rPr>
          <w:rFonts w:ascii="Arial" w:cs="Arial" w:eastAsia="Arial" w:hAnsi="Arial"/>
          <w:color w:val="000000"/>
          <w:sz w:val="22"/>
          <w:szCs w:val="22"/>
        </w:rPr>
        <w:t xml:space="preserve">The Supreme Court reviews any veto within 48 hours on petition from either chamber's Speaker on two independent grounds: scope and justification. A veto found out of scope or unjustified is void and is a Rule Violation.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ind w:left="720" w:hanging="360"/>
      </w:pPr>
      <w:r>
        <w:rPr>
          <w:rFonts w:ascii="Arial" w:cs="Arial" w:eastAsia="Arial" w:hAnsi="Arial"/>
          <w:b/>
          <w:bCs/>
          <w:color w:val="4A6FA5"/>
          <w:sz w:val="22"/>
          <w:szCs w:val="22"/>
        </w:rPr>
        <w:t xml:space="preserve">2.1.f.ii Suspension for Repeated Void Vetoes: </w:t>
      </w:r>
      <w:r>
        <w:rPr>
          <w:rFonts w:ascii="Arial" w:cs="Arial" w:eastAsia="Arial" w:hAnsi="Arial"/>
          <w:color w:val="000000"/>
          <w:sz w:val="22"/>
          <w:szCs w:val="22"/>
        </w:rPr>
        <w:t xml:space="preserve">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ind w:left="720" w:hanging="360"/>
      </w:pPr>
      <w:r>
        <w:rPr>
          <w:rFonts w:ascii="Arial" w:cs="Arial" w:eastAsia="Arial" w:hAnsi="Arial"/>
          <w:b/>
          <w:bCs/>
          <w:color w:val="4A6FA5"/>
          <w:sz w:val="22"/>
          <w:szCs w:val="22"/>
        </w:rPr>
        <w:t xml:space="preserve">2.1.g Presidential Clemency: </w:t>
      </w:r>
      <w:r>
        <w:rPr>
          <w:rFonts w:ascii="Arial" w:cs="Arial" w:eastAsia="Arial" w:hAnsi="Arial"/>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 Rule Violation under §2.8; any offense in which the President was a participant, co-conspirator, or direct beneficiary; any offense committed by a current or former official abusing their official position; or any offense for which the convicted person is simultaneously subject to Rule Violation proceedings. The President may not grant clemency to themselves. Every petition, every EI report, and every grant or decline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2.2 — The Prime Minister</w:t>
      </w:r>
    </w:p>
    <w:p>
      <w:pPr>
        <w:spacing w:after="60" w:before="60"/>
      </w:pPr>
      <w:r>
        <w:rPr>
          <w:rFonts w:ascii="Arial" w:cs="Arial" w:eastAsia="Arial" w:hAnsi="Arial"/>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ind w:left="720" w:hanging="360"/>
      </w:pPr>
      <w:r>
        <w:rPr>
          <w:rFonts w:ascii="Arial" w:cs="Arial" w:eastAsia="Arial" w:hAnsi="Arial"/>
          <w:b/>
          <w:bCs/>
          <w:color w:val="4A6FA5"/>
          <w:sz w:val="22"/>
          <w:szCs w:val="22"/>
        </w:rPr>
        <w:t xml:space="preserve">2.2.a The Record System Mandate: </w:t>
      </w:r>
      <w:r>
        <w:rPr>
          <w:rFonts w:ascii="Arial" w:cs="Arial" w:eastAsia="Arial" w:hAnsi="Arial"/>
          <w:color w:val="000000"/>
          <w:sz w:val="22"/>
          <w:szCs w:val="22"/>
        </w:rPr>
        <w:t xml:space="preserve">The Prime Minister must record all executive orders, contracts, and expenditures on the National Record System within 24 hours of issuance. Unrecorded orders are void.</w:t>
      </w:r>
    </w:p>
    <w:p>
      <w:pPr>
        <w:spacing w:after="60" w:before="60"/>
        <w:ind w:left="720" w:hanging="360"/>
      </w:pPr>
      <w:r>
        <w:rPr>
          <w:rFonts w:ascii="Arial" w:cs="Arial" w:eastAsia="Arial" w:hAnsi="Arial"/>
          <w:b/>
          <w:bCs/>
          <w:color w:val="4A6FA5"/>
          <w:sz w:val="22"/>
          <w:szCs w:val="22"/>
        </w:rPr>
        <w:t xml:space="preserve">2.2.b Duty of Refusal: </w:t>
      </w:r>
      <w:r>
        <w:rPr>
          <w:rFonts w:ascii="Arial" w:cs="Arial" w:eastAsia="Arial" w:hAnsi="Arial"/>
          <w:color w:val="000000"/>
          <w:sz w:val="22"/>
          <w:szCs w:val="22"/>
        </w:rPr>
        <w:t xml:space="preserve">Civil servants must refuse and report any order that lacks PM fund certification, violates Article I rights, or has not been recorded on the National Record System.</w:t>
      </w:r>
    </w:p>
    <w:p>
      <w:pPr>
        <w:spacing w:after="60" w:before="60"/>
        <w:ind w:left="720" w:hanging="360"/>
      </w:pPr>
      <w:r>
        <w:rPr>
          <w:rFonts w:ascii="Arial" w:cs="Arial" w:eastAsia="Arial" w:hAnsi="Arial"/>
          <w:b/>
          <w:bCs/>
          <w:color w:val="4A6FA5"/>
          <w:sz w:val="22"/>
          <w:szCs w:val="22"/>
        </w:rPr>
        <w:t xml:space="preserve">2.2.c Maximum Consecutive Service: </w:t>
      </w:r>
      <w:r>
        <w:rPr>
          <w:rFonts w:ascii="Arial" w:cs="Arial" w:eastAsia="Arial" w:hAnsi="Arial"/>
          <w:color w:val="000000"/>
          <w:sz w:val="22"/>
          <w:szCs w:val="22"/>
        </w:rPr>
        <w:t xml:space="preserve">No person may serve as Prime Minister for more than 8 consecutive years. On the date a PM takes office, the Executive Inspectorate records the expiry date on the National Record System. Six months before expiry, the Executive Inspectorate publishes a notice to both chambers, giving Parliament time to identify a successor. A PM vacancy at term expiry is treated identically to a resignation — the statutory PM selection period begins on the day of expiry — the House must appoint a new Prime Minister within the statutory window defined by Parliament under §2.3.a or face dissolution, just as it must after any vacancy. After a mandatory cooling-off period of one full House term (2 years), a former PM is again eligible for appointment. No Confidence removal and the 8-year maximum operate independently — the House may remove a PM at any time before 8 years through a Constructive Vote of No Confidence under §2.3.b.</w:t>
      </w:r>
    </w:p>
    <w:p>
      <w:pPr>
        <w:spacing w:after="60" w:before="60"/>
        <w:ind w:left="720" w:hanging="360"/>
      </w:pPr>
      <w:r>
        <w:rPr>
          <w:rFonts w:ascii="Arial" w:cs="Arial" w:eastAsia="Arial" w:hAnsi="Arial"/>
          <w:b/>
          <w:bCs/>
          <w:color w:val="4A6FA5"/>
          <w:sz w:val="22"/>
          <w:szCs w:val="22"/>
        </w:rPr>
        <w:t xml:space="preserve">2.2.d Civil Service Integrity: </w:t>
      </w:r>
      <w:r>
        <w:rPr>
          <w:rFonts w:ascii="Arial" w:cs="Arial" w:eastAsia="Arial" w:hAnsi="Arial"/>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ind w:left="720" w:hanging="360"/>
      </w:pPr>
      <w:r>
        <w:rPr>
          <w:rFonts w:ascii="Arial" w:cs="Arial" w:eastAsia="Arial" w:hAnsi="Arial"/>
          <w:b/>
          <w:bCs/>
          <w:color w:val="4A6FA5"/>
          <w:sz w:val="22"/>
          <w:szCs w:val="22"/>
        </w:rPr>
        <w:t xml:space="preserve">2.2.d.i Civil Service Statutory Mandate and Rule Violation: </w:t>
      </w:r>
      <w:r>
        <w:rPr>
          <w:rFonts w:ascii="Arial" w:cs="Arial" w:eastAsia="Arial" w:hAnsi="Arial"/>
          <w:color w:val="000000"/>
          <w:sz w:val="22"/>
          <w:szCs w:val="22"/>
        </w:rPr>
        <w:t xml:space="preserve">Parliament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a Rule Violation.</w:t>
      </w:r>
    </w:p>
    <w:p>
      <w:pPr>
        <w:spacing w:after="60" w:before="60"/>
        <w:ind w:left="720" w:hanging="360"/>
      </w:pPr>
      <w:r>
        <w:rPr>
          <w:rFonts w:ascii="Arial" w:cs="Arial" w:eastAsia="Arial" w:hAnsi="Arial"/>
          <w:b/>
          <w:bCs/>
          <w:color w:val="4A6FA5"/>
          <w:sz w:val="22"/>
          <w:szCs w:val="22"/>
        </w:rPr>
        <w:t xml:space="preserve">2.2.e Domestic Emergency Authority: </w:t>
      </w:r>
      <w:r>
        <w:rPr>
          <w:rFonts w:ascii="Arial" w:cs="Arial" w:eastAsia="Arial" w:hAnsi="Arial"/>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Parliament defines by statute (not to exceed 21 days) or it lapses automatically. Parliament must convene within 48 hours of a domestic emergency declaration; the Senate may extend the declaration by simple majority for an additional 7 days if the House cannot convene due to the same emergency that prompted the declaration.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Parliament ratifies or declines to ratify.</w:t>
      </w:r>
    </w:p>
    <w:p>
      <w:pPr>
        <w:spacing w:after="60" w:before="60"/>
        <w:ind w:left="720" w:hanging="360"/>
      </w:pPr>
      <w:r>
        <w:rPr>
          <w:rFonts w:ascii="Arial" w:cs="Arial" w:eastAsia="Arial" w:hAnsi="Arial"/>
          <w:b/>
          <w:bCs/>
          <w:color w:val="4A6FA5"/>
          <w:sz w:val="22"/>
          <w:szCs w:val="22"/>
        </w:rPr>
        <w:t xml:space="preserve">2.2.f PM Clemency: </w:t>
      </w:r>
      <w:r>
        <w:rPr>
          <w:rFonts w:ascii="Arial" w:cs="Arial" w:eastAsia="Arial" w:hAnsi="Arial"/>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Rule Violations, for offenses in which the PM was a participant or beneficiary, for offenses committed by officials abusing their position, or for persons simultaneously subject to Rule Violation proceedings. The PM may not grant clemency to themselves. Every petition, EI report, and executive decision is published to the National Record System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2.3 — PM Selection and Removal by the House</w:t>
      </w:r>
    </w:p>
    <w:p>
      <w:pPr>
        <w:spacing w:after="60" w:before="60"/>
      </w:pPr>
      <w:r>
        <w:rPr>
          <w:rFonts w:ascii="Arial" w:cs="Arial" w:eastAsia="Arial" w:hAnsi="Arial"/>
          <w:color w:val="000000"/>
          <w:sz w:val="22"/>
          <w:szCs w:val="22"/>
        </w:rPr>
        <w:t xml:space="preserve">The Prime Minister serves at the confidence of the House.</w:t>
      </w:r>
    </w:p>
    <w:p>
      <w:pPr>
        <w:spacing w:after="60" w:before="60"/>
        <w:ind w:left="720" w:hanging="360"/>
      </w:pPr>
      <w:r>
        <w:rPr>
          <w:rFonts w:ascii="Arial" w:cs="Arial" w:eastAsia="Arial" w:hAnsi="Arial"/>
          <w:b/>
          <w:bCs/>
          <w:color w:val="4A6FA5"/>
          <w:sz w:val="22"/>
          <w:szCs w:val="22"/>
        </w:rPr>
        <w:t xml:space="preserve">2.3.a Selection: </w:t>
      </w:r>
      <w:r>
        <w:rPr>
          <w:rFonts w:ascii="Arial" w:cs="Arial" w:eastAsia="Arial" w:hAnsi="Arial"/>
          <w:color w:val="000000"/>
          <w:sz w:val="22"/>
          <w:szCs w:val="22"/>
        </w:rPr>
        <w:t xml:space="preserve">The House selects the Prime Minister by absolute majority — meaning a majority of the full seated membership, not merely those present or voting; this definition applies throughout this Article. Failure to seat a PM within a period Parliament defines by statute — not to exceed 60 days — results in dissolution of the entire House. Parliament must by statute define the consequences for members who fail to participate in good faith during the selection period; the consequences must include, at minimum, a bar on standing for election to any federal office for at least one full House electoral cycle following the dissolution. Parliament must also provide that members who cast at least one affirmative vote for any PM candidate during the selection period are exempt from any such bar. Upon dissolution, the Senate Speaker calls new House elections within 30 days; the new House must be fully seated within 60 days of dissolution.</w:t>
      </w:r>
    </w:p>
    <w:p>
      <w:pPr>
        <w:spacing w:after="60" w:before="60"/>
        <w:ind w:left="720" w:hanging="360"/>
      </w:pPr>
      <w:r>
        <w:rPr>
          <w:rFonts w:ascii="Arial" w:cs="Arial" w:eastAsia="Arial" w:hAnsi="Arial"/>
          <w:b/>
          <w:bCs/>
          <w:color w:val="4A6FA5"/>
          <w:sz w:val="22"/>
          <w:szCs w:val="22"/>
        </w:rPr>
        <w:t xml:space="preserve">2.3.b Constructive Vote of No Confidence: </w:t>
      </w:r>
      <w:r>
        <w:rPr>
          <w:rFonts w:ascii="Arial" w:cs="Arial" w:eastAsia="Arial" w:hAnsi="Arial"/>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This constructive requirement means the House must agree not only that it has lost confidence in the current PM but that it has found a specific successor with majority support.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ind w:left="720" w:hanging="360"/>
      </w:pPr>
      <w:r>
        <w:rPr>
          <w:rFonts w:ascii="Arial" w:cs="Arial" w:eastAsia="Arial" w:hAnsi="Arial"/>
          <w:b/>
          <w:bCs/>
          <w:color w:val="4A6FA5"/>
          <w:sz w:val="22"/>
          <w:szCs w:val="22"/>
        </w:rPr>
        <w:t xml:space="preserve">2.3.c Caretaker Protocol: </w:t>
      </w:r>
      <w:r>
        <w:rPr>
          <w:rFonts w:ascii="Arial" w:cs="Arial" w:eastAsia="Arial" w:hAnsi="Arial"/>
          <w:color w:val="000000"/>
          <w:sz w:val="22"/>
          <w:szCs w:val="22"/>
        </w:rPr>
        <w:t xml:space="preserve">The Senior Domestic Affairs Council Officer serves as Caretaker PM during any PM vacancy, restricted to maintenance of existing obligations only. No new policy or spending may be initiated during the interim. Exception — Domestic Emergency: The Caretaker PM retains the full domestic emergency authority of §2.2.e during any vacancy period. A declared domestic emergency by a Caretaker PM follows the same parliamentary ratification requirement of §2.2.e as any other domestic emergency declaration. Emergencies do not pause for governance transitions; the constitutional framework must remain capable of responding regardless of whether a permanent PM has been seated.</w:t>
      </w:r>
    </w:p>
    <w:p>
      <w:pPr>
        <w:spacing w:after="60" w:before="60"/>
        <w:ind w:left="720" w:hanging="360"/>
      </w:pPr>
      <w:r>
        <w:rPr>
          <w:rFonts w:ascii="Arial" w:cs="Arial" w:eastAsia="Arial" w:hAnsi="Arial"/>
          <w:b/>
          <w:bCs/>
          <w:color w:val="4A6FA5"/>
          <w:sz w:val="22"/>
          <w:szCs w:val="22"/>
        </w:rPr>
        <w:t xml:space="preserve">2.3.d Post-Dissolution Election Bar: </w:t>
      </w:r>
      <w:r>
        <w:rPr>
          <w:rFonts w:ascii="Arial" w:cs="Arial" w:eastAsia="Arial" w:hAnsi="Arial"/>
          <w:color w:val="000000"/>
          <w:sz w:val="22"/>
          <w:szCs w:val="22"/>
        </w:rPr>
        <w:t xml:space="preserve">In any House election triggered by dissolution, no political party or organized faction that held a majority of seats in the dissolved House may field candidates in the emergency election. That organization may return at the next regular election cycle. Members who held minority seats are unaffected. The Post-Dissolution Election Bar and any individual member's mandatory cooling-off period operate independently and neither waives the other. For purposes of this section, a majority of seats means more than half of the total seated membership when dissolution; where no single party holds a majority, the Post-Dissolution Election Bar does not apply to any party.</w:t>
      </w:r>
    </w:p>
    <w:p>
      <w:pPr>
        <w:spacing w:after="60" w:before="60"/>
        <w:ind w:left="720" w:hanging="360"/>
      </w:pPr>
      <w:r>
        <w:rPr>
          <w:rFonts w:ascii="Arial" w:cs="Arial" w:eastAsia="Arial" w:hAnsi="Arial"/>
          <w:b/>
          <w:bCs/>
          <w:color w:val="4A6FA5"/>
          <w:sz w:val="22"/>
          <w:szCs w:val="22"/>
        </w:rPr>
        <w:t xml:space="preserve">2.3.e Repeated Dissolution Protocol: </w:t>
      </w:r>
      <w:r>
        <w:rPr>
          <w:rFonts w:ascii="Arial" w:cs="Arial" w:eastAsia="Arial" w:hAnsi="Arial"/>
          <w:color w:val="000000"/>
          <w:sz w:val="22"/>
          <w:szCs w:val="22"/>
        </w:rPr>
        <w:t xml:space="preserve">Where a second consecutive dissolution occurs — a newly elected House also failing to seat a PM within the statutory window — Parliament must by statute establish an escalating consequences framework that includes: a shortened PM-selection period for the resulting House; a Senate-nominated Caretaker PM authority with full (not maintenance-only) PM powers for a defined period; a Senate selection mechanism for such a Caretaker PM from candidates who have never held partisan elected office; and a fresh-general-election backstop when Senate itself deadlocks. The constitutional principle is that successive dissolutions produce increasingly direct Senate intervention and ultimately a clean-slate election with all prior dissolution bars suspended. Parliament defines the specific sequence, timelines, and thresholds by statute, provided the sequence ends in a new general election if no PM can be seated within the statutory escalation period.</w:t>
      </w:r>
    </w:p>
    <w:p>
      <w:pPr>
        <w:pStyle w:val="Heading2"/>
        <w:spacing w:after="80" w:before="200"/>
      </w:pPr>
      <w:r>
        <w:rPr>
          <w:rFonts w:ascii="Arial" w:cs="Arial" w:eastAsia="Arial" w:hAnsi="Arial"/>
          <w:b/>
          <w:bCs/>
          <w:color w:val="4A6FA5"/>
          <w:sz w:val="24"/>
          <w:szCs w:val="24"/>
        </w:rPr>
        <w:t xml:space="preserve">Section 2.4 — PM Legislative Objection</w:t>
      </w:r>
    </w:p>
    <w:p>
      <w:pPr>
        <w:spacing w:after="60" w:before="60"/>
      </w:pPr>
      <w:r>
        <w:rPr>
          <w:rFonts w:ascii="Arial" w:cs="Arial" w:eastAsia="Arial" w:hAnsi="Arial"/>
          <w:color w:val="000000"/>
          <w:sz w:val="22"/>
          <w:szCs w:val="22"/>
        </w:rPr>
        <w:t xml:space="preserve">The Prime Minister holds two objection powers over enacted legislation. Both are suspensive — Parliament retains the final word in all cases.</w:t>
      </w:r>
    </w:p>
    <w:p>
      <w:pPr>
        <w:spacing w:after="60" w:before="60"/>
        <w:ind w:left="720" w:hanging="360"/>
      </w:pPr>
      <w:r>
        <w:rPr>
          <w:rFonts w:ascii="Arial" w:cs="Arial" w:eastAsia="Arial" w:hAnsi="Arial"/>
          <w:b/>
          <w:bCs/>
          <w:color w:val="4A6FA5"/>
          <w:sz w:val="22"/>
          <w:szCs w:val="22"/>
        </w:rPr>
        <w:t xml:space="preserve">2.4.a Suspensive Veto: </w:t>
      </w:r>
      <w:r>
        <w:rPr>
          <w:rFonts w:ascii="Arial" w:cs="Arial" w:eastAsia="Arial" w:hAnsi="Arial"/>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Parliamentary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Parliament has certified as directly implementing a constitutional obligation; or any bill passed under the §2.9 Emergency Governance Protocol. The PM may apply the suspensive veto to any single bill only once.</w:t>
      </w:r>
    </w:p>
    <w:p>
      <w:pPr>
        <w:spacing w:after="60" w:before="60"/>
        <w:ind w:left="720" w:hanging="360"/>
      </w:pPr>
      <w:r>
        <w:rPr>
          <w:rFonts w:ascii="Arial" w:cs="Arial" w:eastAsia="Arial" w:hAnsi="Arial"/>
          <w:b/>
          <w:bCs/>
          <w:color w:val="4A6FA5"/>
          <w:sz w:val="22"/>
          <w:szCs w:val="22"/>
        </w:rPr>
        <w:t xml:space="preserve">2.4.b Fiscal Objection: </w:t>
      </w:r>
      <w:r>
        <w:rPr>
          <w:rFonts w:ascii="Arial" w:cs="Arial" w:eastAsia="Arial" w:hAnsi="Arial"/>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ind w:left="720" w:hanging="360"/>
      </w:pPr>
      <w:r>
        <w:rPr>
          <w:rFonts w:ascii="Arial" w:cs="Arial" w:eastAsia="Arial" w:hAnsi="Arial"/>
          <w:b/>
          <w:bCs/>
          <w:color w:val="4A6FA5"/>
          <w:sz w:val="22"/>
          <w:szCs w:val="22"/>
        </w:rPr>
        <w:t xml:space="preserve">2.4.c Limits: </w:t>
      </w:r>
      <w:r>
        <w:rPr>
          <w:rFonts w:ascii="Arial" w:cs="Arial" w:eastAsia="Arial" w:hAnsi="Arial"/>
          <w:color w:val="000000"/>
          <w:sz w:val="22"/>
          <w:szCs w:val="22"/>
        </w:rPr>
        <w:t xml:space="preserve">The suspensive veto provides a deliberation interval and forces Parliament to recommit to the legislation; it does not convert PM policy preferences into law. Any objection lacking the required written statement is void and is a Rule Violation.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2.5 — The Legislative Review Period</w:t>
      </w:r>
    </w:p>
    <w:p>
      <w:pPr>
        <w:spacing w:after="60" w:before="60"/>
      </w:pPr>
      <w:r>
        <w:rPr>
          <w:rFonts w:ascii="Arial" w:cs="Arial" w:eastAsia="Arial" w:hAnsi="Arial"/>
          <w:color w:val="000000"/>
          <w:sz w:val="22"/>
          <w:szCs w:val="22"/>
        </w:rPr>
        <w:t xml:space="preserve">Every bill passed by Parliament enters a Legislative Review Period during which both executives may respond within their constitutional domains: the President may issue a Presidential Veto under §2.1.f and the PM may issue a Suspensive Veto or Fiscal Objection under §2.4. Parliament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ind w:left="720" w:hanging="360"/>
      </w:pPr>
      <w:r>
        <w:rPr>
          <w:rFonts w:ascii="Arial" w:cs="Arial" w:eastAsia="Arial" w:hAnsi="Arial"/>
          <w:b/>
          <w:bCs/>
          <w:color w:val="4A6FA5"/>
          <w:sz w:val="22"/>
          <w:szCs w:val="22"/>
        </w:rPr>
        <w:t xml:space="preserve">2.5.a Emergency Parliamentary Continuity: </w:t>
      </w:r>
      <w:r>
        <w:rPr>
          <w:rFonts w:ascii="Arial" w:cs="Arial" w:eastAsia="Arial" w:hAnsi="Arial"/>
          <w:color w:val="000000"/>
          <w:sz w:val="22"/>
          <w:szCs w:val="22"/>
        </w:rPr>
        <w:t xml:space="preserve">If the House is physically unable to convene — in person or by any remote means — during the 72-hour presidential review window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2.7 — Succession</w:t>
      </w:r>
    </w:p>
    <w:p>
      <w:pPr>
        <w:spacing w:after="60" w:before="60"/>
        <w:ind w:left="720" w:hanging="360"/>
      </w:pPr>
      <w:r>
        <w:rPr>
          <w:rFonts w:ascii="Arial" w:cs="Arial" w:eastAsia="Arial" w:hAnsi="Arial"/>
          <w:b/>
          <w:bCs/>
          <w:color w:val="4A6FA5"/>
          <w:sz w:val="22"/>
          <w:szCs w:val="22"/>
        </w:rPr>
        <w:t xml:space="preserve">2.7.a Presidential Succession Line: </w:t>
      </w:r>
      <w:r>
        <w:rPr>
          <w:rFonts w:ascii="Arial" w:cs="Arial" w:eastAsia="Arial" w:hAnsi="Arial"/>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The Deputy Speaker automatically ascends to Speaker if the Speaker assumes the Presidency. A successor who assumes the presidency by succession serves only until a special presidential election can be held — Parliament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ind w:left="720" w:hanging="360"/>
      </w:pPr>
      <w:r>
        <w:rPr>
          <w:rFonts w:ascii="Arial" w:cs="Arial" w:eastAsia="Arial" w:hAnsi="Arial"/>
          <w:b/>
          <w:bCs/>
          <w:color w:val="4A6FA5"/>
          <w:sz w:val="22"/>
          <w:szCs w:val="22"/>
        </w:rPr>
        <w:t xml:space="preserve">2.7.b Incapacity Certification: </w:t>
      </w:r>
      <w:r>
        <w:rPr>
          <w:rFonts w:ascii="Arial" w:cs="Arial" w:eastAsia="Arial" w:hAnsi="Arial"/>
          <w:color w:val="000000"/>
          <w:sz w:val="22"/>
          <w:szCs w:val="22"/>
        </w:rPr>
        <w:t xml:space="preserve">If the President is incapacitated during an active Tier 1 defensive response under §2.1.a, the Senate Speaker immediately assumes Tier 1 authority pending the President's restoration or formal succession. Incapacity is certified jointly by the Prime Minister and the most senior sitting Supreme Court justice, and published to the National Record System within 6 hours. If the Prime Minister is the successor in the succession line and therefore has a conflict of interest in certifying incapacity, the Senate Speaker substitutes for the Prime Minister in the certification. Incapacity that does not involve active Tier 1 operations follows the same certification process; succession takes effect upon certification.</w:t>
      </w:r>
    </w:p>
    <w:p>
      <w:pPr>
        <w:spacing w:after="60" w:before="60"/>
        <w:ind w:left="720" w:hanging="360"/>
      </w:pPr>
      <w:r>
        <w:rPr>
          <w:rFonts w:ascii="Arial" w:cs="Arial" w:eastAsia="Arial" w:hAnsi="Arial"/>
          <w:b/>
          <w:bCs/>
          <w:color w:val="4A6FA5"/>
          <w:sz w:val="22"/>
          <w:szCs w:val="22"/>
        </w:rPr>
        <w:t xml:space="preserve">2.7.c Succession-Based Presidential Term: </w:t>
      </w:r>
      <w:r>
        <w:rPr>
          <w:rFonts w:ascii="Arial" w:cs="Arial" w:eastAsia="Arial" w:hAnsi="Arial"/>
          <w:color w:val="000000"/>
          <w:sz w:val="22"/>
          <w:szCs w:val="22"/>
        </w:rPr>
        <w:t xml:space="preserve">A person who assumes the presidency by succession under §2.7.a,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Parliament within 90 days of succession, to continue serving beyond the succession period. If elected, that elected term constitutes their single non-renewable term. If not elected, the next person in the succession line assumes the office or a new election is called.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2.8 — Constitutional Violations and Automatic Consequences</w:t>
      </w:r>
    </w:p>
    <w:p>
      <w:pPr>
        <w:spacing w:after="60" w:before="60"/>
      </w:pPr>
      <w:r>
        <w:rPr>
          <w:rFonts w:ascii="Arial" w:cs="Arial" w:eastAsia="Arial" w:hAnsi="Arial"/>
          <w:color w:val="000000"/>
          <w:sz w:val="22"/>
          <w:szCs w:val="22"/>
        </w:rPr>
        <w:t xml:space="preserve">A Supreme Court finding that any official has violated a constitutional rule triggers these automatic consequences: (1) immediate suspension from duties and pay freeze; (2) revocation of access to classified information, government systems, and official vehicles; (3) a Senate trial within the statutory period. These consequences are automatic — no further order, motion, or vote is required to initiate them. They may not be stayed by executive order or by parliamentary motion. The suspension and trial apply whether or not the official contests the underlying finding.</w:t>
      </w:r>
    </w:p>
    <w:p>
      <w:pPr>
        <w:spacing w:after="60" w:before="60"/>
      </w:pPr>
      <w:r>
        <w:rPr>
          <w:rFonts w:ascii="Arial" w:cs="Arial" w:eastAsia="Arial" w:hAnsi="Arial"/>
          <w:color w:val="000000"/>
          <w:sz w:val="22"/>
          <w:szCs w:val="22"/>
        </w:rPr>
        <w:t xml:space="preserve">Any provision of this Constitution that characterizes an action or omission as subject to Rule Violation proceedings invokes this Section automatically. Cross-references to §2.8 elsewhere in this Constitution are declaratory only. Inspectorate findings do not constitute Rule Violation determinations — only courts may make that legal conclusion. Inspectorate findings are facts that Parliament, courts, or the People may act upon.</w:t>
      </w:r>
    </w:p>
    <w:p>
      <w:pPr>
        <w:spacing w:after="60" w:before="60"/>
        <w:ind w:left="720" w:hanging="360"/>
      </w:pPr>
      <w:r>
        <w:rPr>
          <w:rFonts w:ascii="Arial" w:cs="Arial" w:eastAsia="Arial" w:hAnsi="Arial"/>
          <w:b/>
          <w:bCs/>
          <w:color w:val="4A6FA5"/>
          <w:sz w:val="22"/>
          <w:szCs w:val="22"/>
        </w:rPr>
        <w:t xml:space="preserve">2.8.a Former Official Accountability: </w:t>
      </w:r>
      <w:r>
        <w:rPr>
          <w:rFonts w:ascii="Arial" w:cs="Arial" w:eastAsia="Arial" w:hAnsi="Arial"/>
          <w:color w:val="000000"/>
          <w:sz w:val="22"/>
          <w:szCs w:val="22"/>
        </w:rPr>
        <w:t xml:space="preserve">A Supreme Court finding of a constitutional violation for conduct committed while a person held federal office applies regardless of whether the person remains in office when the finding. Where the person has left office, the suspension and Senate trial provisions do not apply — they have no office to suspend from. Instead, the finding triggers automatically: (1) a permanent bar on holding any federal elected or appointed office; and (2) permanent forfeiture of any federal pension or benefit accrued during the period of the violation. Both consequences apply from the date of the court's finding without further proceeding. Criminal liability remains separately pursuable and is not affected by this provision. This lookback applies to constitutional violations for conduct occurring within 5 years before the finding; conduct more than 5 years before the finding date is not subject to the former-official consequences of this sub-section, though criminal prosecution remains available under applicable statutes of limitation.</w:t>
      </w:r>
    </w:p>
    <w:p>
      <w:pPr>
        <w:spacing w:after="60" w:before="60"/>
        <w:ind w:left="720" w:hanging="360"/>
      </w:pPr>
      <w:r>
        <w:rPr>
          <w:rFonts w:ascii="Arial" w:cs="Arial" w:eastAsia="Arial" w:hAnsi="Arial"/>
          <w:b/>
          <w:bCs/>
          <w:color w:val="4A6FA5"/>
          <w:sz w:val="22"/>
          <w:szCs w:val="22"/>
        </w:rPr>
        <w:t xml:space="preserve">2.8.b Suspension Deferred During Active Military Operations: </w:t>
      </w:r>
      <w:r>
        <w:rPr>
          <w:rFonts w:ascii="Arial" w:cs="Arial" w:eastAsia="Arial" w:hAnsi="Arial"/>
          <w:color w:val="000000"/>
          <w:sz w:val="22"/>
          <w:szCs w:val="22"/>
        </w:rPr>
        <w:t xml:space="preserve">Where the official subject to a Rule Violation finding is the President and active Tier 1, Tier 2, or Tier 3 military operations are underway when the finding, the immediate suspension of §2.8 is deferred until those operations conclude or until the Senate Armed Services Committee certifies that operational continuity does not require the President's personal command authority. During deferral, the automatic Writ of Impeachment is filed and the Senate trial is scheduled, but the President continues in office. The Senate Speaker assumes parallel readiness to assume defense and diplomatic functions on 30 minutes' notice. Deferral may not exceed 30 days; if the Senate trial has not concluded within 30 days of the original finding, the suspension takes effect automatically regardless of operational status. This provision does not apply where the Rule Violation itself concerns the conduct of those military operations. §2.8.b applies only where the constitutional violation is classified as major under §2.8.c — a minor violation under §2.8.c does not trigger suspension and therefore does not engage the deferral mechanism of this provision.</w:t>
      </w:r>
    </w:p>
    <w:p>
      <w:pPr>
        <w:spacing w:after="60" w:before="60"/>
        <w:ind w:left="720" w:hanging="360"/>
      </w:pPr>
      <w:r>
        <w:rPr>
          <w:rFonts w:ascii="Arial" w:cs="Arial" w:eastAsia="Arial" w:hAnsi="Arial"/>
          <w:b/>
          <w:bCs/>
          <w:color w:val="4A6FA5"/>
          <w:sz w:val="22"/>
          <w:szCs w:val="22"/>
        </w:rPr>
        <w:t xml:space="preserve">2.8.c Minor Violations — Corrective Order Track: </w:t>
      </w:r>
      <w:r>
        <w:rPr>
          <w:rFonts w:ascii="Arial" w:cs="Arial" w:eastAsia="Arial" w:hAnsi="Arial"/>
          <w:color w:val="000000"/>
          <w:sz w:val="22"/>
          <w:szCs w:val="22"/>
        </w:rPr>
        <w:t xml:space="preserve">A violation is minor — triggering the corrective order track rather than suspension — where it is procedural or incidental, the court finds no evidence of deliberate circumvention, the affected rights have not been materially prejudiced, and the official has not previously committed a constitutional violation during the current period of service. In assessing major or minor, the court must consider whether the official self-corrected promptly after the relevant Inspectorate's published finding and before any court proceeding; prompt self-correction weighs toward minor. Parliament may by statute define what constitutes a new period of service for this purpose.</w:t>
      </w:r>
    </w:p>
    <w:p>
      <w:pPr>
        <w:spacing w:after="60" w:before="60"/>
        <w:ind w:left="720" w:hanging="360"/>
      </w:pPr>
      <w:r>
        <w:rPr>
          <w:rFonts w:ascii="Arial" w:cs="Arial" w:eastAsia="Arial" w:hAnsi="Arial"/>
          <w:b/>
          <w:bCs/>
          <w:color w:val="4A6FA5"/>
          <w:sz w:val="22"/>
          <w:szCs w:val="22"/>
        </w:rPr>
        <w:t xml:space="preserve">2.8.d Corrective Order Mechanics: </w:t>
      </w:r>
      <w:r>
        <w:rPr>
          <w:rFonts w:ascii="Arial" w:cs="Arial" w:eastAsia="Arial" w:hAnsi="Arial"/>
          <w:color w:val="000000"/>
          <w:sz w:val="22"/>
          <w:szCs w:val="22"/>
        </w:rPr>
        <w:t xml:space="preserve">A corrective order directs the official to rectify the specific violation within a court-defined period, not exceeding 30 days. Failure to comply converts the corrective order to a major violation and triggers the suspension track automatically, without a new court proceeding. Compliance is verified by the relevant Inspectorate and recorded on the National Record System. A corrective order does not constitute a formal Rule Violation finding for purposes of calculating prior violations under §2.8.c.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2.9 — Emergency Governance Protocol</w:t>
      </w:r>
    </w:p>
    <w:p>
      <w:pPr>
        <w:spacing w:after="60" w:before="60"/>
      </w:pPr>
      <w:r>
        <w:rPr>
          <w:rFonts w:ascii="Arial" w:cs="Arial" w:eastAsia="Arial" w:hAnsi="Arial"/>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pPr>
      <w:r>
        <w:rPr>
          <w:rFonts w:ascii="Arial" w:cs="Arial" w:eastAsia="Arial" w:hAnsi="Arial"/>
          <w:color w:val="000000"/>
          <w:sz w:val="22"/>
          <w:szCs w:val="22"/>
        </w:rPr>
        <w:t xml:space="preserve">Expedited Activation — Catastrophic Attack: Where Parliament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Parliament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§2.9 Emergency Governance Protocol and electing a Speaker.</w:t>
      </w:r>
    </w:p>
    <w:p>
      <w:pPr>
        <w:pStyle w:val="Heading2"/>
        <w:spacing w:after="80" w:before="200"/>
      </w:pPr>
      <w:r>
        <w:rPr>
          <w:rFonts w:ascii="Arial" w:cs="Arial" w:eastAsia="Arial" w:hAnsi="Arial"/>
          <w:b/>
          <w:bCs/>
          <w:color w:val="4A6FA5"/>
          <w:sz w:val="24"/>
          <w:szCs w:val="24"/>
        </w:rPr>
        <w:t xml:space="preserve">Section 2.10 — Clemency Limits and Parliamentary Amnesty</w:t>
      </w:r>
    </w:p>
    <w:p>
      <w:pPr>
        <w:spacing w:after="60" w:before="60"/>
        <w:ind w:left="720" w:hanging="360"/>
      </w:pPr>
      <w:r>
        <w:rPr>
          <w:rFonts w:ascii="Arial" w:cs="Arial" w:eastAsia="Arial" w:hAnsi="Arial"/>
          <w:b/>
          <w:bCs/>
          <w:color w:val="4A6FA5"/>
          <w:sz w:val="22"/>
          <w:szCs w:val="22"/>
        </w:rPr>
        <w:t xml:space="preserve">2.10.a Judicial Review of Grants: </w:t>
      </w:r>
      <w:r>
        <w:rPr>
          <w:rFonts w:ascii="Arial" w:cs="Arial" w:eastAsia="Arial" w:hAnsi="Arial"/>
          <w:color w:val="000000"/>
          <w:sz w:val="22"/>
          <w:szCs w:val="22"/>
        </w:rPr>
        <w:t xml:space="preserve">Any clemency grant may be challenged before the Supreme Court within 30 days by any person with a concrete injury, on grounds of: violation of the Rule Violation exclusion; violation of the co-conspirator or official-misconduct exclusion; or violation of §1.8 equal protection. The Court reviews constitutional compliance only — not the merits of the decision. A grant found unconstitutional is void and the original sentence reinstated.</w:t>
      </w:r>
    </w:p>
    <w:p>
      <w:pPr>
        <w:spacing w:after="60" w:before="60"/>
        <w:ind w:left="720" w:hanging="360"/>
      </w:pPr>
      <w:r>
        <w:rPr>
          <w:rFonts w:ascii="Arial" w:cs="Arial" w:eastAsia="Arial" w:hAnsi="Arial"/>
          <w:b/>
          <w:bCs/>
          <w:color w:val="4A6FA5"/>
          <w:sz w:val="22"/>
          <w:szCs w:val="22"/>
        </w:rPr>
        <w:t xml:space="preserve">2.10.b Parliamentary Amnesty: </w:t>
      </w:r>
      <w:r>
        <w:rPr>
          <w:rFonts w:ascii="Arial" w:cs="Arial" w:eastAsia="Arial" w:hAnsi="Arial"/>
          <w:color w:val="000000"/>
          <w:sz w:val="22"/>
          <w:szCs w:val="22"/>
        </w:rPr>
        <w:t xml:space="preserve">Broad amnesty — the remission of criminal liability for a defined group of persons — is a political act requiring democratic authorization. Only Parliament may grant amnesty, by statute passed by simple majority of both chambers. No executive may grant group amnesty. Parliamentary amnesty may not extend to constitutional Rule Violations, to offenses committed by officials using or abusing their official position, or to persons convicted of crimes against the fundamental rights of §1.2 and §1.3. Parliamentary amnesty statutes are subject to judicial review for constitutional compliance within 60 days of enactment.</w:t>
      </w:r>
    </w:p>
    <w:p>
      <w:pPr>
        <w:spacing w:after="60" w:before="60"/>
        <w:ind w:left="720" w:hanging="360"/>
      </w:pPr>
      <w:r>
        <w:rPr>
          <w:rFonts w:ascii="Arial" w:cs="Arial" w:eastAsia="Arial" w:hAnsi="Arial"/>
          <w:b/>
          <w:bCs/>
          <w:color w:val="4A6FA5"/>
          <w:sz w:val="22"/>
          <w:szCs w:val="22"/>
        </w:rPr>
        <w:t xml:space="preserve">2.10.c Self-Clemency Absolute Prohibition: </w:t>
      </w:r>
      <w:r>
        <w:rPr>
          <w:rFonts w:ascii="Arial" w:cs="Arial" w:eastAsia="Arial" w:hAnsi="Arial"/>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constitutes a Rule Violation, and may not be ratified by any subsequent official action.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III — THE PARLIAMENT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3.1 — The House</w:t>
      </w:r>
    </w:p>
    <w:p>
      <w:pPr>
        <w:spacing w:after="60" w:before="60"/>
        <w:ind w:left="720" w:hanging="360"/>
      </w:pPr>
      <w:r>
        <w:rPr>
          <w:rFonts w:ascii="Arial" w:cs="Arial" w:eastAsia="Arial" w:hAnsi="Arial"/>
          <w:b/>
          <w:bCs/>
          <w:color w:val="4A6FA5"/>
          <w:sz w:val="22"/>
          <w:szCs w:val="22"/>
        </w:rPr>
        <w:t xml:space="preserve">3.1.a House Membership Floor: </w:t>
      </w:r>
      <w:r>
        <w:rPr>
          <w:rFonts w:ascii="Arial" w:cs="Arial" w:eastAsia="Arial" w:hAnsi="Arial"/>
          <w:color w:val="000000"/>
          <w:sz w:val="22"/>
          <w:szCs w:val="22"/>
        </w:rPr>
        <w:t xml:space="preserve">Parliament is the Republic's legislature — the House representing the People proportionally, the Senate representing the States equally. Seats in the House are allocated by proportional representation through a formula Parliament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Parliament may set a higher membership than the constitutional floor and must justify any formula producing fewer than one member per 500,000 citizens.</w:t>
      </w:r>
    </w:p>
    <w:p>
      <w:pPr>
        <w:spacing w:after="60" w:before="60"/>
        <w:ind w:left="720" w:hanging="360"/>
      </w:pPr>
      <w:r>
        <w:rPr>
          <w:rFonts w:ascii="Arial" w:cs="Arial" w:eastAsia="Arial" w:hAnsi="Arial"/>
          <w:b/>
          <w:bCs/>
          <w:color w:val="4A6FA5"/>
          <w:sz w:val="22"/>
          <w:szCs w:val="22"/>
        </w:rPr>
        <w:t xml:space="preserve">3.1.b Census Authority: </w:t>
      </w:r>
      <w:r>
        <w:rPr>
          <w:rFonts w:ascii="Arial" w:cs="Arial" w:eastAsia="Arial" w:hAnsi="Arial"/>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ind w:left="720" w:hanging="360"/>
      </w:pPr>
      <w:r>
        <w:rPr>
          <w:rFonts w:ascii="Arial" w:cs="Arial" w:eastAsia="Arial" w:hAnsi="Arial"/>
          <w:b/>
          <w:bCs/>
          <w:color w:val="4A6FA5"/>
          <w:sz w:val="22"/>
          <w:szCs w:val="22"/>
        </w:rPr>
        <w:t xml:space="preserve">3.1.c Single-Subject Rule: </w:t>
      </w:r>
      <w:r>
        <w:rPr>
          <w:rFonts w:ascii="Arial" w:cs="Arial" w:eastAsia="Arial" w:hAnsi="Arial"/>
          <w:color w:val="000000"/>
          <w:sz w:val="22"/>
          <w:szCs w:val="22"/>
        </w:rPr>
        <w:t xml:space="preserve">Every bill must address a single, clearly defined subject. Unrelated riders or omnibus additions nullify the entire act.</w:t>
      </w:r>
    </w:p>
    <w:p>
      <w:pPr>
        <w:spacing w:after="60" w:before="60"/>
        <w:ind w:left="720" w:hanging="360"/>
      </w:pPr>
      <w:r>
        <w:rPr>
          <w:rFonts w:ascii="Arial" w:cs="Arial" w:eastAsia="Arial" w:hAnsi="Arial"/>
          <w:b/>
          <w:bCs/>
          <w:color w:val="4A6FA5"/>
          <w:sz w:val="22"/>
          <w:szCs w:val="22"/>
        </w:rPr>
        <w:t xml:space="preserve">3.1.d Bill Exposure: </w:t>
      </w:r>
      <w:r>
        <w:rPr>
          <w:rFonts w:ascii="Arial" w:cs="Arial" w:eastAsia="Arial" w:hAnsi="Arial"/>
          <w:color w:val="000000"/>
          <w:sz w:val="22"/>
          <w:szCs w:val="22"/>
        </w:rPr>
        <w:t xml:space="preserve">The House must publish every bill in full on the National Record System for a minimum period Parliament defines by statute before a final vote.</w:t>
      </w:r>
    </w:p>
    <w:p>
      <w:pPr>
        <w:spacing w:after="60" w:before="60"/>
        <w:ind w:left="720" w:hanging="360"/>
      </w:pPr>
      <w:r>
        <w:rPr>
          <w:rFonts w:ascii="Arial" w:cs="Arial" w:eastAsia="Arial" w:hAnsi="Arial"/>
          <w:b/>
          <w:bCs/>
          <w:color w:val="4A6FA5"/>
          <w:sz w:val="22"/>
          <w:szCs w:val="22"/>
        </w:rPr>
        <w:t xml:space="preserve">3.1.e Dissolution and Emergency Elections: </w:t>
      </w:r>
      <w:r>
        <w:rPr>
          <w:rFonts w:ascii="Arial" w:cs="Arial" w:eastAsia="Arial" w:hAnsi="Arial"/>
          <w:color w:val="000000"/>
          <w:sz w:val="22"/>
          <w:szCs w:val="22"/>
        </w:rPr>
        <w:t xml:space="preserve">Failure to seat a PM within the statutory period defined under §2.3.a results in dissolution of the entire House. Members who were present and voting during the statutory selection period are subject to the election bar described in §2.3.a, subject to the good-faith participation exemption of that section. The Senate Speaker calls emergency House elections within 30 days. The new House must be fully seated within 60 days of dissolution. The Post-Dissolution Election Bar (§2.3.d) applies to these elections.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3.2 — The Senate</w:t>
      </w:r>
    </w:p>
    <w:p>
      <w:pPr>
        <w:spacing w:after="60" w:before="60"/>
      </w:pPr>
      <w:r>
        <w:rPr>
          <w:rFonts w:ascii="Arial" w:cs="Arial" w:eastAsia="Arial" w:hAnsi="Arial"/>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ind w:left="720" w:hanging="360"/>
      </w:pPr>
      <w:r>
        <w:rPr>
          <w:rFonts w:ascii="Arial" w:cs="Arial" w:eastAsia="Arial" w:hAnsi="Arial"/>
          <w:b/>
          <w:bCs/>
          <w:color w:val="4A6FA5"/>
          <w:sz w:val="22"/>
          <w:szCs w:val="22"/>
        </w:rPr>
        <w:t xml:space="preserve">3.2.a Senator Terms and Limits: </w:t>
      </w:r>
      <w:r>
        <w:rPr>
          <w:rFonts w:ascii="Arial" w:cs="Arial" w:eastAsia="Arial" w:hAnsi="Arial"/>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ind w:left="720" w:hanging="360"/>
      </w:pPr>
      <w:r>
        <w:rPr>
          <w:rFonts w:ascii="Arial" w:cs="Arial" w:eastAsia="Arial" w:hAnsi="Arial"/>
          <w:b/>
          <w:bCs/>
          <w:color w:val="4A6FA5"/>
          <w:sz w:val="22"/>
          <w:szCs w:val="22"/>
        </w:rPr>
        <w:t xml:space="preserve">3.2.b Senate Speaker Role Limit: </w:t>
      </w:r>
      <w:r>
        <w:rPr>
          <w:rFonts w:ascii="Arial" w:cs="Arial" w:eastAsia="Arial" w:hAnsi="Arial"/>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ind w:left="720" w:hanging="360"/>
      </w:pPr>
      <w:r>
        <w:rPr>
          <w:rFonts w:ascii="Arial" w:cs="Arial" w:eastAsia="Arial" w:hAnsi="Arial"/>
          <w:b/>
          <w:bCs/>
          <w:color w:val="4A6FA5"/>
          <w:sz w:val="22"/>
          <w:szCs w:val="22"/>
        </w:rPr>
        <w:t xml:space="preserve">3.2.c Senate Must Act on Every House Bill: </w:t>
      </w:r>
      <w:r>
        <w:rPr>
          <w:rFonts w:ascii="Arial" w:cs="Arial" w:eastAsia="Arial" w:hAnsi="Arial"/>
          <w:color w:val="000000"/>
          <w:sz w:val="22"/>
          <w:szCs w:val="22"/>
        </w:rPr>
        <w:t xml:space="preserve">The Senate must take up every House-passed bill within a period Parliament defines by statute. If the Senate fails to act within this period, the bill is Deemed Approved and automatically passed to the executive review process.</w:t>
      </w:r>
    </w:p>
    <w:p>
      <w:pPr>
        <w:spacing w:after="60" w:before="60"/>
        <w:ind w:left="720" w:hanging="360"/>
      </w:pPr>
      <w:r>
        <w:rPr>
          <w:rFonts w:ascii="Arial" w:cs="Arial" w:eastAsia="Arial" w:hAnsi="Arial"/>
          <w:b/>
          <w:bCs/>
          <w:color w:val="4A6FA5"/>
          <w:sz w:val="22"/>
          <w:szCs w:val="22"/>
        </w:rPr>
        <w:t xml:space="preserve">3.2.d Judicial Confirmation: </w:t>
      </w:r>
      <w:r>
        <w:rPr>
          <w:rFonts w:ascii="Arial" w:cs="Arial" w:eastAsia="Arial" w:hAnsi="Arial"/>
          <w:color w:val="000000"/>
          <w:sz w:val="22"/>
          <w:szCs w:val="22"/>
        </w:rPr>
        <w:t xml:space="preserve">The Senate confirms judicial appointments by a supermajority Parliament defines by statute — not less than 55% and not more than 67% of full Senate membership — within a period Parliament defines. Failure to vote within that period results in the nominee being Deemed Confirmed.</w:t>
      </w:r>
    </w:p>
    <w:p>
      <w:pPr>
        <w:spacing w:after="60" w:before="60"/>
        <w:ind w:left="720" w:hanging="360"/>
      </w:pPr>
      <w:r>
        <w:rPr>
          <w:rFonts w:ascii="Arial" w:cs="Arial" w:eastAsia="Arial" w:hAnsi="Arial"/>
          <w:b/>
          <w:bCs/>
          <w:color w:val="4A6FA5"/>
          <w:sz w:val="22"/>
          <w:szCs w:val="22"/>
        </w:rPr>
        <w:t xml:space="preserve">3.2.e Treaty Ratification: </w:t>
      </w:r>
      <w:r>
        <w:rPr>
          <w:rFonts w:ascii="Arial" w:cs="Arial" w:eastAsia="Arial" w:hAnsi="Arial"/>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§12.5.a. This transparency requirement ensures treaty obligations are entered honestly and enforced consistently.</w:t>
      </w:r>
    </w:p>
    <w:p>
      <w:pPr>
        <w:spacing w:after="60" w:before="60"/>
        <w:ind w:left="720" w:hanging="360"/>
      </w:pPr>
      <w:r>
        <w:rPr>
          <w:rFonts w:ascii="Arial" w:cs="Arial" w:eastAsia="Arial" w:hAnsi="Arial"/>
          <w:b/>
          <w:bCs/>
          <w:color w:val="4A6FA5"/>
          <w:sz w:val="22"/>
          <w:szCs w:val="22"/>
        </w:rPr>
        <w:t xml:space="preserve">3.2.f Impeachment Trials: </w:t>
      </w:r>
      <w:r>
        <w:rPr>
          <w:rFonts w:ascii="Arial" w:cs="Arial" w:eastAsia="Arial" w:hAnsi="Arial"/>
          <w:color w:val="000000"/>
          <w:sz w:val="22"/>
          <w:szCs w:val="22"/>
        </w:rPr>
        <w:t xml:space="preserve">The Senate conducts all impeachment trials. Conviction and removal requires a 2/3 Senate vote.</w:t>
      </w:r>
    </w:p>
    <w:p>
      <w:pPr>
        <w:spacing w:after="60" w:before="60"/>
        <w:ind w:left="720" w:hanging="360"/>
      </w:pPr>
      <w:r>
        <w:rPr>
          <w:rFonts w:ascii="Arial" w:cs="Arial" w:eastAsia="Arial" w:hAnsi="Arial"/>
          <w:b/>
          <w:bCs/>
          <w:color w:val="4A6FA5"/>
          <w:sz w:val="22"/>
          <w:szCs w:val="22"/>
        </w:rPr>
        <w:t xml:space="preserve">3.2.g Survivor Quorum — Catastrophic Casualty Events: </w:t>
      </w:r>
      <w:r>
        <w:rPr>
          <w:rFonts w:ascii="Arial" w:cs="Arial" w:eastAsia="Arial" w:hAnsi="Arial"/>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§2.9.</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3.3 — The Life Cycle of a Law</w:t>
      </w:r>
    </w:p>
    <w:p>
      <w:pPr>
        <w:spacing w:after="60" w:before="60"/>
        <w:ind w:left="720" w:hanging="360"/>
      </w:pPr>
      <w:r>
        <w:rPr>
          <w:rFonts w:ascii="Arial" w:cs="Arial" w:eastAsia="Arial" w:hAnsi="Arial"/>
          <w:b/>
          <w:bCs/>
          <w:color w:val="4A6FA5"/>
          <w:sz w:val="22"/>
          <w:szCs w:val="22"/>
        </w:rPr>
        <w:t xml:space="preserve">3.3.a Parliamentary Mandate Enforcement: </w:t>
      </w:r>
      <w:r>
        <w:rPr>
          <w:rFonts w:ascii="Arial" w:cs="Arial" w:eastAsia="Arial" w:hAnsi="Arial"/>
          <w:color w:val="000000"/>
          <w:sz w:val="22"/>
          <w:szCs w:val="22"/>
        </w:rPr>
        <w:t xml:space="preserve">If Parliament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Parliament to enact a specific statutory framework or may establish a default rule that operates until Parliament acts. Parliament may not waive this consequence. Its purpose is to ensure that the Constitution's statutory delegations are genuine mandates, not aspirational suggestions.</w:t>
      </w:r>
    </w:p>
    <w:p>
      <w:pPr>
        <w:spacing w:after="60" w:before="60"/>
        <w:ind w:left="720" w:hanging="360"/>
      </w:pPr>
      <w:r>
        <w:rPr>
          <w:rFonts w:ascii="Arial" w:cs="Arial" w:eastAsia="Arial" w:hAnsi="Arial"/>
          <w:b/>
          <w:bCs/>
          <w:color w:val="4A6FA5"/>
          <w:sz w:val="22"/>
          <w:szCs w:val="22"/>
        </w:rPr>
        <w:t xml:space="preserve">3.3.b Standard Passage: </w:t>
      </w:r>
      <w:r>
        <w:rPr>
          <w:rFonts w:ascii="Arial" w:cs="Arial" w:eastAsia="Arial" w:hAnsi="Arial"/>
          <w:color w:val="000000"/>
          <w:sz w:val="22"/>
          <w:szCs w:val="22"/>
        </w:rPr>
        <w:t xml:space="preserve">Bills pass by simple majority in both chambers, subject to the Legislative Review Period (§2.5).</w:t>
      </w:r>
    </w:p>
    <w:p>
      <w:pPr>
        <w:spacing w:after="60" w:before="60"/>
        <w:ind w:left="720" w:hanging="360"/>
      </w:pPr>
      <w:r>
        <w:rPr>
          <w:rFonts w:ascii="Arial" w:cs="Arial" w:eastAsia="Arial" w:hAnsi="Arial"/>
          <w:b/>
          <w:bCs/>
          <w:color w:val="4A6FA5"/>
          <w:sz w:val="22"/>
          <w:szCs w:val="22"/>
        </w:rPr>
        <w:t xml:space="preserve">3.3.c Presidential Veto Override: </w:t>
      </w:r>
      <w:r>
        <w:rPr>
          <w:rFonts w:ascii="Arial" w:cs="Arial" w:eastAsia="Arial" w:hAnsi="Arial"/>
          <w:color w:val="000000"/>
          <w:sz w:val="22"/>
          <w:szCs w:val="22"/>
        </w:rPr>
        <w:t xml:space="preserve">A Presidential Veto requires a 2/3 vote in both chambers simultaneously to override.</w:t>
      </w:r>
    </w:p>
    <w:p>
      <w:pPr>
        <w:spacing w:after="60" w:before="60"/>
        <w:ind w:left="720" w:hanging="360"/>
      </w:pPr>
      <w:r>
        <w:rPr>
          <w:rFonts w:ascii="Arial" w:cs="Arial" w:eastAsia="Arial" w:hAnsi="Arial"/>
          <w:b/>
          <w:bCs/>
          <w:color w:val="4A6FA5"/>
          <w:sz w:val="22"/>
          <w:szCs w:val="22"/>
        </w:rPr>
        <w:t xml:space="preserve">3.3.d Record System Entry: </w:t>
      </w:r>
      <w:r>
        <w:rPr>
          <w:rFonts w:ascii="Arial" w:cs="Arial" w:eastAsia="Arial" w:hAnsi="Arial"/>
          <w:color w:val="000000"/>
          <w:sz w:val="22"/>
          <w:szCs w:val="22"/>
        </w:rPr>
        <w:t xml:space="preserve">The presiding officer of each chamber digitally signs each enacted law and records it on the National Record System with a timestamp.</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3.4 — Electoral Districts</w:t>
      </w:r>
    </w:p>
    <w:p>
      <w:pPr>
        <w:spacing w:after="60" w:before="60"/>
      </w:pPr>
      <w:r>
        <w:rPr>
          <w:rFonts w:ascii="Arial" w:cs="Arial" w:eastAsia="Arial" w:hAnsi="Arial"/>
          <w:color w:val="000000"/>
          <w:sz w:val="22"/>
          <w:szCs w:val="22"/>
        </w:rPr>
        <w:t xml:space="preserve">Districts are redrawn on the census cycle Parliament defines under §3.4.g, concurrent with the Legislative Inspectorate's population census</w:t>
      </w:r>
    </w:p>
    <w:p>
      <w:pPr>
        <w:spacing w:after="60" w:before="60"/>
        <w:ind w:left="720" w:hanging="360"/>
      </w:pPr>
      <w:r>
        <w:rPr>
          <w:rFonts w:ascii="Arial" w:cs="Arial" w:eastAsia="Arial" w:hAnsi="Arial"/>
          <w:b/>
          <w:bCs/>
          <w:color w:val="4A6FA5"/>
          <w:sz w:val="22"/>
          <w:szCs w:val="22"/>
        </w:rPr>
        <w:t xml:space="preserve">3.4.a Criteria Hierarchy: </w:t>
      </w:r>
      <w:r>
        <w:rPr>
          <w:rFonts w:ascii="Arial" w:cs="Arial" w:eastAsia="Arial" w:hAnsi="Arial"/>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ind w:left="720" w:hanging="360"/>
      </w:pPr>
      <w:r>
        <w:rPr>
          <w:rFonts w:ascii="Arial" w:cs="Arial" w:eastAsia="Arial" w:hAnsi="Arial"/>
          <w:b/>
          <w:bCs/>
          <w:color w:val="4A6FA5"/>
          <w:sz w:val="22"/>
          <w:szCs w:val="22"/>
        </w:rPr>
        <w:t xml:space="preserve">3.4.b Prohibited Inputs: </w:t>
      </w:r>
      <w:r>
        <w:rPr>
          <w:rFonts w:ascii="Arial" w:cs="Arial" w:eastAsia="Arial" w:hAnsi="Arial"/>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may trigger Rule Violation proceedings under §2.8.</w:t>
      </w:r>
    </w:p>
    <w:p>
      <w:pPr>
        <w:spacing w:after="60" w:before="60"/>
        <w:ind w:left="720" w:hanging="360"/>
      </w:pPr>
      <w:r>
        <w:rPr>
          <w:rFonts w:ascii="Arial" w:cs="Arial" w:eastAsia="Arial" w:hAnsi="Arial"/>
          <w:b/>
          <w:bCs/>
          <w:color w:val="4A6FA5"/>
          <w:sz w:val="22"/>
          <w:szCs w:val="22"/>
        </w:rPr>
        <w:t xml:space="preserve">3.4.c Drawing Authority — States: </w:t>
      </w:r>
      <w:r>
        <w:rPr>
          <w:rFonts w:ascii="Arial" w:cs="Arial" w:eastAsia="Arial" w:hAnsi="Arial"/>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Parliament defines.</w:t>
      </w:r>
    </w:p>
    <w:p>
      <w:pPr>
        <w:spacing w:after="60" w:before="60"/>
        <w:ind w:left="720" w:hanging="360"/>
      </w:pPr>
      <w:r>
        <w:rPr>
          <w:rFonts w:ascii="Arial" w:cs="Arial" w:eastAsia="Arial" w:hAnsi="Arial"/>
          <w:b/>
          <w:bCs/>
          <w:color w:val="4A6FA5"/>
          <w:sz w:val="22"/>
          <w:szCs w:val="22"/>
        </w:rPr>
        <w:t xml:space="preserve">3.4.d Drawing Authority — Federal Territories: </w:t>
      </w:r>
      <w:r>
        <w:rPr>
          <w:rFonts w:ascii="Arial" w:cs="Arial" w:eastAsia="Arial" w:hAnsi="Arial"/>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ind w:left="720" w:hanging="360"/>
      </w:pPr>
      <w:r>
        <w:rPr>
          <w:rFonts w:ascii="Arial" w:cs="Arial" w:eastAsia="Arial" w:hAnsi="Arial"/>
          <w:b/>
          <w:bCs/>
          <w:color w:val="4A6FA5"/>
          <w:sz w:val="22"/>
          <w:szCs w:val="22"/>
        </w:rPr>
        <w:t xml:space="preserve">3.4.e National Compliance Review: </w:t>
      </w:r>
      <w:r>
        <w:rPr>
          <w:rFonts w:ascii="Arial" w:cs="Arial" w:eastAsia="Arial" w:hAnsi="Arial"/>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ind w:left="720" w:hanging="360"/>
      </w:pPr>
      <w:r>
        <w:rPr>
          <w:rFonts w:ascii="Arial" w:cs="Arial" w:eastAsia="Arial" w:hAnsi="Arial"/>
          <w:b/>
          <w:bCs/>
          <w:color w:val="4A6FA5"/>
          <w:sz w:val="22"/>
          <w:szCs w:val="22"/>
        </w:rPr>
        <w:t xml:space="preserve">3.4.f Court Adjudication: </w:t>
      </w:r>
      <w:r>
        <w:rPr>
          <w:rFonts w:ascii="Arial" w:cs="Arial" w:eastAsia="Arial" w:hAnsi="Arial"/>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ind w:left="720" w:hanging="360"/>
      </w:pPr>
      <w:r>
        <w:rPr>
          <w:rFonts w:ascii="Arial" w:cs="Arial" w:eastAsia="Arial" w:hAnsi="Arial"/>
          <w:b/>
          <w:bCs/>
          <w:color w:val="4A6FA5"/>
          <w:sz w:val="22"/>
          <w:szCs w:val="22"/>
        </w:rPr>
        <w:t xml:space="preserve">3.4.g Continuity: </w:t>
      </w:r>
      <w:r>
        <w:rPr>
          <w:rFonts w:ascii="Arial" w:cs="Arial" w:eastAsia="Arial" w:hAnsi="Arial"/>
          <w:color w:val="000000"/>
          <w:sz w:val="22"/>
          <w:szCs w:val="22"/>
        </w:rPr>
        <w:t xml:space="preserve">A valid district map remains in effect until the next census cycle. Parliament defines the census cycle period by statute, not to exceed 10 years.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3.5 — Impeachment Initiation (House-Originated)</w:t>
      </w:r>
    </w:p>
    <w:p>
      <w:pPr>
        <w:spacing w:after="60" w:before="60"/>
      </w:pPr>
      <w:r>
        <w:rPr>
          <w:rFonts w:ascii="Arial" w:cs="Arial" w:eastAsia="Arial" w:hAnsi="Arial"/>
          <w:color w:val="000000"/>
          <w:sz w:val="22"/>
          <w:szCs w:val="22"/>
        </w:rPr>
        <w:t xml:space="preserve">This section governs the political impeachment track — initiated by the House and distinct from the automatic Rule Violation consequences of §2.8.</w:t>
      </w:r>
    </w:p>
    <w:p>
      <w:pPr>
        <w:spacing w:after="60" w:before="60"/>
        <w:ind w:left="720" w:hanging="360"/>
      </w:pPr>
      <w:r>
        <w:rPr>
          <w:rFonts w:ascii="Arial" w:cs="Arial" w:eastAsia="Arial" w:hAnsi="Arial"/>
          <w:b/>
          <w:bCs/>
          <w:color w:val="4A6FA5"/>
          <w:sz w:val="22"/>
          <w:szCs w:val="22"/>
        </w:rPr>
        <w:t xml:space="preserve">3.5.a Impeachment Inquiry: </w:t>
      </w:r>
      <w:r>
        <w:rPr>
          <w:rFonts w:ascii="Arial" w:cs="Arial" w:eastAsia="Arial" w:hAnsi="Arial"/>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ind w:left="720" w:hanging="360"/>
      </w:pPr>
      <w:r>
        <w:rPr>
          <w:rFonts w:ascii="Arial" w:cs="Arial" w:eastAsia="Arial" w:hAnsi="Arial"/>
          <w:b/>
          <w:bCs/>
          <w:color w:val="4A6FA5"/>
          <w:sz w:val="22"/>
          <w:szCs w:val="22"/>
        </w:rPr>
        <w:t xml:space="preserve">3.5.b Articles of Impeachment: </w:t>
      </w:r>
      <w:r>
        <w:rPr>
          <w:rFonts w:ascii="Arial" w:cs="Arial" w:eastAsia="Arial" w:hAnsi="Arial"/>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under §2.8 following a Supreme Court Rule Violation finding, not upon House passage of Articles alone. Where §2.8 suspension is simultaneously in effect, the §2.8 suspension governs — the official is suspended regardless of the §3.5 track status. The two tracks proceed independently and the more restrictive consequence applies.</w:t>
      </w:r>
    </w:p>
    <w:p>
      <w:pPr>
        <w:spacing w:after="60" w:before="60"/>
        <w:ind w:left="720" w:hanging="360"/>
      </w:pPr>
      <w:r>
        <w:rPr>
          <w:rFonts w:ascii="Arial" w:cs="Arial" w:eastAsia="Arial" w:hAnsi="Arial"/>
          <w:b/>
          <w:bCs/>
          <w:color w:val="4A6FA5"/>
          <w:sz w:val="22"/>
          <w:szCs w:val="22"/>
        </w:rPr>
        <w:t xml:space="preserve">3.5.c Senate Trial: </w:t>
      </w:r>
      <w:r>
        <w:rPr>
          <w:rFonts w:ascii="Arial" w:cs="Arial" w:eastAsia="Arial" w:hAnsi="Arial"/>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ind w:left="720" w:hanging="360"/>
      </w:pPr>
      <w:r>
        <w:rPr>
          <w:rFonts w:ascii="Arial" w:cs="Arial" w:eastAsia="Arial" w:hAnsi="Arial"/>
          <w:b/>
          <w:bCs/>
          <w:color w:val="4A6FA5"/>
          <w:sz w:val="22"/>
          <w:szCs w:val="22"/>
        </w:rPr>
        <w:t xml:space="preserve">3.5.d Executive Continuity During Impeachment: </w:t>
      </w:r>
      <w:r>
        <w:rPr>
          <w:rFonts w:ascii="Arial" w:cs="Arial" w:eastAsia="Arial" w:hAnsi="Arial"/>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3.6 — Legislative Expulsion by Peers</w:t>
      </w:r>
    </w:p>
    <w:p>
      <w:pPr>
        <w:spacing w:after="60" w:before="60"/>
      </w:pPr>
      <w:r>
        <w:rPr>
          <w:rFonts w:ascii="Arial" w:cs="Arial" w:eastAsia="Arial" w:hAnsi="Arial"/>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ind w:left="720" w:hanging="360"/>
      </w:pPr>
      <w:r>
        <w:rPr>
          <w:rFonts w:ascii="Arial" w:cs="Arial" w:eastAsia="Arial" w:hAnsi="Arial"/>
          <w:b/>
          <w:bCs/>
          <w:color w:val="4A6FA5"/>
          <w:sz w:val="22"/>
          <w:szCs w:val="22"/>
        </w:rPr>
        <w:t xml:space="preserve">3.6.a House Expulsion: </w:t>
      </w:r>
      <w:r>
        <w:rPr>
          <w:rFonts w:ascii="Arial" w:cs="Arial" w:eastAsia="Arial" w:hAnsi="Arial"/>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ind w:left="720" w:hanging="360"/>
      </w:pPr>
      <w:r>
        <w:rPr>
          <w:rFonts w:ascii="Arial" w:cs="Arial" w:eastAsia="Arial" w:hAnsi="Arial"/>
          <w:b/>
          <w:bCs/>
          <w:color w:val="4A6FA5"/>
          <w:sz w:val="22"/>
          <w:szCs w:val="22"/>
        </w:rPr>
        <w:t xml:space="preserve">3.6.b Senate Expulsion: </w:t>
      </w:r>
      <w:r>
        <w:rPr>
          <w:rFonts w:ascii="Arial" w:cs="Arial" w:eastAsia="Arial" w:hAnsi="Arial"/>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ind w:left="720" w:hanging="360"/>
      </w:pPr>
      <w:r>
        <w:rPr>
          <w:rFonts w:ascii="Arial" w:cs="Arial" w:eastAsia="Arial" w:hAnsi="Arial"/>
          <w:b/>
          <w:bCs/>
          <w:color w:val="4A6FA5"/>
          <w:sz w:val="22"/>
          <w:szCs w:val="22"/>
        </w:rPr>
        <w:t xml:space="preserve">3.6.c Anti-Weaponization Threshold: </w:t>
      </w:r>
      <w:r>
        <w:rPr>
          <w:rFonts w:ascii="Arial" w:cs="Arial" w:eastAsia="Arial" w:hAnsi="Arial"/>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ind w:left="720" w:hanging="360"/>
      </w:pPr>
      <w:r>
        <w:rPr>
          <w:rFonts w:ascii="Arial" w:cs="Arial" w:eastAsia="Arial" w:hAnsi="Arial"/>
          <w:b/>
          <w:bCs/>
          <w:color w:val="4A6FA5"/>
          <w:sz w:val="22"/>
          <w:szCs w:val="22"/>
        </w:rPr>
        <w:t xml:space="preserve">3.6.d Consequences and Restoration: </w:t>
      </w:r>
      <w:r>
        <w:rPr>
          <w:rFonts w:ascii="Arial" w:cs="Arial" w:eastAsia="Arial" w:hAnsi="Arial"/>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ind w:left="720" w:hanging="360"/>
      </w:pPr>
      <w:r>
        <w:rPr>
          <w:rFonts w:ascii="Arial" w:cs="Arial" w:eastAsia="Arial" w:hAnsi="Arial"/>
          <w:b/>
          <w:bCs/>
          <w:color w:val="4A6FA5"/>
          <w:sz w:val="22"/>
          <w:szCs w:val="22"/>
        </w:rPr>
        <w:t xml:space="preserve">3.6.e State Recall: </w:t>
      </w:r>
      <w:r>
        <w:rPr>
          <w:rFonts w:ascii="Arial" w:cs="Arial" w:eastAsia="Arial" w:hAnsi="Arial"/>
          <w:color w:val="000000"/>
          <w:sz w:val="22"/>
          <w:szCs w:val="22"/>
        </w:rPr>
        <w:t xml:space="preserve">Nothing in this section prevents States from establishing recall mechanisms for their Senators by their own statute. State recall mechanisms and the Senate's own expulsion power operate independently. Where both proceed simultaneously, whichever takes effect first determines the member's removal. The 2-year re-election bar of §3.4.d applies if Senate expulsion takes effect first, regardless of any concurrent recall proceeding.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IV — THE JUDICIAL ARCHITECTURE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4.1 — Court Structure</w:t>
      </w:r>
    </w:p>
    <w:p>
      <w:pPr>
        <w:spacing w:after="60" w:before="60"/>
      </w:pPr>
      <w:r>
        <w:rPr>
          <w:rFonts w:ascii="Arial" w:cs="Arial" w:eastAsia="Arial" w:hAnsi="Arial"/>
          <w:color w:val="000000"/>
          <w:sz w:val="22"/>
          <w:szCs w:val="22"/>
        </w:rPr>
        <w:t xml:space="preserve">The Republic's judiciary operates at three levels: (1) District Courts — fact-finding and evidence; (2) Appellate Courts — rules compliance; and (3) the Supreme Court — final constitutional authority.</w:t>
      </w:r>
    </w:p>
    <w:p>
      <w:pPr>
        <w:spacing w:after="60" w:before="60"/>
        <w:ind w:left="720" w:hanging="360"/>
      </w:pPr>
      <w:r>
        <w:rPr>
          <w:rFonts w:ascii="Arial" w:cs="Arial" w:eastAsia="Arial" w:hAnsi="Arial"/>
          <w:b/>
          <w:bCs/>
          <w:color w:val="4A6FA5"/>
          <w:sz w:val="22"/>
          <w:szCs w:val="22"/>
        </w:rPr>
        <w:t xml:space="preserve">4.1.a Establishment: </w:t>
      </w:r>
      <w:r>
        <w:rPr>
          <w:rFonts w:ascii="Arial" w:cs="Arial" w:eastAsia="Arial" w:hAnsi="Arial"/>
          <w:color w:val="000000"/>
          <w:sz w:val="22"/>
          <w:szCs w:val="22"/>
        </w:rPr>
        <w:t xml:space="preserve">Only the House may create or abolish inferior courts by statute.</w:t>
      </w:r>
    </w:p>
    <w:p>
      <w:pPr>
        <w:spacing w:after="60" w:before="60"/>
        <w:ind w:left="720" w:hanging="360"/>
      </w:pPr>
      <w:r>
        <w:rPr>
          <w:rFonts w:ascii="Arial" w:cs="Arial" w:eastAsia="Arial" w:hAnsi="Arial"/>
          <w:b/>
          <w:bCs/>
          <w:color w:val="4A6FA5"/>
          <w:sz w:val="22"/>
          <w:szCs w:val="22"/>
        </w:rPr>
        <w:t xml:space="preserve">4.1.b Appointment of Inferior Courts: </w:t>
      </w:r>
      <w:r>
        <w:rPr>
          <w:rFonts w:ascii="Arial" w:cs="Arial" w:eastAsia="Arial" w:hAnsi="Arial"/>
          <w:color w:val="000000"/>
          <w:sz w:val="22"/>
          <w:szCs w:val="22"/>
        </w:rPr>
        <w:t xml:space="preserve">The PM nominates lower court judges; the House confirms by a supermajority Parliament defines by statute; the Supreme Court commissions them.</w:t>
      </w:r>
    </w:p>
    <w:p>
      <w:pPr>
        <w:spacing w:after="60" w:before="60"/>
        <w:ind w:left="720" w:hanging="360"/>
      </w:pPr>
      <w:r>
        <w:rPr>
          <w:rFonts w:ascii="Arial" w:cs="Arial" w:eastAsia="Arial" w:hAnsi="Arial"/>
          <w:b/>
          <w:bCs/>
          <w:color w:val="4A6FA5"/>
          <w:sz w:val="22"/>
          <w:szCs w:val="22"/>
        </w:rPr>
        <w:t xml:space="preserve">4.1.c Removal: </w:t>
      </w:r>
      <w:r>
        <w:rPr>
          <w:rFonts w:ascii="Arial" w:cs="Arial" w:eastAsia="Arial" w:hAnsi="Arial"/>
          <w:color w:val="000000"/>
          <w:sz w:val="22"/>
          <w:szCs w:val="22"/>
        </w:rPr>
        <w:t xml:space="preserve">Requires a 2/3 petition from the Supreme Court and a supermajority conviction vote in Parliament that Parliament defines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4.2 — The Supreme Court</w:t>
      </w:r>
    </w:p>
    <w:p>
      <w:pPr>
        <w:spacing w:after="60" w:before="60"/>
      </w:pPr>
      <w:r>
        <w:rPr>
          <w:rFonts w:ascii="Arial" w:cs="Arial" w:eastAsia="Arial" w:hAnsi="Arial"/>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ind w:left="720" w:hanging="360"/>
      </w:pPr>
      <w:r>
        <w:rPr>
          <w:rFonts w:ascii="Arial" w:cs="Arial" w:eastAsia="Arial" w:hAnsi="Arial"/>
          <w:b/>
          <w:bCs/>
          <w:color w:val="4A6FA5"/>
          <w:sz w:val="22"/>
          <w:szCs w:val="22"/>
        </w:rPr>
        <w:t xml:space="preserve">4.2.a Triad Nomination: </w:t>
      </w:r>
      <w:r>
        <w:rPr>
          <w:rFonts w:ascii="Arial" w:cs="Arial" w:eastAsia="Arial" w:hAnsi="Arial"/>
          <w:color w:val="000000"/>
          <w:sz w:val="22"/>
          <w:szCs w:val="22"/>
        </w:rPr>
        <w:t xml:space="preserve">The House, the PM, and the President each nominate one candidate per open seat.</w:t>
      </w:r>
    </w:p>
    <w:p>
      <w:pPr>
        <w:spacing w:after="60" w:before="60"/>
        <w:ind w:left="720" w:hanging="360"/>
      </w:pPr>
      <w:r>
        <w:rPr>
          <w:rFonts w:ascii="Arial" w:cs="Arial" w:eastAsia="Arial" w:hAnsi="Arial"/>
          <w:b/>
          <w:bCs/>
          <w:color w:val="4A6FA5"/>
          <w:sz w:val="22"/>
          <w:szCs w:val="22"/>
        </w:rPr>
        <w:t xml:space="preserve">4.2.b Round 1 — Senate Eligibility Confirmation: </w:t>
      </w:r>
      <w:r>
        <w:rPr>
          <w:rFonts w:ascii="Arial" w:cs="Arial" w:eastAsia="Arial" w:hAnsi="Arial"/>
          <w:color w:val="000000"/>
          <w:sz w:val="22"/>
          <w:szCs w:val="22"/>
        </w:rPr>
        <w:t xml:space="preserve">Each nominee must be confirmed as eligible by the Senate by a supermajority Parliament defines by statute, within a period Parliament defines by statute; a nominee for whom no vote is held within that period is Deemed Confirmed. The Judicial Inspectorate vets each nominee for compliance with judicial scope and independence before the Senate vote. Any nominee may petition the Supreme Court within 14 days of a vetting determination to challenge it on technical grounds.</w:t>
      </w:r>
    </w:p>
    <w:p>
      <w:pPr>
        <w:spacing w:after="60" w:before="60"/>
        <w:ind w:left="720" w:hanging="360"/>
      </w:pPr>
      <w:r>
        <w:rPr>
          <w:rFonts w:ascii="Arial" w:cs="Arial" w:eastAsia="Arial" w:hAnsi="Arial"/>
          <w:b/>
          <w:bCs/>
          <w:color w:val="4A6FA5"/>
          <w:sz w:val="22"/>
          <w:szCs w:val="22"/>
        </w:rPr>
        <w:t xml:space="preserve">4.2.c Round 2 — Direct Public Election: </w:t>
      </w:r>
      <w:r>
        <w:rPr>
          <w:rFonts w:ascii="Arial" w:cs="Arial" w:eastAsia="Arial" w:hAnsi="Arial"/>
          <w:color w:val="000000"/>
          <w:sz w:val="22"/>
          <w:szCs w:val="22"/>
        </w:rPr>
        <w:t xml:space="preserve">No seat may use this mechanism more than once per decade for any single seat. If the Senate rejects all three nominees in Round 1, the seat goes directly to a national popular election from the same three original nominees — no further Senate role. No seat may use this mechanism more than once per decade. Round 2 elections for multiple seats may be held simultaneously; however, where more than two seats would require Round 2 elections in the same National Election Day cycle, the seats with the longest vacancy periods proceed to Round 2 first and remaining seats proceed to the next cycle. A sitting judge who participates in a Round 2 campaign and is not elected must, upon returning to their judicial post, recuse themselves from any case in which their campaign statements could reasonably be read as prejudging the outcome; any party to such a case may petition the Supreme Court to review a recusal determination within 14 days of it being made.</w:t>
      </w:r>
    </w:p>
    <w:p>
      <w:pPr>
        <w:spacing w:after="60" w:before="60"/>
      </w:pPr>
      <w:r>
        <w:rPr>
          <w:rFonts w:ascii="Arial" w:cs="Arial" w:eastAsia="Arial" w:hAnsi="Arial"/>
          <w:color w:val="000000"/>
          <w:sz w:val="22"/>
          <w:szCs w:val="22"/>
        </w:rPr>
        <w:t xml:space="preserve">The Supreme Court nominates candidates for its own vacancies through the Triad process and separately nominates the Legislative Inspector General under §8.3.a — these are distinct constitutional functions. The Electoral Commission administers all elections including those for Supreme Court seats; it may not exclude any Triad-nominated candidate from the ballot.</w:t>
      </w:r>
    </w:p>
    <w:p>
      <w:pPr>
        <w:spacing w:after="60" w:before="60"/>
        <w:ind w:left="720" w:hanging="360"/>
      </w:pPr>
      <w:r>
        <w:rPr>
          <w:rFonts w:ascii="Arial" w:cs="Arial" w:eastAsia="Arial" w:hAnsi="Arial"/>
          <w:b/>
          <w:bCs/>
          <w:color w:val="4A6FA5"/>
          <w:sz w:val="22"/>
          <w:szCs w:val="22"/>
        </w:rPr>
        <w:t xml:space="preserve">4.2.d Emergency Panel for Tier 1 Scope Challenges: </w:t>
      </w:r>
      <w:r>
        <w:rPr>
          <w:rFonts w:ascii="Arial" w:cs="Arial" w:eastAsia="Arial" w:hAnsi="Arial"/>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w:t>
      </w:r>
    </w:p>
    <w:p>
      <w:pPr>
        <w:spacing w:after="60" w:before="60"/>
        <w:ind w:left="720" w:hanging="360"/>
      </w:pPr>
      <w:r>
        <w:rPr>
          <w:rFonts w:ascii="Arial" w:cs="Arial" w:eastAsia="Arial" w:hAnsi="Arial"/>
          <w:b/>
          <w:bCs/>
          <w:color w:val="4A6FA5"/>
          <w:sz w:val="22"/>
          <w:szCs w:val="22"/>
        </w:rPr>
        <w:t xml:space="preserve">4.2.e Vacancy Operating Rules: </w:t>
      </w:r>
      <w:r>
        <w:rPr>
          <w:rFonts w:ascii="Arial" w:cs="Arial" w:eastAsia="Arial" w:hAnsi="Arial"/>
          <w:color w:val="000000"/>
          <w:sz w:val="22"/>
          <w:szCs w:val="22"/>
        </w:rPr>
        <w:t xml:space="preserve">During any period when a Supreme Court seat is vacant, the Court continues to function with its remaining seated justices. Where a case produces an equal division among seated justices with no majority position, the lower court's ruling is affirmed without creating binding precedent for any court of the Republic. This affirmance-without-precedent rule applies only during vacancy periods and expires when the vacant seat is filled. Parliament must not by statute alter this rule in a manner that would prevent the Court from issuing binding rulings on constitutional questions during extended vacancies.</w:t>
      </w:r>
    </w:p>
    <w:p>
      <w:pPr>
        <w:spacing w:after="60" w:before="60"/>
        <w:ind w:left="720" w:hanging="360"/>
      </w:pPr>
      <w:r>
        <w:rPr>
          <w:rFonts w:ascii="Arial" w:cs="Arial" w:eastAsia="Arial" w:hAnsi="Arial"/>
          <w:b/>
          <w:bCs/>
          <w:color w:val="4A6FA5"/>
          <w:sz w:val="22"/>
          <w:szCs w:val="22"/>
        </w:rPr>
        <w:t xml:space="preserve">4.2.f Judicial Recusal: </w:t>
      </w:r>
      <w:r>
        <w:rPr>
          <w:rFonts w:ascii="Arial" w:cs="Arial" w:eastAsia="Arial" w:hAnsi="Arial"/>
          <w:color w:val="000000"/>
          <w:sz w:val="22"/>
          <w:szCs w:val="22"/>
        </w:rPr>
        <w:t xml:space="preserve">Parliament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Parliament must enact the initial recusal framework within two years of this Constitution's Phase 4 activation.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4.3 — Judicial Independence and Scope of Authority</w:t>
      </w:r>
    </w:p>
    <w:p>
      <w:pPr>
        <w:spacing w:after="60" w:before="60"/>
      </w:pPr>
      <w:r>
        <w:rPr>
          <w:rFonts w:ascii="Arial" w:cs="Arial" w:eastAsia="Arial" w:hAnsi="Arial"/>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Fundamental Rights Floor and the separation of presidential and prime ministerial domains.</w:t>
      </w:r>
    </w:p>
    <w:p>
      <w:pPr>
        <w:spacing w:after="60" w:before="60"/>
        <w:ind w:left="720" w:hanging="360"/>
      </w:pPr>
      <w:r>
        <w:rPr>
          <w:rFonts w:ascii="Arial" w:cs="Arial" w:eastAsia="Arial" w:hAnsi="Arial"/>
          <w:b/>
          <w:bCs/>
          <w:color w:val="4A6FA5"/>
          <w:sz w:val="22"/>
          <w:szCs w:val="22"/>
        </w:rPr>
        <w:t xml:space="preserve">4.3.a Declaration of Unconstitutionality: </w:t>
      </w:r>
      <w:r>
        <w:rPr>
          <w:rFonts w:ascii="Arial" w:cs="Arial" w:eastAsia="Arial" w:hAnsi="Arial"/>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Parliament to legislate a replacement. Lower courts may apply this doctrine but constitutional questions must be certified to the Supreme Court on appeal.</w:t>
      </w:r>
    </w:p>
    <w:p>
      <w:pPr>
        <w:pStyle w:val="Heading2"/>
        <w:spacing w:after="80" w:before="200"/>
      </w:pPr>
      <w:r>
        <w:rPr>
          <w:rFonts w:ascii="Arial" w:cs="Arial" w:eastAsia="Arial" w:hAnsi="Arial"/>
          <w:b/>
          <w:bCs/>
          <w:color w:val="4A6FA5"/>
          <w:sz w:val="24"/>
          <w:szCs w:val="24"/>
        </w:rPr>
        <w:t xml:space="preserve">Section 4.4 — Interstate Recognition of Judgments and Public Acts</w:t>
      </w:r>
    </w:p>
    <w:p>
      <w:pPr>
        <w:spacing w:after="60" w:before="60"/>
      </w:pPr>
      <w:r>
        <w:rPr>
          <w:rFonts w:ascii="Arial" w:cs="Arial" w:eastAsia="Arial" w:hAnsi="Arial"/>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ind w:left="720" w:hanging="360"/>
      </w:pPr>
      <w:r>
        <w:rPr>
          <w:rFonts w:ascii="Arial" w:cs="Arial" w:eastAsia="Arial" w:hAnsi="Arial"/>
          <w:b/>
          <w:bCs/>
          <w:color w:val="4A6FA5"/>
          <w:sz w:val="22"/>
          <w:szCs w:val="22"/>
        </w:rPr>
        <w:t xml:space="preserve">4.4.a Judicial Judgments: </w:t>
      </w:r>
      <w:r>
        <w:rPr>
          <w:rFonts w:ascii="Arial" w:cs="Arial" w:eastAsia="Arial" w:hAnsi="Arial"/>
          <w:color w:val="000000"/>
          <w:sz w:val="22"/>
          <w:szCs w:val="22"/>
        </w:rPr>
        <w:t xml:space="preserve">A final judgment of any State or Territory court — including money judgments, injunctions, custody and guardianship orders, divorce decrees, probate orders, and restraining orders — must be recognized and enforcement in every other State and Territory. A court presented with an out-of-State judgment may not re-examine the merits of the underlying dispute. Recognition may be withheld only on these grounds, which Parliament may define further by statute: the issuing court lacked jurisdiction over the subject matter or the parties; the judgment was obtained by fraud on the court; the judgment is facially contrary to a fundamental right guaranteed by Article I; or enforcement would require an act Parliament has defined by statute as categorically unenforceable. These grounds are exhaustive — a State or Territory court may not create additional bases for non-recognition.</w:t>
      </w:r>
    </w:p>
    <w:p>
      <w:pPr>
        <w:spacing w:after="60" w:before="60"/>
        <w:ind w:left="720" w:hanging="360"/>
      </w:pPr>
      <w:r>
        <w:rPr>
          <w:rFonts w:ascii="Arial" w:cs="Arial" w:eastAsia="Arial" w:hAnsi="Arial"/>
          <w:b/>
          <w:bCs/>
          <w:color w:val="4A6FA5"/>
          <w:sz w:val="22"/>
          <w:szCs w:val="22"/>
        </w:rPr>
        <w:t xml:space="preserve">4.4.b NRS Authentication: </w:t>
      </w:r>
      <w:r>
        <w:rPr>
          <w:rFonts w:ascii="Arial" w:cs="Arial" w:eastAsia="Arial" w:hAnsi="Arial"/>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ind w:left="720" w:hanging="360"/>
      </w:pPr>
      <w:r>
        <w:rPr>
          <w:rFonts w:ascii="Arial" w:cs="Arial" w:eastAsia="Arial" w:hAnsi="Arial"/>
          <w:b/>
          <w:bCs/>
          <w:color w:val="4A6FA5"/>
          <w:sz w:val="22"/>
          <w:szCs w:val="22"/>
        </w:rPr>
        <w:t xml:space="preserve">4.4.c Public Acts and Official Records: </w:t>
      </w:r>
      <w:r>
        <w:rPr>
          <w:rFonts w:ascii="Arial" w:cs="Arial" w:eastAsia="Arial" w:hAnsi="Arial"/>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ind w:left="720" w:hanging="360"/>
      </w:pPr>
      <w:r>
        <w:rPr>
          <w:rFonts w:ascii="Arial" w:cs="Arial" w:eastAsia="Arial" w:hAnsi="Arial"/>
          <w:b/>
          <w:bCs/>
          <w:color w:val="4A6FA5"/>
          <w:sz w:val="22"/>
          <w:szCs w:val="22"/>
        </w:rPr>
        <w:t xml:space="preserve">4.4.d Status Orders — Special Protections: </w:t>
      </w:r>
      <w:r>
        <w:rPr>
          <w:rFonts w:ascii="Arial" w:cs="Arial" w:eastAsia="Arial" w:hAnsi="Arial"/>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Parliament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ind w:left="720" w:hanging="360"/>
      </w:pPr>
      <w:r>
        <w:rPr>
          <w:rFonts w:ascii="Arial" w:cs="Arial" w:eastAsia="Arial" w:hAnsi="Arial"/>
          <w:b/>
          <w:bCs/>
          <w:color w:val="4A6FA5"/>
          <w:sz w:val="22"/>
          <w:szCs w:val="22"/>
        </w:rPr>
        <w:t xml:space="preserve">4.4.f Limits — No Obligation Beyond Republic Borders: </w:t>
      </w:r>
      <w:r>
        <w:rPr>
          <w:rFonts w:ascii="Arial" w:cs="Arial" w:eastAsia="Arial" w:hAnsi="Arial"/>
          <w:color w:val="000000"/>
          <w:sz w:val="22"/>
          <w:szCs w:val="22"/>
        </w:rPr>
        <w:t xml:space="preserve">This section governs recognition within the Republic only — it creates no obligation regarding foreign government judgments or pre-ratification court orders. Parliament may by statute provide for recognition of foreign judgments on terms it defines; this section neither requires nor prohibits such recognition.</w:t>
      </w:r>
    </w:p>
    <w:p>
      <w:pPr>
        <w:spacing w:after="60" w:before="60"/>
        <w:ind w:left="720" w:hanging="360"/>
      </w:pPr>
      <w:r>
        <w:rPr>
          <w:rFonts w:ascii="Arial" w:cs="Arial" w:eastAsia="Arial" w:hAnsi="Arial"/>
          <w:b/>
          <w:bCs/>
          <w:color w:val="4A6FA5"/>
          <w:sz w:val="22"/>
          <w:szCs w:val="22"/>
        </w:rPr>
        <w:t xml:space="preserve">4.4.g Parliamentary Implementation Mandates: </w:t>
      </w:r>
      <w:r>
        <w:rPr>
          <w:rFonts w:ascii="Arial" w:cs="Arial" w:eastAsia="Arial" w:hAnsi="Arial"/>
          <w:color w:val="000000"/>
          <w:sz w:val="22"/>
          <w:szCs w:val="22"/>
        </w:rPr>
        <w:t xml:space="preserve">Parliament must by statute define what constitutes a final judgment for each category of judicial proceeding covered by §4.4.a. Until Parliament acts on any category, a judgment is final for purposes of §4.4.a if it is not subject to an automatic stay under the issuing State or Territory's procedural law, regardless of whether an appeal is pending. Parliament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Parliament must enact both statutes within three years of this section's ratification. Parliament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 — CITIZENSHIP, RESIDENCY, AND NATIONAL IDENTITY</w:t>
      </w:r>
    </w:p>
    <w:p>
      <w:pPr>
        <w:spacing w:after="60" w:before="60"/>
      </w:pPr>
      <w:r>
        <w:rPr>
          <w:rFonts w:ascii="Arial" w:cs="Arial" w:eastAsia="Arial" w:hAnsi="Arial"/>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5.1 — Citizens</w:t>
      </w:r>
    </w:p>
    <w:p>
      <w:pPr>
        <w:spacing w:after="60" w:before="60"/>
      </w:pPr>
      <w:r>
        <w:rPr>
          <w:rFonts w:ascii="Arial" w:cs="Arial" w:eastAsia="Arial" w:hAnsi="Arial"/>
          <w:color w:val="000000"/>
          <w:sz w:val="22"/>
          <w:szCs w:val="22"/>
        </w:rPr>
        <w:t xml:space="preserve">Citizenship grants the right to vote, hold elected office, and serve in roles requiring national defense clearance.</w:t>
      </w:r>
    </w:p>
    <w:p>
      <w:pPr>
        <w:spacing w:after="60" w:before="60"/>
        <w:ind w:left="720" w:hanging="360"/>
      </w:pPr>
      <w:r>
        <w:rPr>
          <w:rFonts w:ascii="Arial" w:cs="Arial" w:eastAsia="Arial" w:hAnsi="Arial"/>
          <w:b/>
          <w:bCs/>
          <w:color w:val="4A6FA5"/>
          <w:sz w:val="22"/>
          <w:szCs w:val="22"/>
        </w:rPr>
        <w:t xml:space="preserve">5.1.a Inherent Citizenship: </w:t>
      </w:r>
      <w:r>
        <w:rPr>
          <w:rFonts w:ascii="Arial" w:cs="Arial" w:eastAsia="Arial" w:hAnsi="Arial"/>
          <w:color w:val="000000"/>
          <w:sz w:val="22"/>
          <w:szCs w:val="22"/>
        </w:rPr>
        <w:t xml:space="preserve">A child is automatically a citizen if at least one parent is a Citizen or Legal Resident at birth. This status is permanent and irrevocable.</w:t>
      </w:r>
    </w:p>
    <w:p>
      <w:pPr>
        <w:spacing w:after="60" w:before="60"/>
        <w:ind w:left="720" w:hanging="360"/>
      </w:pPr>
      <w:r>
        <w:rPr>
          <w:rFonts w:ascii="Arial" w:cs="Arial" w:eastAsia="Arial" w:hAnsi="Arial"/>
          <w:b/>
          <w:bCs/>
          <w:color w:val="4A6FA5"/>
          <w:sz w:val="22"/>
          <w:szCs w:val="22"/>
        </w:rPr>
        <w:t xml:space="preserve">5.1.b Coming of Age: </w:t>
      </w:r>
      <w:r>
        <w:rPr>
          <w:rFonts w:ascii="Arial" w:cs="Arial" w:eastAsia="Arial" w:hAnsi="Arial"/>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ind w:left="720" w:hanging="360"/>
      </w:pPr>
      <w:r>
        <w:rPr>
          <w:rFonts w:ascii="Arial" w:cs="Arial" w:eastAsia="Arial" w:hAnsi="Arial"/>
          <w:b/>
          <w:bCs/>
          <w:color w:val="4A6FA5"/>
          <w:sz w:val="22"/>
          <w:szCs w:val="22"/>
        </w:rPr>
        <w:t xml:space="preserve">5.1.c Naturalization: </w:t>
      </w:r>
      <w:r>
        <w:rPr>
          <w:rFonts w:ascii="Arial" w:cs="Arial" w:eastAsia="Arial" w:hAnsi="Arial"/>
          <w:color w:val="000000"/>
          <w:sz w:val="22"/>
          <w:szCs w:val="22"/>
        </w:rPr>
        <w:t xml:space="preserve">A Legal Resident may earn citizenship after five continuous years of residency, a clean legal record, and passing the Constitutional Logic Test.</w:t>
      </w:r>
    </w:p>
    <w:p>
      <w:pPr>
        <w:spacing w:after="60" w:before="60"/>
        <w:ind w:left="720" w:hanging="360"/>
      </w:pPr>
      <w:r>
        <w:rPr>
          <w:rFonts w:ascii="Arial" w:cs="Arial" w:eastAsia="Arial" w:hAnsi="Arial"/>
          <w:b/>
          <w:bCs/>
          <w:color w:val="4A6FA5"/>
          <w:sz w:val="22"/>
          <w:szCs w:val="22"/>
        </w:rPr>
        <w:t xml:space="preserve">5.1.d National Service Path: </w:t>
      </w:r>
      <w:r>
        <w:rPr>
          <w:rFonts w:ascii="Arial" w:cs="Arial" w:eastAsia="Arial" w:hAnsi="Arial"/>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ind w:left="720" w:hanging="360"/>
      </w:pPr>
      <w:r>
        <w:rPr>
          <w:rFonts w:ascii="Arial" w:cs="Arial" w:eastAsia="Arial" w:hAnsi="Arial"/>
          <w:b/>
          <w:bCs/>
          <w:color w:val="4A6FA5"/>
          <w:sz w:val="22"/>
          <w:szCs w:val="22"/>
        </w:rPr>
        <w:t xml:space="preserve">5.1.e Citizenship Irrevocability: </w:t>
      </w:r>
      <w:r>
        <w:rPr>
          <w:rFonts w:ascii="Arial" w:cs="Arial" w:eastAsia="Arial" w:hAnsi="Arial"/>
          <w:color w:val="000000"/>
          <w:sz w:val="22"/>
          <w:szCs w:val="22"/>
        </w:rPr>
        <w:t xml:space="preserve">Citizenship may not be revoked by Parliament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Parliament defines by statute; Parliament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ind w:left="720" w:hanging="360"/>
      </w:pPr>
      <w:r>
        <w:rPr>
          <w:rFonts w:ascii="Arial" w:cs="Arial" w:eastAsia="Arial" w:hAnsi="Arial"/>
          <w:b/>
          <w:bCs/>
          <w:color w:val="4A6FA5"/>
          <w:sz w:val="22"/>
          <w:szCs w:val="22"/>
        </w:rPr>
        <w:t xml:space="preserve">5.1.f Derivative Status: </w:t>
      </w:r>
      <w:r>
        <w:rPr>
          <w:rFonts w:ascii="Arial" w:cs="Arial" w:eastAsia="Arial" w:hAnsi="Arial"/>
          <w:color w:val="000000"/>
          <w:sz w:val="22"/>
          <w:szCs w:val="22"/>
        </w:rPr>
        <w:t xml:space="preserve">A child born before a parent acquired Legal Residency or Citizenship who accompanies that parent to the Republic within a period Parliament defines by statute receives derivative Inhabitant status. Parliament must by statute define the documentary requirements, age ceiling, and the path from derivative status to independent Legal Residency.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5.2 — Legal Residents</w:t>
      </w:r>
    </w:p>
    <w:p>
      <w:pPr>
        <w:spacing w:after="60" w:before="60"/>
        <w:ind w:left="720" w:hanging="360"/>
      </w:pPr>
      <w:r>
        <w:rPr>
          <w:rFonts w:ascii="Arial" w:cs="Arial" w:eastAsia="Arial" w:hAnsi="Arial"/>
          <w:b/>
          <w:bCs/>
          <w:color w:val="4A6FA5"/>
          <w:sz w:val="22"/>
          <w:szCs w:val="22"/>
        </w:rPr>
        <w:t xml:space="preserve">5.2 Legal Resident Rights: </w:t>
      </w:r>
      <w:r>
        <w:rPr>
          <w:rFonts w:ascii="Arial" w:cs="Arial" w:eastAsia="Arial" w:hAnsi="Arial"/>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spacing w:after="60" w:before="60"/>
        <w:ind w:left="720" w:hanging="360"/>
      </w:pPr>
      <w:r>
        <w:rPr>
          <w:rFonts w:ascii="Arial" w:cs="Arial" w:eastAsia="Arial" w:hAnsi="Arial"/>
          <w:b/>
          <w:bCs/>
          <w:color w:val="4A6FA5"/>
          <w:sz w:val="22"/>
          <w:szCs w:val="22"/>
        </w:rPr>
        <w:t xml:space="preserve">5.3 Custodial Care of Citizen Children: </w:t>
      </w:r>
      <w:r>
        <w:rPr>
          <w:rFonts w:ascii="Arial" w:cs="Arial" w:eastAsia="Arial" w:hAnsi="Arial"/>
          <w:color w:val="000000"/>
          <w:sz w:val="22"/>
          <w:szCs w:val="22"/>
        </w:rPr>
        <w:t xml:space="preserve">Where a parent or guardian who is the primary caregiver of a citizen child is removed from the Republic under §6.2, Parliament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5.4 — The Constitutional Logic Test</w:t>
      </w:r>
    </w:p>
    <w:p>
      <w:pPr>
        <w:spacing w:after="60" w:before="60"/>
      </w:pPr>
      <w:r>
        <w:rPr>
          <w:rFonts w:ascii="Arial" w:cs="Arial" w:eastAsia="Arial" w:hAnsi="Arial"/>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ind w:left="720" w:hanging="360"/>
      </w:pPr>
      <w:r>
        <w:rPr>
          <w:rFonts w:ascii="Arial" w:cs="Arial" w:eastAsia="Arial" w:hAnsi="Arial"/>
          <w:b/>
          <w:bCs/>
          <w:color w:val="4A6FA5"/>
          <w:sz w:val="22"/>
          <w:szCs w:val="22"/>
        </w:rPr>
        <w:t xml:space="preserve">5.4.a Senate Authority over the CLT Standard: </w:t>
      </w:r>
      <w:r>
        <w:rPr>
          <w:rFonts w:ascii="Arial" w:cs="Arial" w:eastAsia="Arial" w:hAnsi="Arial"/>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w:t>
      </w:r>
    </w:p>
    <w:p>
      <w:pPr>
        <w:spacing w:after="60" w:before="60"/>
        <w:ind w:left="720" w:hanging="360"/>
      </w:pPr>
      <w:r>
        <w:rPr>
          <w:rFonts w:ascii="Arial" w:cs="Arial" w:eastAsia="Arial" w:hAnsi="Arial"/>
          <w:b/>
          <w:bCs/>
          <w:color w:val="4A6FA5"/>
          <w:sz w:val="22"/>
          <w:szCs w:val="22"/>
        </w:rPr>
        <w:t xml:space="preserve">5.4.b CLT Administrator: </w:t>
      </w:r>
      <w:r>
        <w:rPr>
          <w:rFonts w:ascii="Arial" w:cs="Arial" w:eastAsia="Arial" w:hAnsi="Arial"/>
          <w:color w:val="000000"/>
          <w:sz w:val="22"/>
          <w:szCs w:val="22"/>
        </w:rPr>
        <w:t xml:space="preserve">The Constitutional Logic Test is administered by a CLT Administrator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 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w:t>
      </w:r>
    </w:p>
    <w:p>
      <w:pPr>
        <w:spacing w:after="60" w:before="60"/>
        <w:ind w:left="720" w:hanging="360"/>
      </w:pPr>
      <w:r>
        <w:rPr>
          <w:rFonts w:ascii="Arial" w:cs="Arial" w:eastAsia="Arial" w:hAnsi="Arial"/>
          <w:b/>
          <w:bCs/>
          <w:color w:val="4A6FA5"/>
          <w:sz w:val="22"/>
          <w:szCs w:val="22"/>
        </w:rPr>
        <w:t xml:space="preserve">5.4.c Status Quo Maintenance: </w:t>
      </w:r>
      <w:r>
        <w:rPr>
          <w:rFonts w:ascii="Arial" w:cs="Arial" w:eastAsia="Arial" w:hAnsi="Arial"/>
          <w:color w:val="000000"/>
          <w:sz w:val="22"/>
          <w:szCs w:val="22"/>
        </w:rPr>
        <w:t xml:space="preserve">If the Senate deadlocks on any proposed change to the CLT standard, the existing version of the test and passing threshold remains in force. Deadlock cannot be used to force a change by inaction.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5.5 — Day Zero Grandfather Clause</w:t>
      </w:r>
    </w:p>
    <w:p>
      <w:pPr>
        <w:spacing w:after="60" w:before="60"/>
        <w:ind w:left="720" w:hanging="360"/>
      </w:pPr>
      <w:r>
        <w:rPr>
          <w:rFonts w:ascii="Arial" w:cs="Arial" w:eastAsia="Arial" w:hAnsi="Arial"/>
          <w:b/>
          <w:bCs/>
          <w:color w:val="4A6FA5"/>
          <w:sz w:val="22"/>
          <w:szCs w:val="22"/>
        </w:rPr>
        <w:t xml:space="preserve">5.5.a Automatic Citizenship Grant: </w:t>
      </w:r>
      <w:r>
        <w:rPr>
          <w:rFonts w:ascii="Arial" w:cs="Arial" w:eastAsia="Arial" w:hAnsi="Arial"/>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 — IMMIGRATION AND RESIDENCY</w:t>
      </w:r>
    </w:p>
    <w:p>
      <w:pPr>
        <w:spacing w:after="60" w:before="60"/>
      </w:pPr>
      <w:r>
        <w:rPr>
          <w:rFonts w:ascii="Arial" w:cs="Arial" w:eastAsia="Arial" w:hAnsi="Arial"/>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6.1 — The Dual-Gate System</w:t>
      </w:r>
    </w:p>
    <w:p>
      <w:pPr>
        <w:spacing w:after="60" w:before="60"/>
      </w:pPr>
      <w:r>
        <w:rPr>
          <w:rFonts w:ascii="Arial" w:cs="Arial" w:eastAsia="Arial" w:hAnsi="Arial"/>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ind w:left="720" w:hanging="360"/>
      </w:pPr>
      <w:r>
        <w:rPr>
          <w:rFonts w:ascii="Arial" w:cs="Arial" w:eastAsia="Arial" w:hAnsi="Arial"/>
          <w:b/>
          <w:bCs/>
          <w:color w:val="4A6FA5"/>
          <w:sz w:val="22"/>
          <w:szCs w:val="22"/>
        </w:rPr>
        <w:t xml:space="preserve">6.1.a Gate 1 — State Sponsorship: </w:t>
      </w:r>
      <w:r>
        <w:rPr>
          <w:rFonts w:ascii="Arial" w:cs="Arial" w:eastAsia="Arial" w:hAnsi="Arial"/>
          <w:color w:val="000000"/>
          <w:sz w:val="22"/>
          <w:szCs w:val="22"/>
        </w:rPr>
        <w:t xml:space="preserve">A sponsoring State certifies that: the applicant has been reviewed by the State's own vetting process; the State accepts responsibility for notifying federal authorities if the applicant's circumstances materially change during the application process; and the State is prepared to receive the applicant as a Legal Resident within its jurisdiction. States may establish their own sponsorship criteria by statute, provided they do not discriminate on the basis of any characteristic protected by §1.8. Sponsorship is time-limited — if an application has not cleared Gate 2 within a period defined by House statute, which may not exceed 2 years from the date of sponsorship, the sponsorship lapses and must be renewed by the State. A State may withdraw sponsorship before Gate 2 certification; withdrawal terminates the application and the applicant may seek a new sponsoring State. The federal government may not penalize a State for declining to sponsor any particular applicant or category of applicant. The President must publish monthly statistics on Gate 2 processing times, disaggregated by applicant national origin and application category, to the National Record System. Statistically significant disparities in processing time by national origin are presumptively discriminatory under §6.1.c and must trigger automatic Executive Inspectorate review.</w:t>
      </w:r>
    </w:p>
    <w:p>
      <w:pPr>
        <w:spacing w:after="60" w:before="60"/>
        <w:ind w:left="720" w:hanging="360"/>
      </w:pPr>
      <w:r>
        <w:rPr>
          <w:rFonts w:ascii="Arial" w:cs="Arial" w:eastAsia="Arial" w:hAnsi="Arial"/>
          <w:b/>
          <w:bCs/>
          <w:color w:val="4A6FA5"/>
          <w:sz w:val="22"/>
          <w:szCs w:val="22"/>
        </w:rPr>
        <w:t xml:space="preserve">6.1.b Gate 2 — Federal Certification: </w:t>
      </w:r>
      <w:r>
        <w:rPr>
          <w:rFonts w:ascii="Arial" w:cs="Arial" w:eastAsia="Arial" w:hAnsi="Arial"/>
          <w:color w:val="000000"/>
          <w:sz w:val="22"/>
          <w:szCs w:val="22"/>
        </w:rPr>
        <w:t xml:space="preserve">The House and PM certify that an applicant meets federal standards in four categories: (1) Identity Verification — the applicant's identity has been confirmed through a process defined by House statute; (2) Criminal History — the applicant has no record of violent crime or fraud as defined by House statute, applied consistently without discrimination by national origin or any characteristic enumerated in §1.8; (3) National Security — no credible, specific, and documented national security concern exists regarding the applicant, based on an assessment conducted by the Director of Intelligence under the President's constitutional authority; (4) Self-Sufficiency or Support Guarantee — the applicant is either economically self-sufficient by standards defined by House statute, or the sponsoring State under Gate 1 or a separately verified private sponsor provides a formal guarantee of economic support. A valid Gate 1 State sponsorship satisfies this category unless the sponsoring State has explicitly declined to provide economic guarantees, in which case a separate private sponsor is required. The certification may not be used for ideological screening or nationality-based quotas. Any denial must specify in writing the precise ground from among these four categories and be published to the National Record System within 30 days. A denial lacking such a written statement is void and the application proceeds to credential issuance. National security denials are published in a form that protects classified sources and methods.</w:t>
      </w:r>
    </w:p>
    <w:p>
      <w:pPr>
        <w:spacing w:after="60" w:before="60"/>
        <w:ind w:left="720" w:hanging="360"/>
      </w:pPr>
      <w:r>
        <w:rPr>
          <w:rFonts w:ascii="Arial" w:cs="Arial" w:eastAsia="Arial" w:hAnsi="Arial"/>
          <w:b/>
          <w:bCs/>
          <w:color w:val="4A6FA5"/>
          <w:sz w:val="22"/>
          <w:szCs w:val="22"/>
        </w:rPr>
        <w:t xml:space="preserve">6.1.c Presidential Role: </w:t>
      </w:r>
      <w:r>
        <w:rPr>
          <w:rFonts w:ascii="Arial" w:cs="Arial" w:eastAsia="Arial" w:hAnsi="Arial"/>
          <w:color w:val="000000"/>
          <w:sz w:val="22"/>
          <w:szCs w:val="22"/>
        </w:rPr>
        <w:t xml:space="preserve">Once an applicant clears both gates, the President must ministerially issue residency credentials within a period Parliament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Rule Violation and are subject to proceedings under §2.8.</w:t>
      </w:r>
    </w:p>
    <w:p>
      <w:pPr>
        <w:spacing w:after="60" w:before="60"/>
        <w:ind w:left="720" w:hanging="360"/>
      </w:pPr>
      <w:r>
        <w:rPr>
          <w:rFonts w:ascii="Arial" w:cs="Arial" w:eastAsia="Arial" w:hAnsi="Arial"/>
          <w:b/>
          <w:bCs/>
          <w:color w:val="4A6FA5"/>
          <w:sz w:val="22"/>
          <w:szCs w:val="22"/>
        </w:rPr>
        <w:t xml:space="preserve">6.1.d Federal Sponsorship Category: </w:t>
      </w:r>
      <w:r>
        <w:rPr>
          <w:rFonts w:ascii="Arial" w:cs="Arial" w:eastAsia="Arial" w:hAnsi="Arial"/>
          <w:color w:val="000000"/>
          <w:sz w:val="22"/>
          <w:szCs w:val="22"/>
        </w:rPr>
        <w:t xml:space="preserve">Parliament may by statute establish a Federal Sponsorship Category for applicants whose skills, experience, or work directly serves a defined federal interest — including federal research programs, national infrastructure, national security-adjacent technical roles, and other categories specified by House statute. In the Federal Sponsorship Category, a designated federal agency may serve as the Gate 1 sponsor in place of a State, with the agency's certification treated as equivalent to State sponsorship for all purposes under §6.1.a. The sponsoring agency assumes all responsibilities that §6.1.a assigns to a sponsoring State, including notification obligations and economic guarantee. The Federal Sponsorship Category does not allow the President to circumvent Gate 2 federal certification requirements — all four §6.1.b categories still apply. A federal agency sponsor may not designate applicants on the basis of any characteristic protected by §1.8. The existence of a Federal Sponsorship Category does not reduce State sponsorship authority — States retain full Gate 1 discretion independently of any federal category.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6.2 — Enforcement and Removal</w:t>
      </w:r>
    </w:p>
    <w:p>
      <w:pPr>
        <w:spacing w:after="60" w:before="60"/>
        <w:ind w:left="720" w:hanging="360"/>
      </w:pPr>
      <w:r>
        <w:rPr>
          <w:rFonts w:ascii="Arial" w:cs="Arial" w:eastAsia="Arial" w:hAnsi="Arial"/>
          <w:b/>
          <w:bCs/>
          <w:color w:val="4A6FA5"/>
          <w:sz w:val="22"/>
          <w:szCs w:val="22"/>
        </w:rPr>
        <w:t xml:space="preserve">6.2 Removal Authority: </w:t>
      </w:r>
      <w:r>
        <w:rPr>
          <w:rFonts w:ascii="Arial" w:cs="Arial" w:eastAsia="Arial" w:hAnsi="Arial"/>
          <w:color w:val="000000"/>
          <w:sz w:val="22"/>
          <w:szCs w:val="22"/>
        </w:rPr>
        <w:t xml:space="preserve">Only the Federal government may remove individuals from the Republic — States may not conduct deportations. Removal occurs only for violations of laws Parliament has defined. If status is lawfully revoked, the President must execute removal; presidential clemency under §2.1.g may not override a House removal order or court-ordered enforcement.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6.4 — Application Appeals</w:t>
      </w:r>
    </w:p>
    <w:p>
      <w:pPr>
        <w:spacing w:after="60" w:before="60"/>
      </w:pPr>
      <w:r>
        <w:rPr>
          <w:rFonts w:ascii="Arial" w:cs="Arial" w:eastAsia="Arial" w:hAnsi="Arial"/>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ind w:left="720" w:hanging="360"/>
      </w:pPr>
      <w:r>
        <w:rPr>
          <w:rFonts w:ascii="Arial" w:cs="Arial" w:eastAsia="Arial" w:hAnsi="Arial"/>
          <w:b/>
          <w:bCs/>
          <w:color w:val="4A6FA5"/>
          <w:sz w:val="22"/>
          <w:szCs w:val="22"/>
        </w:rPr>
        <w:t xml:space="preserve">6.4.a Judicial Challenge: </w:t>
      </w:r>
      <w:r>
        <w:rPr>
          <w:rFonts w:ascii="Arial" w:cs="Arial" w:eastAsia="Arial" w:hAnsi="Arial"/>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ind w:left="720" w:hanging="360"/>
      </w:pPr>
      <w:r>
        <w:rPr>
          <w:rFonts w:ascii="Arial" w:cs="Arial" w:eastAsia="Arial" w:hAnsi="Arial"/>
          <w:b/>
          <w:bCs/>
          <w:color w:val="4A6FA5"/>
          <w:sz w:val="22"/>
          <w:szCs w:val="22"/>
        </w:rPr>
        <w:t xml:space="preserve">6.4.b National Security Denials: </w:t>
      </w:r>
      <w:r>
        <w:rPr>
          <w:rFonts w:ascii="Arial" w:cs="Arial" w:eastAsia="Arial" w:hAnsi="Arial"/>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 — ELECTIONS AND THE NATIONAL VOTE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7.1 — Standard Elections (Ranked Choice)</w:t>
      </w:r>
    </w:p>
    <w:p>
      <w:pPr>
        <w:spacing w:after="60" w:before="60"/>
      </w:pPr>
      <w:r>
        <w:rPr>
          <w:rFonts w:ascii="Arial" w:cs="Arial" w:eastAsia="Arial" w:hAnsi="Arial"/>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7.2 — Presidential Election: National Vote and Regional Diversity</w:t>
      </w:r>
    </w:p>
    <w:p>
      <w:pPr>
        <w:spacing w:after="60" w:before="60"/>
      </w:pPr>
      <w:r>
        <w:rPr>
          <w:rFonts w:ascii="Arial" w:cs="Arial" w:eastAsia="Arial" w:hAnsi="Arial"/>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ind w:left="720" w:hanging="360"/>
      </w:pPr>
      <w:r>
        <w:rPr>
          <w:rFonts w:ascii="Arial" w:cs="Arial" w:eastAsia="Arial" w:hAnsi="Arial"/>
          <w:b/>
          <w:bCs/>
          <w:color w:val="4A6FA5"/>
          <w:sz w:val="22"/>
          <w:szCs w:val="22"/>
        </w:rPr>
        <w:t xml:space="preserve">7.2.a National Ranked Choice Vote: </w:t>
      </w:r>
      <w:r>
        <w:rPr>
          <w:rFonts w:ascii="Arial" w:cs="Arial" w:eastAsia="Arial" w:hAnsi="Arial"/>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ind w:left="720" w:hanging="360"/>
      </w:pPr>
      <w:r>
        <w:rPr>
          <w:rFonts w:ascii="Arial" w:cs="Arial" w:eastAsia="Arial" w:hAnsi="Arial"/>
          <w:b/>
          <w:bCs/>
          <w:color w:val="4A6FA5"/>
          <w:sz w:val="22"/>
          <w:szCs w:val="22"/>
        </w:rPr>
        <w:t xml:space="preserve">7.2.b The Combined Score: </w:t>
      </w:r>
      <w:r>
        <w:rPr>
          <w:rFonts w:ascii="Arial" w:cs="Arial" w:eastAsia="Arial" w:hAnsi="Arial"/>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Parliament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Parliament has defined. As an example using five regions: a candidate who receives 60% of national first-preference votes and wins 3 of 5 regions would score (0.65 × 0.60) + (0.35 × 3/5) = 0.39 + 0.21 = 0.60, comfortably winning.</w:t>
      </w:r>
    </w:p>
    <w:p>
      <w:pPr>
        <w:spacing w:after="60" w:before="60"/>
        <w:ind w:left="720" w:hanging="360"/>
      </w:pPr>
      <w:r>
        <w:rPr>
          <w:rFonts w:ascii="Arial" w:cs="Arial" w:eastAsia="Arial" w:hAnsi="Arial"/>
          <w:b/>
          <w:bCs/>
          <w:color w:val="4A6FA5"/>
          <w:sz w:val="22"/>
          <w:szCs w:val="22"/>
        </w:rPr>
        <w:t xml:space="preserve">7.2.c Presidential Election Regions: </w:t>
      </w:r>
      <w:r>
        <w:rPr>
          <w:rFonts w:ascii="Arial" w:cs="Arial" w:eastAsia="Arial" w:hAnsi="Arial"/>
          <w:color w:val="000000"/>
          <w:sz w:val="22"/>
          <w:szCs w:val="22"/>
        </w:rPr>
        <w:t xml:space="preserve">The Republic is divided into regions for presidential election purposes. Parliament defines the number of regions by statute, in proportion to the Republic's geographic scale and State count — at least three regions and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Parliament defines is fixed for the duration of the drawing cycle in which it is set — Parliament may alter the count only at the start of a new drawing cycle, concurrent with a regional redrawing. A change in regional count that does not coincide with a regional redrawing is void.</w:t>
      </w:r>
    </w:p>
    <w:p>
      <w:pPr>
        <w:spacing w:after="60" w:before="60"/>
        <w:ind w:left="720" w:hanging="360"/>
      </w:pPr>
      <w:r>
        <w:rPr>
          <w:rFonts w:ascii="Arial" w:cs="Arial" w:eastAsia="Arial" w:hAnsi="Arial"/>
          <w:b/>
          <w:bCs/>
          <w:color w:val="4A6FA5"/>
          <w:sz w:val="22"/>
          <w:szCs w:val="22"/>
        </w:rPr>
        <w:t xml:space="preserve">7.2.d New and Devolved States: </w:t>
      </w:r>
      <w:r>
        <w:rPr>
          <w:rFonts w:ascii="Arial" w:cs="Arial" w:eastAsia="Arial" w:hAnsi="Arial"/>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w:t>
      </w:r>
    </w:p>
    <w:p>
      <w:pPr>
        <w:spacing w:after="60" w:before="60"/>
        <w:ind w:left="720" w:hanging="360"/>
      </w:pPr>
      <w:r>
        <w:rPr>
          <w:rFonts w:ascii="Arial" w:cs="Arial" w:eastAsia="Arial" w:hAnsi="Arial"/>
          <w:b/>
          <w:bCs/>
          <w:color w:val="4A6FA5"/>
          <w:sz w:val="22"/>
          <w:szCs w:val="22"/>
        </w:rPr>
        <w:t xml:space="preserve">7.2.e Run-off: </w:t>
      </w:r>
      <w:r>
        <w:rPr>
          <w:rFonts w:ascii="Arial" w:cs="Arial" w:eastAsia="Arial" w:hAnsi="Arial"/>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§2.7.a governs the defense and diplomatic functions of the presidency from the moment of term expiration until the run-off winner is certified and takes the Official Oath under §10.5.h. The successor under §2.7.a serves in a caretaker capacity during this period with the full constitutional authority of the presidential office, subject to §2.7.c succession constraints. The run-off result, once certified, takes immediate effect upon the winner's oath regardless of the length of any succession period.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7.3 — Election Integrity</w:t>
      </w:r>
    </w:p>
    <w:p>
      <w:pPr>
        <w:spacing w:after="60" w:before="60"/>
        <w:ind w:left="720" w:hanging="360"/>
      </w:pPr>
      <w:r>
        <w:rPr>
          <w:rFonts w:ascii="Arial" w:cs="Arial" w:eastAsia="Arial" w:hAnsi="Arial"/>
          <w:b/>
          <w:bCs/>
          <w:color w:val="4A6FA5"/>
          <w:sz w:val="22"/>
          <w:szCs w:val="22"/>
        </w:rPr>
        <w:t xml:space="preserve">7.3.a No Executive Interference: </w:t>
      </w:r>
      <w:r>
        <w:rPr>
          <w:rFonts w:ascii="Arial" w:cs="Arial" w:eastAsia="Arial" w:hAnsi="Arial"/>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ind w:left="720" w:hanging="360"/>
      </w:pPr>
      <w:r>
        <w:rPr>
          <w:rFonts w:ascii="Arial" w:cs="Arial" w:eastAsia="Arial" w:hAnsi="Arial"/>
          <w:b/>
          <w:bCs/>
          <w:color w:val="4A6FA5"/>
          <w:sz w:val="22"/>
          <w:szCs w:val="22"/>
        </w:rPr>
        <w:t xml:space="preserve">7.3.b National Voting System: </w:t>
      </w:r>
      <w:r>
        <w:rPr>
          <w:rFonts w:ascii="Arial" w:cs="Arial" w:eastAsia="Arial" w:hAnsi="Arial"/>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ind w:left="720" w:hanging="360"/>
      </w:pPr>
      <w:r>
        <w:rPr>
          <w:rFonts w:ascii="Arial" w:cs="Arial" w:eastAsia="Arial" w:hAnsi="Arial"/>
          <w:b/>
          <w:bCs/>
          <w:color w:val="4A6FA5"/>
          <w:sz w:val="22"/>
          <w:szCs w:val="22"/>
        </w:rPr>
        <w:t xml:space="preserve">7.3.c Participation Protection: </w:t>
      </w:r>
      <w:r>
        <w:rPr>
          <w:rFonts w:ascii="Arial" w:cs="Arial" w:eastAsia="Arial" w:hAnsi="Arial"/>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may trigger Rule Violation proceedings under §2.8 for the relevant State officials.</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VIII — THE INSPECTORATES</w:t>
      </w:r>
    </w:p>
    <w:p>
      <w:pPr>
        <w:spacing w:after="60" w:before="60"/>
      </w:pPr>
      <w:r>
        <w:rPr>
          <w:rFonts w:ascii="Arial" w:cs="Arial" w:eastAsia="Arial" w:hAnsi="Arial"/>
          <w:color w:val="000000"/>
          <w:sz w:val="22"/>
          <w:szCs w:val="22"/>
        </w:rPr>
        <w:t xml:space="preserve">The Republic maintains three permanent Inspectorates — one for each branch. Each is independent, non-partisan, and without enforcement power: Inspectorates publish facts; courts, Parliament, and the People decide what to do with them. No branch controls its own oversight.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 — The Three Inspectorates</w:t>
      </w:r>
    </w:p>
    <w:p>
      <w:pPr>
        <w:spacing w:after="60" w:before="60"/>
        <w:ind w:left="720" w:hanging="360"/>
      </w:pPr>
      <w:r>
        <w:rPr>
          <w:rFonts w:ascii="Arial" w:cs="Arial" w:eastAsia="Arial" w:hAnsi="Arial"/>
          <w:b/>
          <w:bCs/>
          <w:color w:val="4A6FA5"/>
          <w:sz w:val="22"/>
          <w:szCs w:val="22"/>
        </w:rPr>
        <w:t xml:space="preserve">8.1.a The Legislative Inspectorate (LI): </w:t>
      </w:r>
      <w:r>
        <w:rPr>
          <w:rFonts w:ascii="Arial" w:cs="Arial" w:eastAsia="Arial" w:hAnsi="Arial"/>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ind w:left="720" w:hanging="360"/>
      </w:pPr>
      <w:r>
        <w:rPr>
          <w:rFonts w:ascii="Arial" w:cs="Arial" w:eastAsia="Arial" w:hAnsi="Arial"/>
          <w:b/>
          <w:bCs/>
          <w:color w:val="4A6FA5"/>
          <w:sz w:val="22"/>
          <w:szCs w:val="22"/>
        </w:rPr>
        <w:t xml:space="preserve">8.1.b The Executive Inspectorate (EI): </w:t>
      </w:r>
      <w:r>
        <w:rPr>
          <w:rFonts w:ascii="Arial" w:cs="Arial" w:eastAsia="Arial" w:hAnsi="Arial"/>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(§12.5.c),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The Executive Inspectorate publishes a factual background report on any clemency petition before the relevant executive acts.</w:t>
      </w:r>
    </w:p>
    <w:p>
      <w:pPr>
        <w:spacing w:after="60" w:before="60"/>
        <w:ind w:left="720" w:hanging="360"/>
      </w:pPr>
      <w:r>
        <w:rPr>
          <w:rFonts w:ascii="Arial" w:cs="Arial" w:eastAsia="Arial" w:hAnsi="Arial"/>
          <w:b/>
          <w:bCs/>
          <w:color w:val="4A6FA5"/>
          <w:sz w:val="22"/>
          <w:szCs w:val="22"/>
        </w:rPr>
        <w:t xml:space="preserve">8.1.c The Judicial Inspectorate (JI): </w:t>
      </w:r>
      <w:r>
        <w:rPr>
          <w:rFonts w:ascii="Arial" w:cs="Arial" w:eastAsia="Arial" w:hAnsi="Arial"/>
          <w:color w:val="000000"/>
          <w:sz w:val="22"/>
          <w:szCs w:val="22"/>
        </w:rPr>
        <w:t xml:space="preserve">Audits the court system for compliance with judicial scope and independence; maintains the Qualified Jurist Registry; vets judicial nominees and Electoral Commission candidates; conducts eligibility screens on referendum petitions; and audits the Electoral Commission annually.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8.2 — Selection and Independence</w:t>
      </w:r>
    </w:p>
    <w:p>
      <w:pPr>
        <w:spacing w:after="60" w:before="60"/>
      </w:pPr>
      <w:r>
        <w:rPr>
          <w:rFonts w:ascii="Arial" w:cs="Arial" w:eastAsia="Arial" w:hAnsi="Arial"/>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Inspectorate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Watches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Nominated By</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Confirmed By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&amp; Senate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2/3 supermajority. House excluded.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&amp; Prime Minister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 simple majority.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Courts, Registry, Referenda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from Qualified Jurist Pool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confirmation — lottery is the appointment.</w:t>
            </w:r>
          </w:p>
        </w:tc>
      </w:tr>
    </w:tbl>
    <w:p>
      <w:pPr>
        <w:spacing w:after="0" w:before="120"/>
      </w:pPr>
      <w:r>
        <w:t xml:space="preserve"/>
      </w:r>
    </w:p>
    <w:p>
      <w:pPr>
        <w:spacing w:after="60" w:before="60"/>
      </w:pPr>
      <w:r>
        <w:rPr>
          <w:rFonts w:ascii="Arial" w:cs="Arial" w:eastAsia="Arial" w:hAnsi="Arial"/>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8.3 — The Legislative and Executive IG: Appointment</w:t>
      </w:r>
    </w:p>
    <w:p>
      <w:pPr>
        <w:spacing w:after="60" w:before="60"/>
        <w:ind w:left="720" w:hanging="360"/>
      </w:pPr>
      <w:r>
        <w:rPr>
          <w:rFonts w:ascii="Arial" w:cs="Arial" w:eastAsia="Arial" w:hAnsi="Arial"/>
          <w:b/>
          <w:bCs/>
          <w:color w:val="4A6FA5"/>
          <w:sz w:val="22"/>
          <w:szCs w:val="22"/>
        </w:rPr>
        <w:t xml:space="preserve">8.3.a Legislative IG: </w:t>
      </w:r>
      <w:r>
        <w:rPr>
          <w:rFonts w:ascii="Arial" w:cs="Arial" w:eastAsia="Arial" w:hAnsi="Arial"/>
          <w:color w:val="000000"/>
          <w:sz w:val="22"/>
          <w:szCs w:val="22"/>
        </w:rPr>
        <w:t xml:space="preserve">Nominated by the Supreme Court; confirmed by the Senate with a 2/3 supermajority. The House is entirely excluded. Deemed Confirmed if the Senate fails to act within the period Parliament defines by statute. The Supreme Court's nomination serves as the qualification assessment for this role — no separate Inspectorate review is required.</w:t>
      </w:r>
    </w:p>
    <w:p>
      <w:pPr>
        <w:spacing w:after="60" w:before="60"/>
        <w:ind w:left="720" w:hanging="360"/>
      </w:pPr>
      <w:r>
        <w:rPr>
          <w:rFonts w:ascii="Arial" w:cs="Arial" w:eastAsia="Arial" w:hAnsi="Arial"/>
          <w:b/>
          <w:bCs/>
          <w:color w:val="4A6FA5"/>
          <w:sz w:val="22"/>
          <w:szCs w:val="22"/>
        </w:rPr>
        <w:t xml:space="preserve">8.3.b Executive IG: </w:t>
      </w:r>
      <w:r>
        <w:rPr>
          <w:rFonts w:ascii="Arial" w:cs="Arial" w:eastAsia="Arial" w:hAnsi="Arial"/>
          <w:color w:val="000000"/>
          <w:sz w:val="22"/>
          <w:szCs w:val="22"/>
        </w:rPr>
        <w:t xml:space="preserve">Nominated by the House; confirmed by the Senate with a simple majority. Deemed Confirmed if the Senate fails to act within the period Parliament defines by statute. Before the Senate confirmation vote, the Judicial Inspectorate publishes a factual assessment of the nominee's professional background and relevant expertise to the National Record System — this assessment is informational only and does not constitute endorsement or disqualification.</w:t>
      </w:r>
    </w:p>
    <w:p>
      <w:pPr>
        <w:spacing w:after="60" w:before="60"/>
        <w:ind w:left="720" w:hanging="360"/>
      </w:pPr>
      <w:r>
        <w:rPr>
          <w:rFonts w:ascii="Arial" w:cs="Arial" w:eastAsia="Arial" w:hAnsi="Arial"/>
          <w:b/>
          <w:bCs/>
          <w:color w:val="4A6FA5"/>
          <w:sz w:val="22"/>
          <w:szCs w:val="22"/>
        </w:rPr>
        <w:t xml:space="preserve">8.3.c Term and Staggering: </w:t>
      </w:r>
      <w:r>
        <w:rPr>
          <w:rFonts w:ascii="Arial" w:cs="Arial" w:eastAsia="Arial" w:hAnsi="Arial"/>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8.4 — The Judicial IG: Lottery Selection</w:t>
      </w:r>
    </w:p>
    <w:p>
      <w:pPr>
        <w:spacing w:after="60" w:before="60"/>
      </w:pPr>
      <w:r>
        <w:rPr>
          <w:rFonts w:ascii="Arial" w:cs="Arial" w:eastAsia="Arial" w:hAnsi="Arial"/>
          <w:color w:val="000000"/>
          <w:sz w:val="22"/>
          <w:szCs w:val="22"/>
        </w:rPr>
        <w:t xml:space="preserve">The Judicial Inspector General is selected by random draw from a pool of qualified candidates — not by appointment. This lottery model prevents any political actor from controlling who watches the courts.</w:t>
      </w:r>
    </w:p>
    <w:p>
      <w:pPr>
        <w:spacing w:after="60" w:before="60"/>
        <w:ind w:left="720" w:hanging="360"/>
      </w:pPr>
      <w:r>
        <w:rPr>
          <w:rFonts w:ascii="Arial" w:cs="Arial" w:eastAsia="Arial" w:hAnsi="Arial"/>
          <w:b/>
          <w:bCs/>
          <w:color w:val="4A6FA5"/>
          <w:sz w:val="22"/>
          <w:szCs w:val="22"/>
        </w:rPr>
        <w:t xml:space="preserve">8.4.a The Qualified Jurist Pool: </w:t>
      </w:r>
      <w:r>
        <w:rPr>
          <w:rFonts w:ascii="Arial" w:cs="Arial" w:eastAsia="Arial" w:hAnsi="Arial"/>
          <w:color w:val="000000"/>
          <w:sz w:val="22"/>
          <w:szCs w:val="22"/>
        </w:rPr>
        <w:t xml:space="preserve">Maintained by the outgoing Judicial IG. Candidates must demonstrate knowledge of constitutional law, have held no government position in the prior 10 years, have no financial conflicts of interest, and have no prior disqualifying conduct. These criteria are fixed and may only be altered by constitutional amendment.</w:t>
      </w:r>
    </w:p>
    <w:p>
      <w:pPr>
        <w:spacing w:after="60" w:before="60"/>
        <w:ind w:left="720" w:hanging="360"/>
      </w:pPr>
      <w:r>
        <w:rPr>
          <w:rFonts w:ascii="Arial" w:cs="Arial" w:eastAsia="Arial" w:hAnsi="Arial"/>
          <w:b/>
          <w:bCs/>
          <w:color w:val="4A6FA5"/>
          <w:sz w:val="22"/>
          <w:szCs w:val="22"/>
        </w:rPr>
        <w:t xml:space="preserve">8.4.b The Draw: </w:t>
      </w:r>
      <w:r>
        <w:rPr>
          <w:rFonts w:ascii="Arial" w:cs="Arial" w:eastAsia="Arial" w:hAnsi="Arial"/>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ind w:left="720" w:hanging="360"/>
      </w:pPr>
      <w:r>
        <w:rPr>
          <w:rFonts w:ascii="Arial" w:cs="Arial" w:eastAsia="Arial" w:hAnsi="Arial"/>
          <w:b/>
          <w:bCs/>
          <w:color w:val="4A6FA5"/>
          <w:sz w:val="22"/>
          <w:szCs w:val="22"/>
        </w:rPr>
        <w:t xml:space="preserve">8.4.c Term and Pool Depletion: </w:t>
      </w:r>
      <w:r>
        <w:rPr>
          <w:rFonts w:ascii="Arial" w:cs="Arial" w:eastAsia="Arial" w:hAnsi="Arial"/>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ind w:left="720" w:hanging="360"/>
      </w:pPr>
      <w:r>
        <w:rPr>
          <w:rFonts w:ascii="Arial" w:cs="Arial" w:eastAsia="Arial" w:hAnsi="Arial"/>
          <w:b/>
          <w:bCs/>
          <w:color w:val="4A6FA5"/>
          <w:sz w:val="22"/>
          <w:szCs w:val="22"/>
        </w:rPr>
        <w:t xml:space="preserve">8.4.d Inspectorate Staff Continuity and Simultaneous Vacancy: </w:t>
      </w:r>
      <w:r>
        <w:rPr>
          <w:rFonts w:ascii="Arial" w:cs="Arial" w:eastAsia="Arial" w:hAnsi="Arial"/>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§2.9, the §8.4.c Constitutional Emergency Panel provision activates immediately for each vacant Inspectorate without requiring separate Pool depletion findings. The Inspectorate Oversight Committee may appoint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confirmation by the surviving senators under the §3.2.g survivor quorum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8.5 — IG Removal: Two-Track System</w:t>
      </w:r>
    </w:p>
    <w:p>
      <w:pPr>
        <w:spacing w:after="60" w:before="60"/>
      </w:pPr>
      <w:r>
        <w:rPr>
          <w:rFonts w:ascii="Arial" w:cs="Arial" w:eastAsia="Arial" w:hAnsi="Arial"/>
          <w:color w:val="000000"/>
          <w:sz w:val="22"/>
          <w:szCs w:val="22"/>
        </w:rPr>
        <w:t xml:space="preserve">An Inspector General may be removed only through one of two tracks. Neither may be used to suppress a Report or retaliate for lawful investigative activity.</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8.5.a For-Cause Removal: </w:t>
      </w:r>
      <w:r>
        <w:rPr>
          <w:rFonts w:ascii="Arial" w:cs="Arial" w:eastAsia="Arial" w:hAnsi="Arial"/>
          <w:color w:val="000000"/>
          <w:sz w:val="22"/>
          <w:szCs w:val="22"/>
        </w:rPr>
        <w:t xml:space="preserve">Grounds: documented dereliction of duty, incapacity, undisclosed conflict of interest, or criminal conviction. Requires a 2/3 vote of both chambers simultaneously. Before the parliamentary vote, the Inspectorate Oversight Committee (§8.9) must publish a verification finding within 30 days of the removal motion being filed. The verification requires a 2/3 vote of the full Committee — not merely members present. The Committee's verification is published to the National Record System. Parliament may proceed to the 2/3 vote only after the Committee publishes. If the Committee finds the stated grounds unsubstantiated, the motion lapses unless new grounds are filed. The IG being removed may petition the Supreme Court within 14 days of the Committee's finding for expedited technical review on whether the Committee applied the constitutional criteria correctly; the IG continues in office during this review.</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8.5.b No-Cause Removal: </w:t>
      </w:r>
      <w:r>
        <w:rPr>
          <w:rFonts w:ascii="Arial" w:cs="Arial" w:eastAsia="Arial" w:hAnsi="Arial"/>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8.5.c Judicial IG — For-Cause Only: </w:t>
      </w:r>
      <w:r>
        <w:rPr>
          <w:rFonts w:ascii="Arial" w:cs="Arial" w:eastAsia="Arial" w:hAnsi="Arial"/>
          <w:color w:val="000000"/>
          <w:sz w:val="22"/>
          <w:szCs w:val="22"/>
        </w:rPr>
        <w:t xml:space="preserve">The Judicial Inspector General may only be removed via Track 1. No-Cause removal is not available for the Judicial IG.</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8.6 — The Information-Only Mandate</w:t>
      </w:r>
    </w:p>
    <w:p>
      <w:pPr>
        <w:spacing w:after="60" w:before="60"/>
      </w:pPr>
      <w:r>
        <w:rPr>
          <w:rFonts w:ascii="Arial" w:cs="Arial" w:eastAsia="Arial" w:hAnsi="Arial"/>
          <w:color w:val="000000"/>
          <w:sz w:val="22"/>
          <w:szCs w:val="22"/>
        </w:rPr>
        <w:t xml:space="preserve">An Inspectorate finding is not a legal determination of any kind. Inspectorate Reports state observed facts. They do not conclude that any conduct 'is a Rule Violation' — that is a legal conclusion reserved for courts. The Inspectorates have no enforcement power, no arrest authority, no prosecutorial function, and no ability to issue binding orders. Their sole constitutional output is published factual information. Inspectorate Reports may note that Parliament, courts, or the People may wish to act on what the Reports reveal — but the power to act always belongs to others.</w:t>
      </w:r>
    </w:p>
    <w:p>
      <w:pPr>
        <w:spacing w:after="60" w:before="60"/>
        <w:ind w:left="720" w:hanging="360"/>
      </w:pPr>
      <w:r>
        <w:rPr>
          <w:rFonts w:ascii="Arial" w:cs="Arial" w:eastAsia="Arial" w:hAnsi="Arial"/>
          <w:b/>
          <w:bCs/>
          <w:color w:val="4A6FA5"/>
          <w:sz w:val="22"/>
          <w:szCs w:val="22"/>
        </w:rPr>
        <w:t xml:space="preserve">8.6.a Reports: </w:t>
      </w:r>
      <w:r>
        <w:rPr>
          <w:rFonts w:ascii="Arial" w:cs="Arial" w:eastAsia="Arial" w:hAnsi="Arial"/>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ind w:left="720" w:hanging="360"/>
      </w:pPr>
      <w:r>
        <w:rPr>
          <w:rFonts w:ascii="Arial" w:cs="Arial" w:eastAsia="Arial" w:hAnsi="Arial"/>
          <w:b/>
          <w:bCs/>
          <w:color w:val="4A6FA5"/>
          <w:sz w:val="22"/>
          <w:szCs w:val="22"/>
        </w:rPr>
        <w:t xml:space="preserve">8.6.b No Classification: </w:t>
      </w:r>
      <w:r>
        <w:rPr>
          <w:rFonts w:ascii="Arial" w:cs="Arial" w:eastAsia="Arial" w:hAnsi="Arial"/>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ind w:left="720" w:hanging="360"/>
      </w:pPr>
      <w:r>
        <w:rPr>
          <w:rFonts w:ascii="Arial" w:cs="Arial" w:eastAsia="Arial" w:hAnsi="Arial"/>
          <w:b/>
          <w:bCs/>
          <w:color w:val="4A6FA5"/>
          <w:sz w:val="22"/>
          <w:szCs w:val="22"/>
        </w:rPr>
        <w:t xml:space="preserve">8.6.c No Binding Force: </w:t>
      </w:r>
      <w:r>
        <w:rPr>
          <w:rFonts w:ascii="Arial" w:cs="Arial" w:eastAsia="Arial" w:hAnsi="Arial"/>
          <w:color w:val="000000"/>
          <w:sz w:val="22"/>
          <w:szCs w:val="22"/>
        </w:rPr>
        <w:t xml:space="preserve">An Inspectorate Report is a documented statement of observed fact. What Parliament, the courts, or the People do with that information is their constitutional prerogative. Where a Report's findings may be relevant to potential Rule Violation proceedings, the Report states that Parliament or the relevant injured party may initiate such proceedings.</w:t>
      </w:r>
    </w:p>
    <w:p>
      <w:pPr>
        <w:spacing w:after="60" w:before="60"/>
        <w:ind w:left="720" w:hanging="360"/>
      </w:pPr>
      <w:r>
        <w:rPr>
          <w:rFonts w:ascii="Arial" w:cs="Arial" w:eastAsia="Arial" w:hAnsi="Arial"/>
          <w:b/>
          <w:bCs/>
          <w:color w:val="4A6FA5"/>
          <w:sz w:val="22"/>
          <w:szCs w:val="22"/>
        </w:rPr>
        <w:t xml:space="preserve">8.6.d Non-Pursuit Disclosure: </w:t>
      </w:r>
      <w:r>
        <w:rPr>
          <w:rFonts w:ascii="Arial" w:cs="Arial" w:eastAsia="Arial" w:hAnsi="Arial"/>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the Inspectorate Oversight Committee.</w:t>
      </w:r>
    </w:p>
    <w:p>
      <w:pPr>
        <w:spacing w:after="60" w:before="60"/>
        <w:ind w:left="720" w:hanging="360"/>
      </w:pPr>
      <w:r>
        <w:rPr>
          <w:rFonts w:ascii="Arial" w:cs="Arial" w:eastAsia="Arial" w:hAnsi="Arial"/>
          <w:b/>
          <w:bCs/>
          <w:color w:val="4A6FA5"/>
          <w:sz w:val="22"/>
          <w:szCs w:val="22"/>
        </w:rPr>
        <w:t xml:space="preserve">8.6.e Minority Reports: </w:t>
      </w:r>
      <w:r>
        <w:rPr>
          <w:rFonts w:ascii="Arial" w:cs="Arial" w:eastAsia="Arial" w:hAnsi="Arial"/>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ind w:left="720" w:hanging="360"/>
      </w:pPr>
      <w:r>
        <w:rPr>
          <w:rFonts w:ascii="Arial" w:cs="Arial" w:eastAsia="Arial" w:hAnsi="Arial"/>
          <w:b/>
          <w:bCs/>
          <w:color w:val="4A6FA5"/>
          <w:sz w:val="22"/>
          <w:szCs w:val="22"/>
        </w:rPr>
        <w:t xml:space="preserve">8.6.f Coordinated Work Stoppage Prohibition: </w:t>
      </w:r>
      <w:r>
        <w:rPr>
          <w:rFonts w:ascii="Arial" w:cs="Arial" w:eastAsia="Arial" w:hAnsi="Arial"/>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Rule Violation proceedings against the organizing parties.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8.7 — Triggered Investigations</w:t>
      </w:r>
    </w:p>
    <w:p>
      <w:pPr>
        <w:spacing w:after="60" w:before="60"/>
        <w:ind w:left="720" w:hanging="360"/>
      </w:pPr>
      <w:r>
        <w:rPr>
          <w:rFonts w:ascii="Arial" w:cs="Arial" w:eastAsia="Arial" w:hAnsi="Arial"/>
          <w:b/>
          <w:bCs/>
          <w:color w:val="4A6FA5"/>
          <w:sz w:val="22"/>
          <w:szCs w:val="22"/>
        </w:rPr>
        <w:t xml:space="preserve">8.7.a Official Trigger: </w:t>
      </w:r>
      <w:r>
        <w:rPr>
          <w:rFonts w:ascii="Arial" w:cs="Arial" w:eastAsia="Arial" w:hAnsi="Arial"/>
          <w:color w:val="000000"/>
          <w:sz w:val="22"/>
          <w:szCs w:val="22"/>
        </w:rPr>
        <w:t xml:space="preserve">Any elected or appointed official may request an investigation within their own branch's Inspectorate. A cross-branch investigation requires support from a minority of the relevant chamber, defined by House statute. Parliament may by statute establish reasonable limits on the frequency of individual investigation requests to prevent abuse, provided those limits do not prevent the investigation of credible, specific concerns.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8.8 — The Annual State of the Republic Report</w:t>
      </w:r>
    </w:p>
    <w:p>
      <w:pPr>
        <w:spacing w:after="60" w:before="60"/>
      </w:pPr>
      <w:r>
        <w:rPr>
          <w:rFonts w:ascii="Arial" w:cs="Arial" w:eastAsia="Arial" w:hAnsi="Arial"/>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ind w:left="720" w:hanging="360"/>
      </w:pPr>
      <w:r>
        <w:rPr>
          <w:rFonts w:ascii="Arial" w:cs="Arial" w:eastAsia="Arial" w:hAnsi="Arial"/>
          <w:b/>
          <w:bCs/>
          <w:color w:val="4A6FA5"/>
          <w:sz w:val="22"/>
          <w:szCs w:val="22"/>
        </w:rPr>
        <w:t xml:space="preserve">8.8.a Content: </w:t>
      </w:r>
      <w:r>
        <w:rPr>
          <w:rFonts w:ascii="Arial" w:cs="Arial" w:eastAsia="Arial" w:hAnsi="Arial"/>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ind w:left="720" w:hanging="360"/>
      </w:pPr>
      <w:r>
        <w:rPr>
          <w:rFonts w:ascii="Arial" w:cs="Arial" w:eastAsia="Arial" w:hAnsi="Arial"/>
          <w:b/>
          <w:bCs/>
          <w:color w:val="4A6FA5"/>
          <w:sz w:val="22"/>
          <w:szCs w:val="22"/>
        </w:rPr>
        <w:t xml:space="preserve">8.8.b Publication: </w:t>
      </w:r>
      <w:r>
        <w:rPr>
          <w:rFonts w:ascii="Arial" w:cs="Arial" w:eastAsia="Arial" w:hAnsi="Arial"/>
          <w:color w:val="000000"/>
          <w:sz w:val="22"/>
          <w:szCs w:val="22"/>
        </w:rPr>
        <w:t xml:space="preserve">Published simultaneously to the National Record System and freely accessible to all Inhabitants. No official may alter the publication date or content.</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8.9 — The Inspectorate Oversight Committee</w:t>
      </w:r>
    </w:p>
    <w:p>
      <w:pPr>
        <w:spacing w:after="60" w:before="60"/>
      </w:pPr>
      <w:r>
        <w:rPr>
          <w:rFonts w:ascii="Arial" w:cs="Arial" w:eastAsia="Arial" w:hAnsi="Arial"/>
          <w:color w:val="000000"/>
          <w:sz w:val="22"/>
          <w:szCs w:val="22"/>
        </w:rPr>
        <w:t xml:space="preserve">A joint Inspectorate Oversight Committee of Parliament is constitutionally mandated. Its composition reflects the proportional membership of both chambers. During House dissolution, the Committee's Senate members constitute a quorum for the sole purpose of receiving and publishing Minority Reports. The Senate members during dissolution may not constitute a verification quorum for For-Cause removal proceedings — the 2/3 supermajority required for verification cannot be satisfied by Senate members alone during this period. All For-Cause removal proceedings requiring Committee verification are automatically suspended during dissolution and resume when the new House is seated. No partial verification finding may be published during dissolution.</w:t>
      </w:r>
    </w:p>
    <w:p>
      <w:pPr>
        <w:spacing w:after="60" w:before="60"/>
        <w:ind w:left="720" w:hanging="360"/>
      </w:pPr>
      <w:r>
        <w:rPr>
          <w:rFonts w:ascii="Arial" w:cs="Arial" w:eastAsia="Arial" w:hAnsi="Arial"/>
          <w:b/>
          <w:bCs/>
          <w:color w:val="4A6FA5"/>
          <w:sz w:val="22"/>
          <w:szCs w:val="22"/>
        </w:rPr>
        <w:t xml:space="preserve">8.9.a Powers: </w:t>
      </w:r>
      <w:r>
        <w:rPr>
          <w:rFonts w:ascii="Arial" w:cs="Arial" w:eastAsia="Arial" w:hAnsi="Arial"/>
          <w:color w:val="000000"/>
          <w:sz w:val="22"/>
          <w:szCs w:val="22"/>
        </w:rPr>
        <w:t xml:space="preserve">The Committee may: review internal investigation files, methodologies, and non-pursuit decisions of any Inspectorate; compel testimony from Inspectors General and their staff; and publish its own findings — clearly labeled as parliamentary oversight findings, distinct from Inspectorate Reports — to the National Record System. The Committee verifies For-Cause removal grounds as specified in §8.5.</w:t>
      </w:r>
    </w:p>
    <w:p>
      <w:pPr>
        <w:spacing w:after="60" w:before="60"/>
        <w:ind w:left="720" w:hanging="360"/>
      </w:pPr>
      <w:r>
        <w:rPr>
          <w:rFonts w:ascii="Arial" w:cs="Arial" w:eastAsia="Arial" w:hAnsi="Arial"/>
          <w:b/>
          <w:bCs/>
          <w:color w:val="4A6FA5"/>
          <w:sz w:val="22"/>
          <w:szCs w:val="22"/>
        </w:rPr>
        <w:t xml:space="preserve">8.9.b Limits: </w:t>
      </w:r>
      <w:r>
        <w:rPr>
          <w:rFonts w:ascii="Arial" w:cs="Arial" w:eastAsia="Arial" w:hAnsi="Arial"/>
          <w:color w:val="000000"/>
          <w:sz w:val="22"/>
          <w:szCs w:val="22"/>
        </w:rPr>
        <w:t xml:space="preserve">The Committee may not: alter, suppress, delay, or direct the content of any Inspectorate Report; instruct an Inspectorate to open, close, or modify an investigation; or remove an Inspector General by its own action.</w:t>
      </w:r>
    </w:p>
    <w:p>
      <w:pPr>
        <w:spacing w:after="60" w:before="60"/>
        <w:ind w:left="720" w:hanging="360"/>
      </w:pPr>
      <w:r>
        <w:rPr>
          <w:rFonts w:ascii="Arial" w:cs="Arial" w:eastAsia="Arial" w:hAnsi="Arial"/>
          <w:b/>
          <w:bCs/>
          <w:color w:val="4A6FA5"/>
          <w:sz w:val="22"/>
          <w:szCs w:val="22"/>
        </w:rPr>
        <w:t xml:space="preserve">8.9.c Annual Report: </w:t>
      </w:r>
      <w:r>
        <w:rPr>
          <w:rFonts w:ascii="Arial" w:cs="Arial" w:eastAsia="Arial" w:hAnsi="Arial"/>
          <w:color w:val="000000"/>
          <w:sz w:val="22"/>
          <w:szCs w:val="22"/>
        </w:rPr>
        <w:t xml:space="preserve">The Committee reports to both chambers annually on the operational health of the Inspectorate system, including any non-pursuit disclosure findings it considers inadequate and any Minority Reports it has categorized as substantive.</w:t>
      </w:r>
    </w:p>
    <w:p>
      <w:pPr>
        <w:spacing w:after="60" w:before="60"/>
        <w:ind w:left="720" w:hanging="360"/>
      </w:pPr>
      <w:r>
        <w:rPr>
          <w:rFonts w:ascii="Arial" w:cs="Arial" w:eastAsia="Arial" w:hAnsi="Arial"/>
          <w:b/>
          <w:bCs/>
          <w:color w:val="4A6FA5"/>
          <w:sz w:val="22"/>
          <w:szCs w:val="22"/>
        </w:rPr>
        <w:t xml:space="preserve">8.9.d Gatekeeping Appeal: </w:t>
      </w:r>
      <w:r>
        <w:rPr>
          <w:rFonts w:ascii="Arial" w:cs="Arial" w:eastAsia="Arial" w:hAnsi="Arial"/>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8.10 — Inspectorate Minimum Funding Guarantee</w:t>
      </w:r>
    </w:p>
    <w:p>
      <w:pPr>
        <w:spacing w:after="60" w:before="60"/>
      </w:pPr>
      <w:r>
        <w:rPr>
          <w:rFonts w:ascii="Arial" w:cs="Arial" w:eastAsia="Arial" w:hAnsi="Arial"/>
          <w:color w:val="000000"/>
          <w:sz w:val="22"/>
          <w:szCs w:val="22"/>
        </w:rPr>
        <w:t xml:space="preserve">Each Inspectorate is guaranteed adequate annual funding to perform its constitutional mandate fully and independently. Parliament may not reduce any Inspectorate's funding below the prior fiscal year's appropriation without a 2/3 vote of both chambers, and may never eliminate an Inspectorate's funding. Parliament must by statute define a specific minimum funding formula indexed to national revenue; the Monetary Authority certifies annually whether that formula is adequate for each Inspectorate's mandate. Failure to appropriate the statutory minimum is a Rule Violation for the presiding officers of each chamber. During a certified Severe Contraction under §10.1.d, the minimum may be proportionally reduced but not eliminated.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8.11 — Constitutional Performance Assessment</w:t>
      </w:r>
    </w:p>
    <w:p>
      <w:pPr>
        <w:spacing w:after="60" w:before="60"/>
        <w:ind w:left="720" w:hanging="360"/>
      </w:pPr>
      <w:r>
        <w:rPr>
          <w:rFonts w:ascii="Arial" w:cs="Arial" w:eastAsia="Arial" w:hAnsi="Arial"/>
          <w:b/>
          <w:bCs/>
          <w:color w:val="4A6FA5"/>
          <w:sz w:val="22"/>
          <w:szCs w:val="22"/>
        </w:rPr>
        <w:t xml:space="preserve">8.11 Eighth-Year Assessment: </w:t>
      </w:r>
      <w:r>
        <w:rPr>
          <w:rFonts w:ascii="Arial" w:cs="Arial" w:eastAsia="Arial" w:hAnsi="Arial"/>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behavioral changes attributable to constitutional mechanisms; provisions that have produced unintended consequences or emerging gaps; and recommendations for parliamentary or constitutional action. The Assessment is published to the National Record System and transmitted to both chambers, both executives, and the Supreme Court simultaneously. Parliament must by statute establish the assessment methodology within two years of Phase 4 activation. The Assessment carries no binding force — it is an institutional record of constitutional performance, not a directive to any branch.</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IX — THE NATIONAL RECORD SYSTEM</w:t>
      </w:r>
    </w:p>
    <w:p>
      <w:pPr>
        <w:spacing w:after="60" w:before="60"/>
      </w:pPr>
      <w:r>
        <w:rPr>
          <w:rFonts w:ascii="Arial" w:cs="Arial" w:eastAsia="Arial" w:hAnsi="Arial"/>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9.1 — Core Properties</w:t>
      </w:r>
    </w:p>
    <w:p>
      <w:pPr>
        <w:spacing w:after="60" w:before="60"/>
        <w:ind w:left="720" w:hanging="360"/>
      </w:pPr>
      <w:r>
        <w:rPr>
          <w:rFonts w:ascii="Arial" w:cs="Arial" w:eastAsia="Arial" w:hAnsi="Arial"/>
          <w:b/>
          <w:bCs/>
          <w:color w:val="4A6FA5"/>
          <w:sz w:val="22"/>
          <w:szCs w:val="22"/>
        </w:rPr>
        <w:t xml:space="preserve">9.1.a Immutability: </w:t>
      </w:r>
      <w:r>
        <w:rPr>
          <w:rFonts w:ascii="Arial" w:cs="Arial" w:eastAsia="Arial" w:hAnsi="Arial"/>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ind w:left="720" w:hanging="360"/>
      </w:pPr>
      <w:r>
        <w:rPr>
          <w:rFonts w:ascii="Arial" w:cs="Arial" w:eastAsia="Arial" w:hAnsi="Arial"/>
          <w:b/>
          <w:bCs/>
          <w:color w:val="4A6FA5"/>
          <w:sz w:val="22"/>
          <w:szCs w:val="22"/>
        </w:rPr>
        <w:t xml:space="preserve">9.1.b Distributed Custody: </w:t>
      </w:r>
      <w:r>
        <w:rPr>
          <w:rFonts w:ascii="Arial" w:cs="Arial" w:eastAsia="Arial" w:hAnsi="Arial"/>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ind w:left="720" w:hanging="360"/>
      </w:pPr>
      <w:r>
        <w:rPr>
          <w:rFonts w:ascii="Arial" w:cs="Arial" w:eastAsia="Arial" w:hAnsi="Arial"/>
          <w:b/>
          <w:bCs/>
          <w:color w:val="4A6FA5"/>
          <w:sz w:val="22"/>
          <w:szCs w:val="22"/>
        </w:rPr>
        <w:t xml:space="preserve">9.1.c Public Accessibility: </w:t>
      </w:r>
      <w:r>
        <w:rPr>
          <w:rFonts w:ascii="Arial" w:cs="Arial" w:eastAsia="Arial" w:hAnsi="Arial"/>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w:t>
      </w:r>
    </w:p>
    <w:p>
      <w:pPr>
        <w:spacing w:after="60" w:before="60"/>
        <w:ind w:left="720" w:hanging="360"/>
      </w:pPr>
      <w:r>
        <w:rPr>
          <w:rFonts w:ascii="Arial" w:cs="Arial" w:eastAsia="Arial" w:hAnsi="Arial"/>
          <w:b/>
          <w:bCs/>
          <w:color w:val="4A6FA5"/>
          <w:sz w:val="22"/>
          <w:szCs w:val="22"/>
        </w:rPr>
        <w:t xml:space="preserve">9.1.d Cryptographic Signing: </w:t>
      </w:r>
      <w:r>
        <w:rPr>
          <w:rFonts w:ascii="Arial" w:cs="Arial" w:eastAsia="Arial" w:hAnsi="Arial"/>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ind w:left="720" w:hanging="360"/>
      </w:pPr>
      <w:r>
        <w:rPr>
          <w:rFonts w:ascii="Arial" w:cs="Arial" w:eastAsia="Arial" w:hAnsi="Arial"/>
          <w:b/>
          <w:bCs/>
          <w:color w:val="4A6FA5"/>
          <w:sz w:val="22"/>
          <w:szCs w:val="22"/>
        </w:rPr>
        <w:t xml:space="preserve">9.1.e Technology Neutrality: </w:t>
      </w:r>
      <w:r>
        <w:rPr>
          <w:rFonts w:ascii="Arial" w:cs="Arial" w:eastAsia="Arial" w:hAnsi="Arial"/>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ind w:left="720" w:hanging="360"/>
      </w:pPr>
      <w:r>
        <w:rPr>
          <w:rFonts w:ascii="Arial" w:cs="Arial" w:eastAsia="Arial" w:hAnsi="Arial"/>
          <w:b/>
          <w:bCs/>
          <w:color w:val="4A6FA5"/>
          <w:sz w:val="22"/>
          <w:szCs w:val="22"/>
        </w:rPr>
        <w:t xml:space="preserve">9.1.f Migration Overlap Protocol: </w:t>
      </w:r>
      <w:r>
        <w:rPr>
          <w:rFonts w:ascii="Arial" w:cs="Arial" w:eastAsia="Arial" w:hAnsi="Arial"/>
          <w:color w:val="000000"/>
          <w:sz w:val="22"/>
          <w:szCs w:val="22"/>
        </w:rPr>
        <w:t xml:space="preserve">Technical standard migrations must run old and new systems in parallel with identical entries for a minimum overlap period Parliament defines by statute before the old system is retired. Any divergence during this period must be immediately reported to the Legislative Inspectorate and the migration suspended pending investigation.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9.2 — Node Operators</w:t>
      </w:r>
    </w:p>
    <w:p>
      <w:pPr>
        <w:spacing w:after="60" w:before="60"/>
        <w:ind w:left="720" w:hanging="360"/>
      </w:pPr>
      <w:r>
        <w:rPr>
          <w:rFonts w:ascii="Arial" w:cs="Arial" w:eastAsia="Arial" w:hAnsi="Arial"/>
          <w:b/>
          <w:bCs/>
          <w:color w:val="4A6FA5"/>
          <w:sz w:val="22"/>
          <w:szCs w:val="22"/>
        </w:rPr>
        <w:t xml:space="preserve">9.2 Node Operators: </w:t>
      </w:r>
      <w:r>
        <w:rPr>
          <w:rFonts w:ascii="Arial" w:cs="Arial" w:eastAsia="Arial" w:hAnsi="Arial"/>
          <w:color w:val="000000"/>
          <w:sz w:val="22"/>
          <w:szCs w:val="22"/>
        </w:rPr>
        <w:t xml:space="preserve">Each Inspectorate and each State must operate at least one independent node; Parliament may charter additional operators by statute. Nodes must remain permanently active and are audited annually by the Executive Inspectorate. Parliament must by statute establish a Record System Authority responsible for technical standards, node certification, and operational continuity.</w:t>
      </w:r>
    </w:p>
    <w:p>
      <w:pPr>
        <w:spacing w:after="60" w:before="60"/>
        <w:ind w:left="720" w:hanging="360"/>
      </w:pPr>
      <w:r>
        <w:rPr>
          <w:rFonts w:ascii="Arial" w:cs="Arial" w:eastAsia="Arial" w:hAnsi="Arial"/>
          <w:b/>
          <w:bCs/>
          <w:color w:val="4A6FA5"/>
          <w:sz w:val="22"/>
          <w:szCs w:val="22"/>
        </w:rPr>
        <w:t xml:space="preserve">9.3 RSA Director: </w:t>
      </w:r>
      <w:r>
        <w:rPr>
          <w:rFonts w:ascii="Arial" w:cs="Arial" w:eastAsia="Arial" w:hAnsi="Arial"/>
          <w:color w:val="000000"/>
          <w:sz w:val="22"/>
          <w:szCs w:val="22"/>
        </w:rPr>
        <w:t xml:space="preserve">The RSA Director is nominated by the Prime Minister from a Candidate Register maintained under the same mechanism as §10.4.a — the Executive Inspectorate publishes a factual assessment of each candidate's professional background and relevant expertise to the National Record System before any nomination; re-review applies on the same terms; and the nomination and confirmation record are published permanently.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9.3 — Emergency Mode</w:t>
      </w:r>
    </w:p>
    <w:p>
      <w:pPr>
        <w:spacing w:after="60" w:before="60"/>
      </w:pPr>
      <w:r>
        <w:rPr>
          <w:rFonts w:ascii="Arial" w:cs="Arial" w:eastAsia="Arial" w:hAnsi="Arial"/>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(§2.9). The Record System Authority must publish a public notice of entry and recovery promptly.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9.4 — Classification Framework</w:t>
      </w:r>
    </w:p>
    <w:p>
      <w:pPr>
        <w:spacing w:after="60" w:before="60"/>
      </w:pPr>
      <w:r>
        <w:rPr>
          <w:rFonts w:ascii="Arial" w:cs="Arial" w:eastAsia="Arial" w:hAnsi="Arial"/>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ind w:left="720" w:hanging="360"/>
      </w:pPr>
      <w:r>
        <w:rPr>
          <w:rFonts w:ascii="Arial" w:cs="Arial" w:eastAsia="Arial" w:hAnsi="Arial"/>
          <w:b/>
          <w:bCs/>
          <w:color w:val="4A6FA5"/>
          <w:sz w:val="22"/>
          <w:szCs w:val="22"/>
        </w:rPr>
        <w:t xml:space="preserve">9.4.a Classification Authority: </w:t>
      </w:r>
      <w:r>
        <w:rPr>
          <w:rFonts w:ascii="Arial" w:cs="Arial" w:eastAsia="Arial" w:hAnsi="Arial"/>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Parliament may not independently classify information. Parliament must by statute define the procedures for maintaining confidentiality of classified executive briefings provided for oversight purposes.</w:t>
      </w:r>
    </w:p>
    <w:p>
      <w:pPr>
        <w:spacing w:after="60" w:before="60"/>
        <w:ind w:left="720" w:hanging="360"/>
      </w:pPr>
      <w:r>
        <w:rPr>
          <w:rFonts w:ascii="Arial" w:cs="Arial" w:eastAsia="Arial" w:hAnsi="Arial"/>
          <w:b/>
          <w:bCs/>
          <w:color w:val="4A6FA5"/>
          <w:sz w:val="22"/>
          <w:szCs w:val="22"/>
        </w:rPr>
        <w:t xml:space="preserve">9.4.b Classification Duration: </w:t>
      </w:r>
      <w:r>
        <w:rPr>
          <w:rFonts w:ascii="Arial" w:cs="Arial" w:eastAsia="Arial" w:hAnsi="Arial"/>
          <w:color w:val="000000"/>
          <w:sz w:val="22"/>
          <w:szCs w:val="22"/>
        </w:rPr>
        <w:t xml:space="preserve">Standard classification expires 10 years from creation and must be renewed or it lapses automatically. A classifying authority may extend classification once — for a period Parliament defines by statute, not to exceed 5 years — by filing a written public justification on the National Record System before the original expiry date. No second extension is permitted. Parliament may not authorize extensions beyond 5 years or multiple extensions by statute.</w:t>
      </w:r>
    </w:p>
    <w:p>
      <w:pPr>
        <w:spacing w:after="60" w:before="60"/>
        <w:ind w:left="720" w:hanging="360"/>
      </w:pPr>
      <w:r>
        <w:rPr>
          <w:rFonts w:ascii="Arial" w:cs="Arial" w:eastAsia="Arial" w:hAnsi="Arial"/>
          <w:b/>
          <w:bCs/>
          <w:color w:val="4A6FA5"/>
          <w:sz w:val="22"/>
          <w:szCs w:val="22"/>
        </w:rPr>
        <w:t xml:space="preserve">9.4.c Classification Registry: </w:t>
      </w:r>
      <w:r>
        <w:rPr>
          <w:rFonts w:ascii="Arial" w:cs="Arial" w:eastAsia="Arial" w:hAnsi="Arial"/>
          <w:color w:val="000000"/>
          <w:sz w:val="22"/>
          <w:szCs w:val="22"/>
        </w:rPr>
        <w:t xml:space="preserve">The existence of every classified document must be registered on the National Record System promptly upon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a Rule Violation. Parliament defines registration timelines and format by statute.</w:t>
      </w:r>
    </w:p>
    <w:p>
      <w:pPr>
        <w:spacing w:after="60" w:before="60"/>
        <w:ind w:left="720" w:hanging="360"/>
      </w:pPr>
      <w:r>
        <w:rPr>
          <w:rFonts w:ascii="Arial" w:cs="Arial" w:eastAsia="Arial" w:hAnsi="Arial"/>
          <w:b/>
          <w:bCs/>
          <w:color w:val="4A6FA5"/>
          <w:sz w:val="22"/>
          <w:szCs w:val="22"/>
        </w:rPr>
        <w:t xml:space="preserve">9.4.d Automatic Declassification: </w:t>
      </w:r>
      <w:r>
        <w:rPr>
          <w:rFonts w:ascii="Arial" w:cs="Arial" w:eastAsia="Arial" w:hAnsi="Arial"/>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Parliament must by statute establish the technical mechanisms for timely NRS publication of declassified documents and the Executive Inspectorate's authority to compel publication where the primary mechanism fails.</w:t>
      </w:r>
    </w:p>
    <w:p>
      <w:pPr>
        <w:spacing w:after="60" w:before="60"/>
        <w:ind w:left="720" w:hanging="360"/>
      </w:pPr>
      <w:r>
        <w:rPr>
          <w:rFonts w:ascii="Arial" w:cs="Arial" w:eastAsia="Arial" w:hAnsi="Arial"/>
          <w:b/>
          <w:bCs/>
          <w:color w:val="4A6FA5"/>
          <w:sz w:val="22"/>
          <w:szCs w:val="22"/>
        </w:rPr>
        <w:t xml:space="preserve">9.4.e Improper Classification: </w:t>
      </w:r>
      <w:r>
        <w:rPr>
          <w:rFonts w:ascii="Arial" w:cs="Arial" w:eastAsia="Arial" w:hAnsi="Arial"/>
          <w:color w:val="000000"/>
          <w:sz w:val="22"/>
          <w:szCs w:val="22"/>
        </w:rPr>
        <w:t xml:space="preserve">Classification used to conceal a Rule Violation, illegal order, or policy decision — rather than genuinely sensitive operational material — is improper classification and itself a Rule Violation.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 — PUBLIC FINANCE &amp; ETHICS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10.1 — Basic Needs Support (The Basic Needs Floor)</w:t>
      </w:r>
    </w:p>
    <w:p>
      <w:pPr>
        <w:spacing w:after="60" w:before="60"/>
      </w:pPr>
      <w:r>
        <w:rPr>
          <w:rFonts w:ascii="Arial" w:cs="Arial" w:eastAsia="Arial" w:hAnsi="Arial"/>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Parliament defines by statute the specific percentage,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ind w:left="720" w:hanging="360"/>
      </w:pPr>
      <w:r>
        <w:rPr>
          <w:rFonts w:ascii="Arial" w:cs="Arial" w:eastAsia="Arial" w:hAnsi="Arial"/>
          <w:b/>
          <w:bCs/>
          <w:color w:val="4A6FA5"/>
          <w:sz w:val="22"/>
          <w:szCs w:val="22"/>
        </w:rPr>
        <w:t xml:space="preserve">10.1.a Anti-Evasion Principle: </w:t>
      </w:r>
      <w:r>
        <w:rPr>
          <w:rFonts w:ascii="Arial" w:cs="Arial" w:eastAsia="Arial" w:hAnsi="Arial"/>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w:t>
      </w:r>
    </w:p>
    <w:p>
      <w:pPr>
        <w:spacing w:after="60" w:before="60"/>
      </w:pPr>
      <w:r>
        <w:rPr>
          <w:rFonts w:ascii="Arial" w:cs="Arial" w:eastAsia="Arial" w:hAnsi="Arial"/>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Parliament has 45 days from the date the finding is published to address the band by statute. The 45-day window begins on the NRS publication date and is tolled if Parliament cannot convene due to dissolution or emergency, with a maximum toll of 90 days. If Parliament fails to act within 45 days (or the tolled period), the relevant statute automatically becomes eligible for referendum under Article XI without requiring a citizen petition.</w:t>
      </w:r>
    </w:p>
    <w:p>
      <w:pPr>
        <w:spacing w:after="60" w:before="60"/>
      </w:pPr>
      <w:r>
        <w:rPr>
          <w:rFonts w:ascii="Arial" w:cs="Arial" w:eastAsia="Arial" w:hAnsi="Arial"/>
          <w:color w:val="000000"/>
          <w:sz w:val="22"/>
          <w:szCs w:val="22"/>
        </w:rPr>
        <w:t xml:space="preserve">Parliament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Parliament defines, provided the fund is accessible only during certified Severe Contractions under §10.1.d and any diverted funds are designated BNF reserves that supplement future BNF distributions rather than substitute for them.</w:t>
      </w:r>
    </w:p>
    <w:p>
      <w:pPr>
        <w:spacing w:after="0" w:before="80"/>
      </w:pPr>
      <w:r>
        <w:t xml:space="preserve"/>
      </w:r>
    </w:p>
    <w:p>
      <w:pPr>
        <w:spacing w:after="60" w:before="60"/>
        <w:ind w:left="720" w:hanging="360"/>
      </w:pPr>
      <w:r>
        <w:rPr>
          <w:rFonts w:ascii="Arial" w:cs="Arial" w:eastAsia="Arial" w:hAnsi="Arial"/>
          <w:b/>
          <w:bCs/>
          <w:color w:val="4A6FA5"/>
          <w:sz w:val="22"/>
          <w:szCs w:val="22"/>
        </w:rPr>
        <w:t xml:space="preserve">10.1.d Severe Contraction Protocol — Activation: </w:t>
      </w:r>
      <w:r>
        <w:rPr>
          <w:rFonts w:ascii="Arial" w:cs="Arial" w:eastAsia="Arial" w:hAnsi="Arial"/>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ind w:left="720" w:hanging="360"/>
      </w:pPr>
      <w:r>
        <w:rPr>
          <w:rFonts w:ascii="Arial" w:cs="Arial" w:eastAsia="Arial" w:hAnsi="Arial"/>
          <w:b/>
          <w:bCs/>
          <w:color w:val="4A6FA5"/>
          <w:sz w:val="22"/>
          <w:szCs w:val="22"/>
        </w:rPr>
        <w:t xml:space="preserve">10.1.e Severe Contraction Protocol — Effects: </w:t>
      </w:r>
      <w:r>
        <w:rPr>
          <w:rFonts w:ascii="Arial" w:cs="Arial" w:eastAsia="Arial" w:hAnsi="Arial"/>
          <w:color w:val="000000"/>
          <w:sz w:val="22"/>
          <w:szCs w:val="22"/>
        </w:rPr>
        <w:t xml:space="preserve">During a certified Severe Contraction, the Basic Needs Floor may be proportionally reduced in the same ratio as actual revenue to median revenue over the prior five years — but not eliminated. Parliament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ind w:left="720" w:hanging="360"/>
      </w:pPr>
      <w:r>
        <w:rPr>
          <w:rFonts w:ascii="Arial" w:cs="Arial" w:eastAsia="Arial" w:hAnsi="Arial"/>
          <w:b/>
          <w:bCs/>
          <w:color w:val="4A6FA5"/>
          <w:sz w:val="22"/>
          <w:szCs w:val="22"/>
        </w:rPr>
        <w:t xml:space="preserve">10.1.f Severe Contraction Protocol — Parliamentary Review: </w:t>
      </w:r>
      <w:r>
        <w:rPr>
          <w:rFonts w:ascii="Arial" w:cs="Arial" w:eastAsia="Arial" w:hAnsi="Arial"/>
          <w:color w:val="000000"/>
          <w:sz w:val="22"/>
          <w:szCs w:val="22"/>
        </w:rPr>
        <w:t xml:space="preserve">The Legislative Inspectorate reviews the Severe Contraction certification within 30 days of publication. Parliament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10.2 — Taxation Authority</w:t>
      </w:r>
    </w:p>
    <w:p>
      <w:pPr>
        <w:spacing w:after="60" w:before="60"/>
      </w:pPr>
      <w:r>
        <w:rPr>
          <w:rFonts w:ascii="Arial" w:cs="Arial" w:eastAsia="Arial" w:hAnsi="Arial"/>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pPr>
      <w:r>
        <w:rPr>
          <w:rFonts w:ascii="Arial" w:cs="Arial" w:eastAsia="Arial" w:hAnsi="Arial"/>
          <w:color w:val="000000"/>
          <w:sz w:val="22"/>
          <w:szCs w:val="22"/>
        </w:rPr>
        <w:t xml:space="preserve">Parliament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Parliament to organize, orient, and deliberate without the immediate pressure of the standard deadline. The fiscal year begins on a date fixed by House statute. If Parliament fails to pass a budget before the fiscal year begins, spending automatically continues at the prior year's rate for a period defined by House statute — not to exceed 90 days — during which Parliament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10.3 — Deficit Controls</w:t>
      </w:r>
    </w:p>
    <w:p>
      <w:pPr>
        <w:spacing w:after="60" w:before="60"/>
        <w:ind w:left="720" w:hanging="360"/>
      </w:pPr>
      <w:r>
        <w:rPr>
          <w:rFonts w:ascii="Arial" w:cs="Arial" w:eastAsia="Arial" w:hAnsi="Arial"/>
          <w:b/>
          <w:bCs/>
          <w:color w:val="4A6FA5"/>
          <w:sz w:val="22"/>
          <w:szCs w:val="22"/>
        </w:rPr>
        <w:t xml:space="preserve">10.3.a Inherited Deficit Transition Threshold: </w:t>
      </w:r>
      <w:r>
        <w:rPr>
          <w:rFonts w:ascii="Arial" w:cs="Arial" w:eastAsia="Arial" w:hAnsi="Arial"/>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Parliament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Parliament notice of which threshold governs the forthcoming budget cycle.</w:t>
      </w:r>
    </w:p>
    <w:p>
      <w:pPr>
        <w:spacing w:after="60" w:before="60"/>
      </w:pPr>
      <w:r>
        <w:rPr>
          <w:rFonts w:ascii="Arial" w:cs="Arial" w:eastAsia="Arial" w:hAnsi="Arial"/>
          <w:color w:val="000000"/>
          <w:sz w:val="22"/>
          <w:szCs w:val="22"/>
        </w:rPr>
        <w:t xml:space="preserve">The Republic may not spend beyond projected revenue in any fiscal year without a 3/4 vote of both chambers.</w:t>
      </w:r>
    </w:p>
    <w:p>
      <w:pPr>
        <w:spacing w:after="60" w:before="60"/>
        <w:ind w:left="720" w:hanging="360"/>
      </w:pPr>
      <w:r>
        <w:rPr>
          <w:rFonts w:ascii="Arial" w:cs="Arial" w:eastAsia="Arial" w:hAnsi="Arial"/>
          <w:b/>
          <w:bCs/>
          <w:color w:val="4A6FA5"/>
          <w:sz w:val="22"/>
          <w:szCs w:val="22"/>
        </w:rPr>
        <w:t xml:space="preserve">10.3.b BNF and Contraction Exemptions: </w:t>
      </w:r>
      <w:r>
        <w:rPr>
          <w:rFonts w:ascii="Arial" w:cs="Arial" w:eastAsia="Arial" w:hAnsi="Arial"/>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10.4 — The Monetary Authority</w:t>
      </w:r>
    </w:p>
    <w:p>
      <w:pPr>
        <w:spacing w:after="60" w:before="60"/>
        <w:ind w:left="720" w:hanging="360"/>
      </w:pPr>
      <w:r>
        <w:rPr>
          <w:rFonts w:ascii="Arial" w:cs="Arial" w:eastAsia="Arial" w:hAnsi="Arial"/>
          <w:b/>
          <w:bCs/>
          <w:color w:val="4A6FA5"/>
          <w:sz w:val="22"/>
          <w:szCs w:val="22"/>
        </w:rPr>
        <w:t xml:space="preserve">10.4.a Director and Candidate Register: </w:t>
      </w:r>
      <w:r>
        <w:rPr>
          <w:rFonts w:ascii="Arial" w:cs="Arial" w:eastAsia="Arial" w:hAnsi="Arial"/>
          <w:color w:val="000000"/>
          <w:sz w:val="22"/>
          <w:szCs w:val="22"/>
        </w:rPr>
        <w:t xml:space="preserve">The Prime Minister must maintain a Candidate Register of potential MA Directors. Before any person may be nominated, the Executive Inspectorate publishes a factual assessment of that person's professional background and relevant expertise to the National Record System — this assessment is informational, not a determination of qualification or disqualification. Any person reviewed under a previous Prime Minister must be re-reviewed if the prior assessment is older than a period Parliament defines by statute. The nominee is confirmed by the Senate by a supermajority Parliament defines by statute, and serves a single non-renewable 7-year term. The Director may not hold any other government position during or within a period Parliament defines by statute after their term. The nomination, EI assessment, and confirmation record are published to the NRS permanently.</w:t>
      </w:r>
    </w:p>
    <w:p>
      <w:pPr>
        <w:spacing w:after="60" w:before="60"/>
        <w:ind w:left="720" w:hanging="360"/>
      </w:pPr>
      <w:r>
        <w:rPr>
          <w:rFonts w:ascii="Arial" w:cs="Arial" w:eastAsia="Arial" w:hAnsi="Arial"/>
          <w:b/>
          <w:bCs/>
          <w:color w:val="4A6FA5"/>
          <w:sz w:val="22"/>
          <w:szCs w:val="22"/>
        </w:rPr>
        <w:t xml:space="preserve">10.4.b Independence: </w:t>
      </w:r>
      <w:r>
        <w:rPr>
          <w:rFonts w:ascii="Arial" w:cs="Arial" w:eastAsia="Arial" w:hAnsi="Arial"/>
          <w:color w:val="000000"/>
          <w:sz w:val="22"/>
          <w:szCs w:val="22"/>
        </w:rPr>
        <w:t xml:space="preserve">The Monetary Authority may not be directed, overruled, or pressured by either executive or by Parliament. Its mandate is price stability and fiscal solvency. Removal of the Director requires a 2/3 vote of both chambers and a documented finding of dereliction by the Executive Inspectorate.</w:t>
      </w:r>
    </w:p>
    <w:p>
      <w:pPr>
        <w:spacing w:after="60" w:before="60"/>
        <w:ind w:left="720" w:hanging="360"/>
      </w:pPr>
      <w:r>
        <w:rPr>
          <w:rFonts w:ascii="Arial" w:cs="Arial" w:eastAsia="Arial" w:hAnsi="Arial"/>
          <w:b/>
          <w:bCs/>
          <w:color w:val="4A6FA5"/>
          <w:sz w:val="22"/>
          <w:szCs w:val="22"/>
        </w:rPr>
        <w:t xml:space="preserve">10.4.c Transparency: </w:t>
      </w:r>
      <w:r>
        <w:rPr>
          <w:rFonts w:ascii="Arial" w:cs="Arial" w:eastAsia="Arial" w:hAnsi="Arial"/>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ind w:left="720" w:hanging="360"/>
      </w:pPr>
      <w:r>
        <w:rPr>
          <w:rFonts w:ascii="Arial" w:cs="Arial" w:eastAsia="Arial" w:hAnsi="Arial"/>
          <w:b/>
          <w:bCs/>
          <w:color w:val="4A6FA5"/>
          <w:sz w:val="22"/>
          <w:szCs w:val="22"/>
        </w:rPr>
        <w:t xml:space="preserve">10.4.d Methodology Integrity: </w:t>
      </w:r>
      <w:r>
        <w:rPr>
          <w:rFonts w:ascii="Arial" w:cs="Arial" w:eastAsia="Arial" w:hAnsi="Arial"/>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Parliament may by statute adopt or update the national income accounting standard the MA applies, provided the same standard is applied to all constitutional formula calculations simultaneously. Parliament may not define separate or modified gross national revenue calculations for any subset of constitutional formula provisions. A statutory definition of gross national revenue that diverges from the unified standard for any constitutional formula calculation is void.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ind w:left="720" w:hanging="360"/>
      </w:pPr>
      <w:r>
        <w:rPr>
          <w:rFonts w:ascii="Arial" w:cs="Arial" w:eastAsia="Arial" w:hAnsi="Arial"/>
          <w:b/>
          <w:bCs/>
          <w:color w:val="4A6FA5"/>
          <w:sz w:val="22"/>
          <w:szCs w:val="22"/>
        </w:rPr>
        <w:t xml:space="preserve">10.4.e Uncertifiable Inherited Fiscal Position: </w:t>
      </w:r>
      <w:r>
        <w:rPr>
          <w:rFonts w:ascii="Arial" w:cs="Arial" w:eastAsia="Arial" w:hAnsi="Arial"/>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predecessor government falsification of fiscal records, the first MA Director operates from a zero baseline pending a comprehensive fiscal assessment Parliament must mandate by statute within the first two budget cycles. The Basic Needs Floor activates immediately at the constitutional minimum under §10.1. Parliament may not use a zero baseline certification to defer deficit control obligations beyond the first comprehensive assessment.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10.5 — Official Ethics Provisions</w:t>
      </w:r>
    </w:p>
    <w:p>
      <w:pPr>
        <w:spacing w:after="60" w:before="60"/>
        <w:ind w:left="720" w:hanging="360"/>
      </w:pPr>
      <w:r>
        <w:rPr>
          <w:rFonts w:ascii="Arial" w:cs="Arial" w:eastAsia="Arial" w:hAnsi="Arial"/>
          <w:b/>
          <w:bCs/>
          <w:color w:val="4A6FA5"/>
          <w:sz w:val="22"/>
          <w:szCs w:val="22"/>
        </w:rPr>
        <w:t xml:space="preserve">10.5.a Official Benefits: </w:t>
      </w:r>
      <w:r>
        <w:rPr>
          <w:rFonts w:ascii="Arial" w:cs="Arial" w:eastAsia="Arial" w:hAnsi="Arial"/>
          <w:color w:val="000000"/>
          <w:sz w:val="22"/>
          <w:szCs w:val="22"/>
        </w:rPr>
        <w:t xml:space="preserve">The Republic provides standardized housing for officials in session — no luxury stipends. All officials use the same healthcare, retirement, and public infrastructure as the citizens they serve. Compensation is defined by House statute under §10.6.</w:t>
      </w:r>
    </w:p>
    <w:p>
      <w:pPr>
        <w:spacing w:after="60" w:before="60"/>
        <w:ind w:left="720" w:hanging="360"/>
      </w:pPr>
      <w:r>
        <w:rPr>
          <w:rFonts w:ascii="Arial" w:cs="Arial" w:eastAsia="Arial" w:hAnsi="Arial"/>
          <w:b/>
          <w:bCs/>
          <w:color w:val="4A6FA5"/>
          <w:sz w:val="22"/>
          <w:szCs w:val="22"/>
        </w:rPr>
        <w:t xml:space="preserve">10.5.c Integrity Bans: </w:t>
      </w:r>
      <w:r>
        <w:rPr>
          <w:rFonts w:ascii="Arial" w:cs="Arial" w:eastAsia="Arial" w:hAnsi="Arial"/>
          <w:color w:val="000000"/>
          <w:sz w:val="22"/>
          <w:szCs w:val="22"/>
        </w:rPr>
        <w:t xml:space="preserve">Officials are subject to a post-service lobbying ban Parliament defines by statute. Violation triggers permanent forfeiture of all public pensions and benefits.</w:t>
      </w:r>
    </w:p>
    <w:p>
      <w:pPr>
        <w:spacing w:after="60" w:before="60"/>
        <w:ind w:left="720" w:hanging="360"/>
      </w:pPr>
      <w:r>
        <w:rPr>
          <w:rFonts w:ascii="Arial" w:cs="Arial" w:eastAsia="Arial" w:hAnsi="Arial"/>
          <w:b/>
          <w:bCs/>
          <w:color w:val="4A6FA5"/>
          <w:sz w:val="22"/>
          <w:szCs w:val="22"/>
        </w:rPr>
        <w:t xml:space="preserve">10.5.d Anti-Ego Provision: </w:t>
      </w:r>
      <w:r>
        <w:rPr>
          <w:rFonts w:ascii="Arial" w:cs="Arial" w:eastAsia="Arial" w:hAnsi="Arial"/>
          <w:color w:val="000000"/>
          <w:sz w:val="22"/>
          <w:szCs w:val="22"/>
        </w:rPr>
        <w:t xml:space="preserve">No public works, buildings, programs, or infrastructure may be named after any living official or any person who held public office within a recent period defined by House statute. Exception: officials who die in service to the Republic may be honored by a 2/3 vote of both chambers.</w:t>
      </w:r>
    </w:p>
    <w:p>
      <w:pPr>
        <w:spacing w:after="60" w:before="60"/>
        <w:ind w:left="720" w:hanging="360"/>
      </w:pPr>
      <w:r>
        <w:rPr>
          <w:rFonts w:ascii="Arial" w:cs="Arial" w:eastAsia="Arial" w:hAnsi="Arial"/>
          <w:b/>
          <w:bCs/>
          <w:color w:val="4A6FA5"/>
          <w:sz w:val="22"/>
          <w:szCs w:val="22"/>
        </w:rPr>
        <w:t xml:space="preserve">10.5.e Official Records Belong to the Republic: </w:t>
      </w:r>
      <w:r>
        <w:rPr>
          <w:rFonts w:ascii="Arial" w:cs="Arial" w:eastAsia="Arial" w:hAnsi="Arial"/>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commits a Rule Violation; recoverable records are subject to forfeiture to the Republic regardless of where they are found.</w:t>
      </w:r>
    </w:p>
    <w:p>
      <w:pPr>
        <w:spacing w:after="60" w:before="60"/>
        <w:ind w:left="720" w:hanging="360"/>
      </w:pPr>
      <w:r>
        <w:rPr>
          <w:rFonts w:ascii="Arial" w:cs="Arial" w:eastAsia="Arial" w:hAnsi="Arial"/>
          <w:b/>
          <w:bCs/>
          <w:color w:val="4A6FA5"/>
          <w:sz w:val="22"/>
          <w:szCs w:val="22"/>
        </w:rPr>
        <w:t xml:space="preserve">10.5.f Official Gifts: </w:t>
      </w:r>
      <w:r>
        <w:rPr>
          <w:rFonts w:ascii="Arial" w:cs="Arial" w:eastAsia="Arial" w:hAnsi="Arial"/>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a Rule Violation.</w:t>
      </w:r>
    </w:p>
    <w:p>
      <w:pPr>
        <w:spacing w:after="60" w:before="60"/>
        <w:ind w:left="720" w:hanging="360"/>
      </w:pPr>
      <w:r>
        <w:rPr>
          <w:rFonts w:ascii="Arial" w:cs="Arial" w:eastAsia="Arial" w:hAnsi="Arial"/>
          <w:b/>
          <w:bCs/>
          <w:color w:val="4A6FA5"/>
          <w:sz w:val="22"/>
          <w:szCs w:val="22"/>
        </w:rPr>
        <w:t xml:space="preserve">10.5.g Official Intellectual Property: </w:t>
      </w:r>
      <w:r>
        <w:rPr>
          <w:rFonts w:ascii="Arial" w:cs="Arial" w:eastAsia="Arial" w:hAnsi="Arial"/>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commits a Rule Violation.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10.5.h Oath of Office Requirement: </w:t>
      </w:r>
      <w:r>
        <w:rPr>
          <w:rFonts w:ascii="Arial" w:cs="Arial" w:eastAsia="Arial" w:hAnsi="Arial"/>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commits a Rule Violation for each act taken without oath. The constitutional oaths are: the Official Oath, taken by all elected and appointed federal officials; the Military Oath, taken by all persons entering military service; and the Naturalization Pledge, taken by all persons earning citizenship. The text of these oaths is established by Parliament by statute and must be consistent with the obligations of each office as defined by this Constitution. Parliament establishes by statute the oath or affirmation for civil servants and inferior court judges.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10.6 — Citizen Duties</w:t>
      </w:r>
    </w:p>
    <w:p>
      <w:pPr>
        <w:spacing w:after="60" w:before="60"/>
        <w:ind w:left="720" w:hanging="360"/>
      </w:pPr>
      <w:r>
        <w:rPr>
          <w:rFonts w:ascii="Arial" w:cs="Arial" w:eastAsia="Arial" w:hAnsi="Arial"/>
          <w:b/>
          <w:bCs/>
          <w:color w:val="4A6FA5"/>
          <w:sz w:val="22"/>
          <w:szCs w:val="22"/>
        </w:rPr>
        <w:t xml:space="preserve">10.6.a Jury Duty: </w:t>
      </w:r>
      <w:r>
        <w:rPr>
          <w:rFonts w:ascii="Arial" w:cs="Arial" w:eastAsia="Arial" w:hAnsi="Arial"/>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ind w:left="720" w:hanging="360"/>
      </w:pPr>
      <w:r>
        <w:rPr>
          <w:rFonts w:ascii="Arial" w:cs="Arial" w:eastAsia="Arial" w:hAnsi="Arial"/>
          <w:b/>
          <w:bCs/>
          <w:color w:val="4A6FA5"/>
          <w:sz w:val="22"/>
          <w:szCs w:val="22"/>
        </w:rPr>
        <w:t xml:space="preserve">10.6.b Defense Readiness and Veterans Obligations: </w:t>
      </w:r>
      <w:r>
        <w:rPr>
          <w:rFonts w:ascii="Arial" w:cs="Arial" w:eastAsia="Arial" w:hAnsi="Arial"/>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Parliament must by statute define veterans' benefits, healthcare access, disability compensation, and transition support. Pre-constitutional veterans obligations and the transition of predecessor government veterans programs into the Republic's framework are governed by §19.6.d.</w:t>
      </w:r>
    </w:p>
    <w:p>
      <w:pPr>
        <w:pStyle w:val="Heading2"/>
        <w:spacing w:after="80" w:before="200"/>
      </w:pPr>
      <w:r>
        <w:rPr>
          <w:rFonts w:ascii="Arial" w:cs="Arial" w:eastAsia="Arial" w:hAnsi="Arial"/>
          <w:b/>
          <w:bCs/>
          <w:color w:val="4A6FA5"/>
          <w:sz w:val="24"/>
          <w:szCs w:val="24"/>
        </w:rPr>
        <w:t xml:space="preserve">Section 10.7 — Compensation of Public Officials</w:t>
      </w:r>
    </w:p>
    <w:p>
      <w:pPr>
        <w:spacing w:after="60" w:before="60"/>
      </w:pPr>
      <w:r>
        <w:rPr>
          <w:rFonts w:ascii="Arial" w:cs="Arial" w:eastAsia="Arial" w:hAnsi="Arial"/>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 — DIRECT DEMOCRACY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11.1 — The Optional Referendum</w:t>
      </w:r>
    </w:p>
    <w:p>
      <w:pPr>
        <w:spacing w:after="60" w:before="60"/>
        <w:ind w:left="720" w:hanging="360"/>
      </w:pPr>
      <w:r>
        <w:rPr>
          <w:rFonts w:ascii="Arial" w:cs="Arial" w:eastAsia="Arial" w:hAnsi="Arial"/>
          <w:b/>
          <w:bCs/>
          <w:color w:val="4A6FA5"/>
          <w:sz w:val="22"/>
          <w:szCs w:val="22"/>
        </w:rPr>
        <w:t xml:space="preserve">11.1.a Citizen Petition Right: </w:t>
      </w:r>
      <w:r>
        <w:rPr>
          <w:rFonts w:ascii="Arial" w:cs="Arial" w:eastAsia="Arial" w:hAnsi="Arial"/>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ind w:left="720" w:hanging="360"/>
      </w:pPr>
      <w:r>
        <w:rPr>
          <w:rFonts w:ascii="Arial" w:cs="Arial" w:eastAsia="Arial" w:hAnsi="Arial"/>
          <w:b/>
          <w:bCs/>
          <w:color w:val="4A6FA5"/>
          <w:sz w:val="22"/>
          <w:szCs w:val="22"/>
        </w:rPr>
        <w:t xml:space="preserve">11.1.b Eligibility Screen: </w:t>
      </w:r>
      <w:r>
        <w:rPr>
          <w:rFonts w:ascii="Arial" w:cs="Arial" w:eastAsia="Arial" w:hAnsi="Arial"/>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11.2 — Subsidiarity and Local Government</w:t>
      </w:r>
    </w:p>
    <w:p>
      <w:pPr>
        <w:spacing w:after="60" w:before="60"/>
        <w:ind w:left="720" w:hanging="360"/>
      </w:pPr>
      <w:r>
        <w:rPr>
          <w:rFonts w:ascii="Arial" w:cs="Arial" w:eastAsia="Arial" w:hAnsi="Arial"/>
          <w:b/>
          <w:bCs/>
          <w:color w:val="4A6FA5"/>
          <w:sz w:val="22"/>
          <w:szCs w:val="22"/>
        </w:rPr>
        <w:t xml:space="preserve">11.1.c Referendum Thresholds and Finality: </w:t>
      </w:r>
      <w:r>
        <w:rPr>
          <w:rFonts w:ascii="Arial" w:cs="Arial" w:eastAsia="Arial" w:hAnsi="Arial"/>
          <w:color w:val="000000"/>
          <w:sz w:val="22"/>
          <w:szCs w:val="22"/>
        </w:rPr>
        <w:t xml:space="preserve">A referendum requires 50% participation to be valid. A 55% affirmative vote overturns the law. A referendum result is final — Parliament may not overturn it. The same law may not face a referendum within two years of a previous result on that law.</w:t>
      </w:r>
    </w:p>
    <w:p>
      <w:pPr>
        <w:spacing w:after="60" w:before="60"/>
        <w:ind w:left="720" w:hanging="360"/>
      </w:pPr>
      <w:r>
        <w:rPr>
          <w:rFonts w:ascii="Arial" w:cs="Arial" w:eastAsia="Arial" w:hAnsi="Arial"/>
          <w:b/>
          <w:bCs/>
          <w:color w:val="4A6FA5"/>
          <w:sz w:val="22"/>
          <w:szCs w:val="22"/>
        </w:rPr>
        <w:t xml:space="preserve">11.2.a Subsidiarity Principle: </w:t>
      </w:r>
      <w:r>
        <w:rPr>
          <w:rFonts w:ascii="Arial" w:cs="Arial" w:eastAsia="Arial" w:hAnsi="Arial"/>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ind w:left="720" w:hanging="360"/>
      </w:pPr>
      <w:r>
        <w:rPr>
          <w:rFonts w:ascii="Arial" w:cs="Arial" w:eastAsia="Arial" w:hAnsi="Arial"/>
          <w:b/>
          <w:bCs/>
          <w:color w:val="4A6FA5"/>
          <w:sz w:val="22"/>
          <w:szCs w:val="22"/>
        </w:rPr>
        <w:t xml:space="preserve">11.2.b Local Government: </w:t>
      </w:r>
      <w:r>
        <w:rPr>
          <w:rFonts w:ascii="Arial" w:cs="Arial" w:eastAsia="Arial" w:hAnsi="Arial"/>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 — NATIONAL DEFENSE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12.1 — Authorized Purposes for Military Force</w:t>
      </w:r>
    </w:p>
    <w:p>
      <w:pPr>
        <w:spacing w:after="60" w:before="60"/>
      </w:pPr>
      <w:r>
        <w:rPr>
          <w:rFonts w:ascii="Arial" w:cs="Arial" w:eastAsia="Arial" w:hAnsi="Arial"/>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pPr>
      <w:r>
        <w:rPr>
          <w:rFonts w:ascii="Arial" w:cs="Arial" w:eastAsia="Arial" w:hAnsi="Arial"/>
          <w:color w:val="000000"/>
          <w:sz w:val="22"/>
          <w:szCs w:val="22"/>
        </w:rPr>
        <w:t xml:space="preserve">The three authorized purposes describe the scope of what Parliament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Parliamentary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12.2 — Military Authorization Tiers</w:t>
      </w:r>
    </w:p>
    <w:p>
      <w:pPr>
        <w:spacing w:after="60" w:before="60"/>
      </w:pPr>
      <w:r>
        <w:rPr>
          <w:rFonts w:ascii="Arial" w:cs="Arial" w:eastAsia="Arial" w:hAnsi="Arial"/>
          <w:color w:val="000000"/>
          <w:sz w:val="22"/>
          <w:szCs w:val="22"/>
        </w:rPr>
        <w:t xml:space="preserve">All military operations are authorized under one of three tiers as defined in §2.1.a through §2.1.c. This section governs the Parliamentary Declaration of Defense — Tier 3, the highest level of military authorization, requiring a 2/3 majority of both chambers and used for operations extending beyond 30 days — and its duration, renewal, and limitations.</w:t>
      </w:r>
    </w:p>
    <w:p>
      <w:pPr>
        <w:spacing w:after="60" w:before="60"/>
        <w:ind w:left="720" w:hanging="360"/>
      </w:pPr>
      <w:r>
        <w:rPr>
          <w:rFonts w:ascii="Arial" w:cs="Arial" w:eastAsia="Arial" w:hAnsi="Arial"/>
          <w:b/>
          <w:bCs/>
          <w:color w:val="4A6FA5"/>
          <w:sz w:val="22"/>
          <w:szCs w:val="22"/>
        </w:rPr>
        <w:t xml:space="preserve">12.2.a Parliamentary Declaration of Defense: </w:t>
      </w:r>
      <w:r>
        <w:rPr>
          <w:rFonts w:ascii="Arial" w:cs="Arial" w:eastAsia="Arial" w:hAnsi="Arial"/>
          <w:color w:val="000000"/>
          <w:sz w:val="22"/>
          <w:szCs w:val="22"/>
        </w:rPr>
        <w:t xml:space="preserve">A Parliamentary Declaration of Defense — passed by a 2/3 concurrent majority of both chambers — authorizes extended military operations and triggers the Emergency Defense Allocation. The Declaration must be re-voted every 180 days. Failure to re-authorize automatically terminates the operation and the allocation. The Declaration may not be used to authorize domestic emergency powers not directly connected to the external military operation it covers.</w:t>
      </w:r>
    </w:p>
    <w:p>
      <w:pPr>
        <w:spacing w:after="60" w:before="60"/>
        <w:ind w:left="720" w:hanging="360"/>
      </w:pPr>
      <w:r>
        <w:rPr>
          <w:rFonts w:ascii="Arial" w:cs="Arial" w:eastAsia="Arial" w:hAnsi="Arial"/>
          <w:b/>
          <w:bCs/>
          <w:color w:val="4A6FA5"/>
          <w:sz w:val="22"/>
          <w:szCs w:val="22"/>
        </w:rPr>
        <w:t xml:space="preserve">12.2.b Five-Year Maximum: </w:t>
      </w:r>
      <w:r>
        <w:rPr>
          <w:rFonts w:ascii="Arial" w:cs="Arial" w:eastAsia="Arial" w:hAnsi="Arial"/>
          <w:color w:val="000000"/>
          <w:sz w:val="22"/>
          <w:szCs w:val="22"/>
        </w:rPr>
        <w:t xml:space="preserve">A Parliamentary Declaration of Defense may be renewed for a maximum of 10 consecutive 180-day periods — five years total — without a mandatory cessation. After five years of continuous Declaration, a 90-day full cessation is required before a new Declaration may be issued. During cessation, all emergency powers revert to normal constitutional operation. Tier 1 defensive authority remains available during cessation if a genuine immediate threat arises.</w:t>
      </w:r>
    </w:p>
    <w:p>
      <w:pPr>
        <w:spacing w:after="60" w:before="60"/>
        <w:ind w:left="720" w:hanging="360"/>
      </w:pPr>
      <w:r>
        <w:rPr>
          <w:rFonts w:ascii="Arial" w:cs="Arial" w:eastAsia="Arial" w:hAnsi="Arial"/>
          <w:b/>
          <w:bCs/>
          <w:color w:val="4A6FA5"/>
          <w:sz w:val="22"/>
          <w:szCs w:val="22"/>
        </w:rPr>
        <w:t xml:space="preserve">12.2.c Successive Declaration Standard: </w:t>
      </w:r>
      <w:r>
        <w:rPr>
          <w:rFonts w:ascii="Arial" w:cs="Arial" w:eastAsia="Arial" w:hAnsi="Arial"/>
          <w:color w:val="000000"/>
          <w:sz w:val="22"/>
          <w:szCs w:val="22"/>
        </w:rPr>
        <w:t xml:space="preserve">A new Parliamentary Declaration of Defense issued within 12 months of a mandatory cessation must be based on a materially different threat from that which justified the prior Declaration — meaning a distinct adversary, a different geographic theater, or a qualitatively different form of attack, not a resumption of the same conflict under a different pretext. The Legislative Inspectorate reviews any such Declaration within 15 days of passage and publishes a factual finding on whether the stated threat meets this standard. A finding that the threat does not meet the standard is published to the NRS and transmitted to the Inspectorate Oversight Committee; Parliament may initiate proceedings within 60 days. This provision does not prevent genuine re-declarations where circumstances have materially changed.</w:t>
      </w:r>
    </w:p>
    <w:p>
      <w:pPr>
        <w:spacing w:after="60" w:before="60"/>
        <w:ind w:left="720" w:hanging="360"/>
      </w:pPr>
      <w:r>
        <w:rPr>
          <w:rFonts w:ascii="Arial" w:cs="Arial" w:eastAsia="Arial" w:hAnsi="Arial"/>
          <w:b/>
          <w:bCs/>
          <w:color w:val="4A6FA5"/>
          <w:sz w:val="22"/>
          <w:szCs w:val="22"/>
        </w:rPr>
        <w:t xml:space="preserve">12.2.d Senate Armed Services Committee: </w:t>
      </w:r>
      <w:r>
        <w:rPr>
          <w:rFonts w:ascii="Arial" w:cs="Arial" w:eastAsia="Arial" w:hAnsi="Arial"/>
          <w:color w:val="000000"/>
          <w:sz w:val="22"/>
          <w:szCs w:val="22"/>
        </w:rPr>
        <w:t xml:space="preserve">The Senate Armed Services Committee exercises the Tier 2 military authorization function of §2.1.b. Its composition and procedures are defined by Senate statute, subject to the following constitutional minimums: the Committee must include both majority and minority Senate representation; its composition may not be altered during any active Tier 2 or Tier 3 military authorization period; and it must be capable of convening within 48 hours at any time. Committee members hold their positions for the duration of their Senate terms. Authorization decisions are published to the National Record System within 24 hours of the vote. Where the Senate Speaker or other constitutional successor assumes presidential defense functions under §2.7.a, the Senate Armed Services Committee may review but may not unilaterally pause, modify, or terminate ongoing operations already authorized by a Parliamentary Declaration without a new Senate vote meeting the threshold that authorized the original Declaration. This provision protects the operational continuity of constitutionally authorized military commitments during presidential succession events. Where two or more persons simultaneously claim presidential authority and the Supreme Court has issued a ruling identifying the constitutional President, all military commands must recognize the Court-identified President as the lawful Commander-in-Chief within 6 hours of the ruling's publication to the National Record System. Failure to transfer military command recognition within 6 hours of a Supreme Court ruling on presidential succession constitutes insubordination under military law and a Rule Violation for any commissioned officer who issues or follows orders from the non-Court-identified claimant after that 6-hour period.</w:t>
      </w:r>
    </w:p>
    <w:p>
      <w:pPr>
        <w:spacing w:after="60" w:before="60"/>
        <w:ind w:left="720" w:hanging="360"/>
      </w:pPr>
      <w:r>
        <w:rPr>
          <w:rFonts w:ascii="Arial" w:cs="Arial" w:eastAsia="Arial" w:hAnsi="Arial"/>
          <w:b/>
          <w:bCs/>
          <w:color w:val="4A6FA5"/>
          <w:sz w:val="22"/>
          <w:szCs w:val="22"/>
        </w:rPr>
        <w:t xml:space="preserve">12.2.e Military Authority During Presidential Succession Vacuum: </w:t>
      </w:r>
      <w:r>
        <w:rPr>
          <w:rFonts w:ascii="Arial" w:cs="Arial" w:eastAsia="Arial" w:hAnsi="Arial"/>
          <w:color w:val="000000"/>
          <w:sz w:val="22"/>
          <w:szCs w:val="22"/>
        </w:rPr>
        <w:t xml:space="preserve">Where the presidential succession line under §2.7.a is fully exhausted and no living constitutional officer has presidential authority, the Chairman of the Joint Chiefs of Staff is constitutionally authorized to maintain existing defensive military operations and the defensive posture of Republic forces for a period not exceeding 14 days. During this period, the Chairman may not initiate offensive operations, commit forces to new theaters, or conduct foreign diplomatic communications constituting treaty obligations. All actions taken under this provision are published to the National Record System as they occur and are subject to full congressional review upon reconstitution of civilian authority. This authority terminates immediately and automatically upon any constitutional successor assuming presidential authority under §2.7.a or by expedited §2.9 Senate emergency resolution.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12.3 — Intelligence Firewall</w:t>
      </w:r>
    </w:p>
    <w:p>
      <w:pPr>
        <w:spacing w:after="60" w:before="60"/>
      </w:pPr>
      <w:r>
        <w:rPr>
          <w:rFonts w:ascii="Arial" w:cs="Arial" w:eastAsia="Arial" w:hAnsi="Arial"/>
          <w:color w:val="000000"/>
          <w:sz w:val="22"/>
          <w:szCs w:val="22"/>
        </w:rPr>
        <w:t xml:space="preserve">All domestic intelligence operations against Republic citizens are permanently prohibited. Any such order may trigger Rule Violation proceedings against the President and Director of Intelligence under §2.8, triggering immediate suspension and a Senate trial within a period Parliament defines by statute, not to exceed 7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12.4 — Post-Conflict Obligations</w:t>
      </w:r>
    </w:p>
    <w:p>
      <w:pPr>
        <w:spacing w:after="60" w:before="60"/>
      </w:pPr>
      <w:r>
        <w:rPr>
          <w:rFonts w:ascii="Arial" w:cs="Arial" w:eastAsia="Arial" w:hAnsi="Arial"/>
          <w:color w:val="000000"/>
          <w:sz w:val="22"/>
          <w:szCs w:val="22"/>
        </w:rPr>
        <w:t xml:space="preserve">Before any extended military engagement concludes, the Senate must approve a Transition Plan outlining the path to disengagement, including a sunset clause. Forever Occupations — deployments lasting more than 10 years without a Senate-approved renewal — are unconstitutional and must be terminated within 90 days of that threshold. Occupied Inhabitants may apply for Territory status under Article XIII.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12.5 — Treaty-Triggered Military Obligations</w:t>
      </w:r>
    </w:p>
    <w:p>
      <w:pPr>
        <w:spacing w:after="60" w:before="60"/>
      </w:pPr>
      <w:r>
        <w:rPr>
          <w:rFonts w:ascii="Arial" w:cs="Arial" w:eastAsia="Arial" w:hAnsi="Arial"/>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which must be fulfilled through constitutional means.</w:t>
      </w:r>
    </w:p>
    <w:p>
      <w:pPr>
        <w:spacing w:after="60" w:before="60"/>
        <w:ind w:left="720" w:hanging="360"/>
      </w:pPr>
      <w:r>
        <w:rPr>
          <w:rFonts w:ascii="Arial" w:cs="Arial" w:eastAsia="Arial" w:hAnsi="Arial"/>
          <w:b/>
          <w:bCs/>
          <w:color w:val="4A6FA5"/>
          <w:sz w:val="22"/>
          <w:szCs w:val="22"/>
        </w:rPr>
        <w:t xml:space="preserve">12.5.a Treaty Emergency Certification: </w:t>
      </w:r>
      <w:r>
        <w:rPr>
          <w:rFonts w:ascii="Arial" w:cs="Arial" w:eastAsia="Arial" w:hAnsi="Arial"/>
          <w:color w:val="000000"/>
          <w:sz w:val="22"/>
          <w:szCs w:val="22"/>
        </w:rPr>
        <w:t xml:space="preserve">When a ratified mutual defense treaty is triggered, the Prime Minister may issue a Treaty Emergency Certification of funds for treaty-obligated military operations, valid for 30 days, without prior parliamentary appropriation. This is available only where: a ratified mutual defense treaty is triggered; the President has invoked at least Tier 1 authority; and Parliament is being convened for an emergency session. The PM must notify both chambers in writing within 12 hours of issuing the Certification. Within 14 days of issuance, the Legislative and Executive Inspectorates jointly review and publish a factual finding on whether the triggering incident is an attack on a treaty ally under the terms of the treaty. This finding is advisory and does not invalidate the Certification, but is published before Parliament votes on ratification so Parliament acts with full public information.</w:t>
      </w:r>
    </w:p>
    <w:p>
      <w:pPr>
        <w:spacing w:after="60" w:before="60"/>
        <w:ind w:left="720" w:hanging="360"/>
      </w:pPr>
      <w:r>
        <w:rPr>
          <w:rFonts w:ascii="Arial" w:cs="Arial" w:eastAsia="Arial" w:hAnsi="Arial"/>
          <w:b/>
          <w:bCs/>
          <w:color w:val="4A6FA5"/>
          <w:sz w:val="22"/>
          <w:szCs w:val="22"/>
        </w:rPr>
        <w:t xml:space="preserve">12.5.b Parliamentary Ratification: </w:t>
      </w:r>
      <w:r>
        <w:rPr>
          <w:rFonts w:ascii="Arial" w:cs="Arial" w:eastAsia="Arial" w:hAnsi="Arial"/>
          <w:color w:val="000000"/>
          <w:sz w:val="22"/>
          <w:szCs w:val="22"/>
        </w:rPr>
        <w:t xml:space="preserve">Parliament must ratify the Treaty Emergency Certification by a simple majority of both chambers within 30 days of its issuance, or the Certification expires. Parliament may not vote on ratification until the LI/EI joint review under §12.5.a has been published OR 14 days have elapsed since issuance without publication — whichever comes first. If Parliament wishes to ratify before the 14-day review period has elapsed or before the review is published, it may do so only by a 3/4 majority of both chambers, acknowledging that it is acting without the benefit of the advisory review. Ratification of the Certification does not constitute a Parliamentary Declaration of Defense; a separate Declaration is required if operations extend beyond 30 days under Tier 3. Every ratification resolution — whether Parliament agrees with or acts over the LI/EI advisory finding — must include a brief statement of Parliament's interpretation of the treaty provision that was triggered, specifying which acts or events Parliament found to constitute the defined triggering threshold under §3.2.e. This statement is published to the National Record System and transmitted to the treaty partner through diplomatic channels. It is the Republic's official treaty interpretation for this instance, does not amend the treaty's general terms, and serves as precedent for future triggering assessments under the same treaty.</w:t>
      </w:r>
    </w:p>
    <w:p>
      <w:pPr>
        <w:spacing w:after="60" w:before="60"/>
        <w:ind w:left="720" w:hanging="360"/>
      </w:pPr>
      <w:r>
        <w:rPr>
          <w:rFonts w:ascii="Arial" w:cs="Arial" w:eastAsia="Arial" w:hAnsi="Arial"/>
          <w:b/>
          <w:bCs/>
          <w:color w:val="4A6FA5"/>
          <w:sz w:val="22"/>
          <w:szCs w:val="22"/>
        </w:rPr>
        <w:t xml:space="preserve">12.5.c No Blank Check: </w:t>
      </w:r>
      <w:r>
        <w:rPr>
          <w:rFonts w:ascii="Arial" w:cs="Arial" w:eastAsia="Arial" w:hAnsi="Arial"/>
          <w:color w:val="000000"/>
          <w:sz w:val="22"/>
          <w:szCs w:val="22"/>
        </w:rPr>
        <w:t xml:space="preserve">The Treaty Emergency Certification covers operational costs for the initial response period only. It may not be used to fund force structure changes, new weapons systems acquisition, or operations not directly connected to the specific treaty obligation that triggered it. The Executive Inspectorate audits all Treaty Emergency Certification expenditures and publishes findings within 60 days of the Certification's expiration or ratification.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XIII — NATIONAL EXPANSION AND STATE DEVOLUTION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13.1 — Territorial Compact</w:t>
      </w:r>
    </w:p>
    <w:p>
      <w:pPr>
        <w:spacing w:after="60" w:before="60"/>
      </w:pPr>
      <w:r>
        <w:rPr>
          <w:rFonts w:ascii="Arial" w:cs="Arial" w:eastAsia="Arial" w:hAnsi="Arial"/>
          <w:color w:val="000000"/>
          <w:sz w:val="22"/>
          <w:szCs w:val="22"/>
        </w:rPr>
        <w:t xml:space="preserve">Territories hold all Fundamental Rights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Parliament defines by statute, as provided in §13.3.e and §13.4.d respectively.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13.2 — Requirements for Statehood</w:t>
      </w:r>
    </w:p>
    <w:p>
      <w:pPr>
        <w:spacing w:after="60" w:before="60"/>
      </w:pPr>
      <w:r>
        <w:rPr>
          <w:rFonts w:ascii="Arial" w:cs="Arial" w:eastAsia="Arial" w:hAnsi="Arial"/>
          <w:color w:val="000000"/>
          <w:sz w:val="22"/>
          <w:szCs w:val="22"/>
        </w:rPr>
        <w:t xml:space="preserve">A territory seeking Statehood must pass a comprehensive Statehood Audit conducted by the Inspectorates, verifying the following criteria:</w:t>
      </w:r>
    </w:p>
    <w:p>
      <w:pPr>
        <w:spacing w:after="60" w:before="60"/>
        <w:ind w:left="720" w:hanging="360"/>
      </w:pPr>
      <w:r>
        <w:rPr>
          <w:rFonts w:ascii="Arial" w:cs="Arial" w:eastAsia="Arial" w:hAnsi="Arial"/>
          <w:b/>
          <w:bCs/>
          <w:color w:val="4A6FA5"/>
          <w:sz w:val="22"/>
          <w:szCs w:val="22"/>
        </w:rPr>
        <w:t xml:space="preserve">13.2.a Fiscal Integrity: </w:t>
      </w:r>
      <w:r>
        <w:rPr>
          <w:rFonts w:ascii="Arial" w:cs="Arial" w:eastAsia="Arial" w:hAnsi="Arial"/>
          <w:color w:val="000000"/>
          <w:sz w:val="22"/>
          <w:szCs w:val="22"/>
        </w:rPr>
        <w:t xml:space="preserve">Infrastructure to connect to the National Record System and a projected revenue ratio that maintains national solvency.</w:t>
      </w:r>
    </w:p>
    <w:p>
      <w:pPr>
        <w:spacing w:after="60" w:before="60"/>
        <w:ind w:left="720" w:hanging="360"/>
      </w:pPr>
      <w:r>
        <w:rPr>
          <w:rFonts w:ascii="Arial" w:cs="Arial" w:eastAsia="Arial" w:hAnsi="Arial"/>
          <w:b/>
          <w:bCs/>
          <w:color w:val="4A6FA5"/>
          <w:sz w:val="22"/>
          <w:szCs w:val="22"/>
        </w:rPr>
        <w:t xml:space="preserve">13.2.b Competency Baseline: </w:t>
      </w:r>
      <w:r>
        <w:rPr>
          <w:rFonts w:ascii="Arial" w:cs="Arial" w:eastAsia="Arial" w:hAnsi="Arial"/>
          <w:color w:val="000000"/>
          <w:sz w:val="22"/>
          <w:szCs w:val="22"/>
        </w:rPr>
        <w:t xml:space="preserve">No less than 60% of the adult population must have demonstrated constitutional literacy before the Statehood application. A person satisfies this requirement by having passed the Constitutional Logic Test under §5.4. The Competency Baseline is measured annually from National Record System CLT passage records.</w:t>
      </w:r>
    </w:p>
    <w:p>
      <w:pPr>
        <w:spacing w:after="60" w:before="60"/>
        <w:ind w:left="720" w:hanging="360"/>
      </w:pPr>
      <w:r>
        <w:rPr>
          <w:rFonts w:ascii="Arial" w:cs="Arial" w:eastAsia="Arial" w:hAnsi="Arial"/>
          <w:b/>
          <w:bCs/>
          <w:color w:val="4A6FA5"/>
          <w:sz w:val="22"/>
          <w:szCs w:val="22"/>
        </w:rPr>
        <w:t xml:space="preserve">13.2.c Legal Sync: </w:t>
      </w:r>
      <w:r>
        <w:rPr>
          <w:rFonts w:ascii="Arial" w:cs="Arial" w:eastAsia="Arial" w:hAnsi="Arial"/>
          <w:color w:val="000000"/>
          <w:sz w:val="22"/>
          <w:szCs w:val="22"/>
        </w:rPr>
        <w:t xml:space="preserve">All local statutes must be audited for compliance with the Fundamental Rights of Article I.</w:t>
      </w:r>
    </w:p>
    <w:p>
      <w:pPr>
        <w:spacing w:after="60" w:before="60"/>
        <w:ind w:left="720" w:hanging="360"/>
      </w:pPr>
      <w:r>
        <w:rPr>
          <w:rFonts w:ascii="Arial" w:cs="Arial" w:eastAsia="Arial" w:hAnsi="Arial"/>
          <w:b/>
          <w:bCs/>
          <w:color w:val="4A6FA5"/>
          <w:sz w:val="22"/>
          <w:szCs w:val="22"/>
        </w:rPr>
        <w:t xml:space="preserve">13.2.d The Provisional Membership Period: </w:t>
      </w:r>
      <w:r>
        <w:rPr>
          <w:rFonts w:ascii="Arial" w:cs="Arial" w:eastAsia="Arial" w:hAnsi="Arial"/>
          <w:color w:val="000000"/>
          <w:sz w:val="22"/>
          <w:szCs w:val="22"/>
        </w:rPr>
        <w:t xml:space="preserve">Upon passing the Statehood Audit, the territory enters a Provisional Membership Period — the duration set by Parliament by statute, not to exceed 900 days — with full House representation but without Senate seats or participation in constitutional amendment votes. Statehood is automatic at the end of the period upon a clean audit. No congressional vote is required. Acceleration: if the territory passes a clean Statehood Audit before the statutory period expires — demonstrating that all three criteria of §13.2.a, §13.2.b, and §13.2.c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ind w:left="720" w:hanging="360"/>
      </w:pPr>
      <w:r>
        <w:rPr>
          <w:rFonts w:ascii="Arial" w:cs="Arial" w:eastAsia="Arial" w:hAnsi="Arial"/>
          <w:b/>
          <w:bCs/>
          <w:color w:val="4A6FA5"/>
          <w:sz w:val="22"/>
          <w:szCs w:val="22"/>
        </w:rPr>
        <w:t xml:space="preserve">13.2.e Partial Territory Statehood: </w:t>
      </w:r>
      <w:r>
        <w:rPr>
          <w:rFonts w:ascii="Arial" w:cs="Arial" w:eastAsia="Arial" w:hAnsi="Arial"/>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all three Statehood Audit criteria of §13.2.a through §13.2.c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Parliamentary review of the conditions is triggered only if the petitioning subdivision formally contests them within 14 days of publication, not by objection from the remaining territory alone.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13.3 — Mandatory State Devolution</w:t>
      </w:r>
    </w:p>
    <w:p>
      <w:pPr>
        <w:spacing w:after="60" w:before="60"/>
      </w:pPr>
      <w:r>
        <w:rPr>
          <w:rFonts w:ascii="Arial" w:cs="Arial" w:eastAsia="Arial" w:hAnsi="Arial"/>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ind w:left="720" w:hanging="360"/>
      </w:pPr>
      <w:r>
        <w:rPr>
          <w:rFonts w:ascii="Arial" w:cs="Arial" w:eastAsia="Arial" w:hAnsi="Arial"/>
          <w:b/>
          <w:bCs/>
          <w:color w:val="4A6FA5"/>
          <w:sz w:val="22"/>
          <w:szCs w:val="22"/>
        </w:rPr>
        <w:t xml:space="preserve">13.3.a Devolution Triggers: </w:t>
      </w:r>
      <w:r>
        <w:rPr>
          <w:rFonts w:ascii="Arial" w:cs="Arial" w:eastAsia="Arial" w:hAnsi="Arial"/>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ind w:left="720" w:hanging="360"/>
      </w:pPr>
      <w:r>
        <w:rPr>
          <w:rFonts w:ascii="Arial" w:cs="Arial" w:eastAsia="Arial" w:hAnsi="Arial"/>
          <w:b/>
          <w:bCs/>
          <w:color w:val="4A6FA5"/>
          <w:sz w:val="22"/>
          <w:szCs w:val="22"/>
        </w:rPr>
        <w:t xml:space="preserve">13.3.c Early Warning — Years 1 and 2: </w:t>
      </w:r>
      <w:r>
        <w:rPr>
          <w:rFonts w:ascii="Arial" w:cs="Arial" w:eastAsia="Arial" w:hAnsi="Arial"/>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ind w:left="720" w:hanging="360"/>
      </w:pPr>
      <w:r>
        <w:rPr>
          <w:rFonts w:ascii="Arial" w:cs="Arial" w:eastAsia="Arial" w:hAnsi="Arial"/>
          <w:b/>
          <w:bCs/>
          <w:color w:val="4A6FA5"/>
          <w:sz w:val="22"/>
          <w:szCs w:val="22"/>
        </w:rPr>
        <w:t xml:space="preserve">13.3.d Devolution Vote — Year 3: </w:t>
      </w:r>
      <w:r>
        <w:rPr>
          <w:rFonts w:ascii="Arial" w:cs="Arial" w:eastAsia="Arial" w:hAnsi="Arial"/>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ind w:left="720" w:hanging="360"/>
      </w:pPr>
      <w:r>
        <w:rPr>
          <w:rFonts w:ascii="Arial" w:cs="Arial" w:eastAsia="Arial" w:hAnsi="Arial"/>
          <w:b/>
          <w:bCs/>
          <w:color w:val="4A6FA5"/>
          <w:sz w:val="22"/>
          <w:szCs w:val="22"/>
        </w:rPr>
        <w:t xml:space="preserve">13.3.e Effect of Mandatory Devolution: </w:t>
      </w:r>
      <w:r>
        <w:rPr>
          <w:rFonts w:ascii="Arial" w:cs="Arial" w:eastAsia="Arial" w:hAnsi="Arial"/>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Parliamentary representation — the two Senate seats are vacated with no special election; House seats are retained based on population under §3.1.b with LI recalculation at the next census cycle; existing House members continue their terms;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§13.3.c and §13.1 as applicable; (5) Article I rights — all Fundamental Rights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ind w:left="720" w:hanging="360"/>
      </w:pPr>
      <w:r>
        <w:rPr>
          <w:rFonts w:ascii="Arial" w:cs="Arial" w:eastAsia="Arial" w:hAnsi="Arial"/>
          <w:b/>
          <w:bCs/>
          <w:color w:val="4A6FA5"/>
          <w:sz w:val="22"/>
          <w:szCs w:val="22"/>
        </w:rPr>
        <w:t xml:space="preserve">13.3.g Constitutional Challenge to Devolution: </w:t>
      </w:r>
      <w:r>
        <w:rPr>
          <w:rFonts w:ascii="Arial" w:cs="Arial" w:eastAsia="Arial" w:hAnsi="Arial"/>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1B2A4A" w:sz="6" w:space="1"/>
        </w:pBdr>
        <w:spacing w:after="120" w:before="120"/>
      </w:pPr>
    </w:p>
    <w:p>
      <w:pPr>
        <w:pStyle w:val="Heading2"/>
        <w:spacing w:after="80" w:before="200"/>
      </w:pPr>
      <w:r>
        <w:rPr>
          <w:rFonts w:ascii="Arial" w:cs="Arial" w:eastAsia="Arial" w:hAnsi="Arial"/>
          <w:b/>
          <w:bCs/>
          <w:color w:val="4A6FA5"/>
          <w:sz w:val="24"/>
          <w:szCs w:val="24"/>
        </w:rPr>
        <w:t xml:space="preserve">Section 13.4 — Voluntary Devolution</w:t>
      </w:r>
    </w:p>
    <w:p>
      <w:pPr>
        <w:spacing w:after="60" w:before="60"/>
      </w:pPr>
      <w:r>
        <w:rPr>
          <w:rFonts w:ascii="Arial" w:cs="Arial" w:eastAsia="Arial" w:hAnsi="Arial"/>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ind w:left="720" w:hanging="360"/>
      </w:pPr>
      <w:r>
        <w:rPr>
          <w:rFonts w:ascii="Arial" w:cs="Arial" w:eastAsia="Arial" w:hAnsi="Arial"/>
          <w:b/>
          <w:bCs/>
          <w:color w:val="4A6FA5"/>
          <w:sz w:val="22"/>
          <w:szCs w:val="22"/>
        </w:rPr>
        <w:t xml:space="preserve">13.4.a Voluntary Devolution Vote: </w:t>
      </w:r>
      <w:r>
        <w:rPr>
          <w:rFonts w:ascii="Arial" w:cs="Arial" w:eastAsia="Arial" w:hAnsi="Arial"/>
          <w:color w:val="000000"/>
          <w:sz w:val="22"/>
          <w:szCs w:val="22"/>
        </w:rPr>
        <w:t xml:space="preserve">A State may voluntarily return to Territory status by a 70%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ind w:left="720" w:hanging="360"/>
      </w:pPr>
      <w:r>
        <w:rPr>
          <w:rFonts w:ascii="Arial" w:cs="Arial" w:eastAsia="Arial" w:hAnsi="Arial"/>
          <w:b/>
          <w:bCs/>
          <w:color w:val="4A6FA5"/>
          <w:sz w:val="22"/>
          <w:szCs w:val="22"/>
        </w:rPr>
        <w:t xml:space="preserve">13.4.b Fiscal Transparency Requirement: </w:t>
      </w:r>
      <w:r>
        <w:rPr>
          <w:rFonts w:ascii="Arial" w:cs="Arial" w:eastAsia="Arial" w:hAnsi="Arial"/>
          <w:color w:val="000000"/>
          <w:sz w:val="22"/>
          <w:szCs w:val="22"/>
        </w:rPr>
        <w:t xml:space="preserve">Before a voluntary devolution vote may be held, the Monetary Authority must publish a Fiscal Incidence Study for the proposing State, assessing: the estimated annual value of the federal income tax reduction to State residents at the current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Monetary Authority must publish this study within 120 days of a State's formal written request for voluntary devolution under §13.4.a. The 180-day pre-vote period runs from the date of publication, not from the date of request. A State that has not received a published study within 120 days of its formal request may petition the Supreme Court for an order compelling publication; the Court must rule within 14 days of such a petition. A Fiscal Incidence Study produced under judicial order carries the same constitutional force as one produced voluntarily. The study must be made accessible to every eligible voter in the State no less than 180 days before the vote. A vote held without a published Fiscal Incidence Study is void.</w:t>
      </w:r>
    </w:p>
    <w:p>
      <w:pPr>
        <w:spacing w:after="60" w:before="60"/>
        <w:ind w:left="720" w:hanging="360"/>
      </w:pPr>
      <w:r>
        <w:rPr>
          <w:rFonts w:ascii="Arial" w:cs="Arial" w:eastAsia="Arial" w:hAnsi="Arial"/>
          <w:b/>
          <w:bCs/>
          <w:color w:val="4A6FA5"/>
          <w:sz w:val="22"/>
          <w:szCs w:val="22"/>
        </w:rPr>
        <w:t xml:space="preserve">13.4.c Net-Contributor Transparency: </w:t>
      </w:r>
      <w:r>
        <w:rPr>
          <w:rFonts w:ascii="Arial" w:cs="Arial" w:eastAsia="Arial" w:hAnsi="Arial"/>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ind w:left="720" w:hanging="360"/>
      </w:pPr>
      <w:r>
        <w:rPr>
          <w:rFonts w:ascii="Arial" w:cs="Arial" w:eastAsia="Arial" w:hAnsi="Arial"/>
          <w:b/>
          <w:bCs/>
          <w:color w:val="4A6FA5"/>
          <w:sz w:val="22"/>
          <w:szCs w:val="22"/>
        </w:rPr>
        <w:t xml:space="preserve">13.4.d Effect of Voluntary Devolution: </w:t>
      </w:r>
      <w:r>
        <w:rPr>
          <w:rFonts w:ascii="Arial" w:cs="Arial" w:eastAsia="Arial" w:hAnsi="Arial"/>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Parliament defines by statute. The reduced rate must be meaningfully lower than the standard rate — Parliament may not set it at or above the standard rate — but the Territory continues contributing to the federal system that provides it with Article I protections, BNF distributions, military defense, and judicial infrastructure. Parliament may adjust the rate by statute as the Republic's fiscal position evolves. A State that voluntarily devolves and subsequently passes the Statehood Audit follows the standard §13.2 Provisional Membership Period.</w:t>
      </w:r>
    </w:p>
    <w:p>
      <w:pPr>
        <w:spacing w:after="60" w:before="60"/>
        <w:ind w:left="720" w:hanging="360"/>
      </w:pPr>
      <w:r>
        <w:rPr>
          <w:rFonts w:ascii="Arial" w:cs="Arial" w:eastAsia="Arial" w:hAnsi="Arial"/>
          <w:b/>
          <w:bCs/>
          <w:color w:val="4A6FA5"/>
          <w:sz w:val="22"/>
          <w:szCs w:val="22"/>
        </w:rPr>
        <w:t xml:space="preserve">13.4.e Negotiated Devolution Pathway: </w:t>
      </w:r>
      <w:r>
        <w:rPr>
          <w:rFonts w:ascii="Arial" w:cs="Arial" w:eastAsia="Arial" w:hAnsi="Arial"/>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70% vote threshold or waive the Fiscal Incidence Study requirement.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XIV — THE INDIGENOUS NATION COMPACT</w:t>
      </w:r>
    </w:p>
    <w:p>
      <w:pPr>
        <w:spacing w:after="60" w:before="60"/>
      </w:pPr>
      <w:r>
        <w:rPr>
          <w:rFonts w:ascii="Arial" w:cs="Arial" w:eastAsia="Arial" w:hAnsi="Arial"/>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14.1 — Acknowledgment of Prior Sovereignty</w:t>
      </w:r>
    </w:p>
    <w:p>
      <w:pPr>
        <w:spacing w:after="60" w:before="60"/>
      </w:pPr>
      <w:r>
        <w:rPr>
          <w:rFonts w:ascii="Arial" w:cs="Arial" w:eastAsia="Arial" w:hAnsi="Arial"/>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14.2 — Treaty Supremacy and Continuity</w:t>
      </w:r>
    </w:p>
    <w:p>
      <w:pPr>
        <w:spacing w:after="60" w:before="60"/>
      </w:pPr>
      <w:r>
        <w:rPr>
          <w:rFonts w:ascii="Arial" w:cs="Arial" w:eastAsia="Arial" w:hAnsi="Arial"/>
          <w:color w:val="000000"/>
          <w:sz w:val="22"/>
          <w:szCs w:val="22"/>
        </w:rPr>
        <w:t xml:space="preserve">All treaties entered into by predecessor governments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14.3 — Government-to-Government Relationship</w:t>
      </w:r>
    </w:p>
    <w:p>
      <w:pPr>
        <w:spacing w:after="60" w:before="60"/>
      </w:pPr>
      <w:r>
        <w:rPr>
          <w:rFonts w:ascii="Arial" w:cs="Arial" w:eastAsia="Arial" w:hAnsi="Arial"/>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ind w:left="720" w:hanging="360"/>
      </w:pPr>
      <w:r>
        <w:rPr>
          <w:rFonts w:ascii="Arial" w:cs="Arial" w:eastAsia="Arial" w:hAnsi="Arial"/>
          <w:b/>
          <w:bCs/>
          <w:color w:val="4A6FA5"/>
          <w:sz w:val="22"/>
          <w:szCs w:val="22"/>
        </w:rPr>
        <w:t xml:space="preserve">14.3.a Free, Prior, and Informed Consent: </w:t>
      </w:r>
      <w:r>
        <w:rPr>
          <w:rFonts w:ascii="Arial" w:cs="Arial" w:eastAsia="Arial" w:hAnsi="Arial"/>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ind w:left="720" w:hanging="360"/>
      </w:pPr>
      <w:r>
        <w:rPr>
          <w:rFonts w:ascii="Arial" w:cs="Arial" w:eastAsia="Arial" w:hAnsi="Arial"/>
          <w:b/>
          <w:bCs/>
          <w:color w:val="4A6FA5"/>
          <w:sz w:val="22"/>
          <w:szCs w:val="22"/>
        </w:rPr>
        <w:t xml:space="preserve">14.3.b Unamendable Rights Override: </w:t>
      </w:r>
      <w:r>
        <w:rPr>
          <w:rFonts w:ascii="Arial" w:cs="Arial" w:eastAsia="Arial" w:hAnsi="Arial"/>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ind w:left="720" w:hanging="360"/>
      </w:pPr>
      <w:r>
        <w:rPr>
          <w:rFonts w:ascii="Arial" w:cs="Arial" w:eastAsia="Arial" w:hAnsi="Arial"/>
          <w:b/>
          <w:bCs/>
          <w:color w:val="4A6FA5"/>
          <w:sz w:val="22"/>
          <w:szCs w:val="22"/>
        </w:rPr>
        <w:t xml:space="preserve">14.3.c Emergency Rights Writ and Conflict Resolution Protocol: </w:t>
      </w:r>
      <w:r>
        <w:rPr>
          <w:rFonts w:ascii="Arial" w:cs="Arial" w:eastAsia="Arial" w:hAnsi="Arial"/>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14.3.d Internal Enforcement Encouragement: </w:t>
      </w:r>
      <w:r>
        <w:rPr>
          <w:rFonts w:ascii="Arial" w:cs="Arial" w:eastAsia="Arial" w:hAnsi="Arial"/>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ind w:left="720" w:hanging="360"/>
      </w:pPr>
      <w:r>
        <w:rPr>
          <w:rFonts w:ascii="Arial" w:cs="Arial" w:eastAsia="Arial" w:hAnsi="Arial"/>
          <w:b/>
          <w:bCs/>
          <w:color w:val="4A6FA5"/>
          <w:sz w:val="22"/>
          <w:szCs w:val="22"/>
        </w:rPr>
        <w:t xml:space="preserve">14.3.e Inspectorate Jurisdiction: </w:t>
      </w:r>
      <w:r>
        <w:rPr>
          <w:rFonts w:ascii="Arial" w:cs="Arial" w:eastAsia="Arial" w:hAnsi="Arial"/>
          <w:color w:val="000000"/>
          <w:sz w:val="22"/>
          <w:szCs w:val="22"/>
        </w:rPr>
        <w:t xml:space="preserve">The Inspectorates' audit and reporting jurisdiction does not extend to the internal governance of indigenous nations except where a specific allegation of violation of the permanently unamendable provisions (§1.2, §1.3, §1.13, §1.17, §1.18) against individual members is made. The Supreme Court has jurisdiction to hear such allegations on petition from the individual concerned.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14.4 — Indigenous Lands</w:t>
      </w:r>
    </w:p>
    <w:p>
      <w:pPr>
        <w:spacing w:after="60" w:before="60"/>
      </w:pPr>
      <w:r>
        <w:rPr>
          <w:rFonts w:ascii="Arial" w:cs="Arial" w:eastAsia="Arial" w:hAnsi="Arial"/>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ind w:left="720" w:hanging="360"/>
      </w:pPr>
      <w:r>
        <w:rPr>
          <w:rFonts w:ascii="Arial" w:cs="Arial" w:eastAsia="Arial" w:hAnsi="Arial"/>
          <w:b/>
          <w:bCs/>
          <w:color w:val="4A6FA5"/>
          <w:sz w:val="22"/>
          <w:szCs w:val="22"/>
        </w:rPr>
        <w:t xml:space="preserve">14.4.a Eminent Domain Prohibition: </w:t>
      </w:r>
      <w:r>
        <w:rPr>
          <w:rFonts w:ascii="Arial" w:cs="Arial" w:eastAsia="Arial" w:hAnsi="Arial"/>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ind w:left="720" w:hanging="360"/>
      </w:pPr>
      <w:r>
        <w:rPr>
          <w:rFonts w:ascii="Arial" w:cs="Arial" w:eastAsia="Arial" w:hAnsi="Arial"/>
          <w:b/>
          <w:bCs/>
          <w:color w:val="4A6FA5"/>
          <w:sz w:val="22"/>
          <w:szCs w:val="22"/>
        </w:rPr>
        <w:t xml:space="preserve">14.4.b Conservation Trust: </w:t>
      </w:r>
      <w:r>
        <w:rPr>
          <w:rFonts w:ascii="Arial" w:cs="Arial" w:eastAsia="Arial" w:hAnsi="Arial"/>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ind w:left="720" w:hanging="360"/>
      </w:pPr>
      <w:r>
        <w:rPr>
          <w:rFonts w:ascii="Arial" w:cs="Arial" w:eastAsia="Arial" w:hAnsi="Arial"/>
          <w:b/>
          <w:bCs/>
          <w:color w:val="4A6FA5"/>
          <w:sz w:val="22"/>
          <w:szCs w:val="22"/>
        </w:rPr>
        <w:t xml:space="preserve">14.4.c National Record System: </w:t>
      </w:r>
      <w:r>
        <w:rPr>
          <w:rFonts w:ascii="Arial" w:cs="Arial" w:eastAsia="Arial" w:hAnsi="Arial"/>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14.5 — Individual Rights and Dual Citizenship</w:t>
      </w:r>
    </w:p>
    <w:p>
      <w:pPr>
        <w:spacing w:after="60" w:before="60"/>
        <w:ind w:left="720" w:hanging="360"/>
      </w:pPr>
      <w:r>
        <w:rPr>
          <w:rFonts w:ascii="Arial" w:cs="Arial" w:eastAsia="Arial" w:hAnsi="Arial"/>
          <w:b/>
          <w:bCs/>
          <w:color w:val="4A6FA5"/>
          <w:sz w:val="22"/>
          <w:szCs w:val="22"/>
        </w:rPr>
        <w:t xml:space="preserve">14.5.a Article I Rights: </w:t>
      </w:r>
      <w:r>
        <w:rPr>
          <w:rFonts w:ascii="Arial" w:cs="Arial" w:eastAsia="Arial" w:hAnsi="Arial"/>
          <w:color w:val="000000"/>
          <w:sz w:val="22"/>
          <w:szCs w:val="22"/>
        </w:rPr>
        <w:t xml:space="preserve">Every individual member of an indigenous nation is an Inhabitant of the Republic and holds the full protections of Article I. The prohibitions on torture (§1.2), slavery (§1.3), and the right to First Appearance and Habeas Corpus (§1.13)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ind w:left="720" w:hanging="360"/>
      </w:pPr>
      <w:r>
        <w:rPr>
          <w:rFonts w:ascii="Arial" w:cs="Arial" w:eastAsia="Arial" w:hAnsi="Arial"/>
          <w:b/>
          <w:bCs/>
          <w:color w:val="4A6FA5"/>
          <w:sz w:val="22"/>
          <w:szCs w:val="22"/>
        </w:rPr>
        <w:t xml:space="preserve">14.5.b Dual Citizenship: </w:t>
      </w:r>
      <w:r>
        <w:rPr>
          <w:rFonts w:ascii="Arial" w:cs="Arial" w:eastAsia="Arial" w:hAnsi="Arial"/>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ind w:left="720" w:hanging="360"/>
      </w:pPr>
      <w:r>
        <w:rPr>
          <w:rFonts w:ascii="Arial" w:cs="Arial" w:eastAsia="Arial" w:hAnsi="Arial"/>
          <w:b/>
          <w:bCs/>
          <w:color w:val="4A6FA5"/>
          <w:sz w:val="22"/>
          <w:szCs w:val="22"/>
        </w:rPr>
        <w:t xml:space="preserve">14.5.c National Voting System: </w:t>
      </w:r>
      <w:r>
        <w:rPr>
          <w:rFonts w:ascii="Arial" w:cs="Arial" w:eastAsia="Arial" w:hAnsi="Arial"/>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 — AMENDING THE CONSTITUTION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15.1 — Amendment Paths</w:t>
      </w:r>
    </w:p>
    <w:p>
      <w:pPr>
        <w:spacing w:after="60" w:before="60"/>
        <w:ind w:left="720" w:hanging="360"/>
      </w:pPr>
      <w:r>
        <w:rPr>
          <w:rFonts w:ascii="Arial" w:cs="Arial" w:eastAsia="Arial" w:hAnsi="Arial"/>
          <w:b/>
          <w:bCs/>
          <w:color w:val="4A6FA5"/>
          <w:sz w:val="22"/>
          <w:szCs w:val="22"/>
        </w:rPr>
        <w:t xml:space="preserve">15.1.a State Convention Path: </w:t>
      </w:r>
      <w:r>
        <w:rPr>
          <w:rFonts w:ascii="Arial" w:cs="Arial" w:eastAsia="Arial" w:hAnsi="Arial"/>
          <w:color w:val="000000"/>
          <w:sz w:val="22"/>
          <w:szCs w:val="22"/>
        </w:rPr>
        <w:t xml:space="preserve">Ratification by 3/4 of State legislatures. The Legislative Inspectorate is the coordinating body for State ratification processes — it receives State ratification votes, maintains the official tally, certifies when the 3/4 threshold is met, and transmits the certification to both chambers and both executives. The LI publishes the running tally of State ratifications to the National Record System in real time. Any State, chamber, or executive may petition the Supreme Court to review a disputed ratification vote within 30 days of the LI's certification of that vote; the Court must rule within 14 days of such a petition on the validity of the disputed vote only, not on the merits of the amendment.</w:t>
      </w:r>
    </w:p>
    <w:p>
      <w:pPr>
        <w:spacing w:after="60" w:before="60"/>
        <w:ind w:left="720" w:hanging="360"/>
      </w:pPr>
      <w:r>
        <w:rPr>
          <w:rFonts w:ascii="Arial" w:cs="Arial" w:eastAsia="Arial" w:hAnsi="Arial"/>
          <w:b/>
          <w:bCs/>
          <w:color w:val="4A6FA5"/>
          <w:sz w:val="22"/>
          <w:szCs w:val="22"/>
        </w:rPr>
        <w:t xml:space="preserve">15.1.b Direct Democracy Path: </w:t>
      </w:r>
      <w:r>
        <w:rPr>
          <w:rFonts w:ascii="Arial" w:cs="Arial" w:eastAsia="Arial" w:hAnsi="Arial"/>
          <w:color w:val="000000"/>
          <w:sz w:val="22"/>
          <w:szCs w:val="22"/>
        </w:rPr>
        <w:t xml:space="preserve">A national vote conducted through the National Voting System achieving 70% affirmative with at least 65% citizen participation. If participation falls short of 65% but exceeds 60% and the affirmative vote exceeds 75%, the Judicial Inspectorate may certify the amendment as presumptively valid subject to Supreme Court review within 30 days. Any State action that, by clear and specific evidence of a statistically significant reduction in participation, suppresses participation in an amendment vote may trigger Rule Violation proceedings under §2.8 for the relevant State officials. The Electoral Commission administers the national ratification vote and certifies the result to the National Record System. Any person with standing may petition the Supreme Court to review the Electoral Commission's certification within 30 days of its publication; the Court must rule within 14 days.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15.2 — No Executive Veto</w:t>
      </w:r>
    </w:p>
    <w:p>
      <w:pPr>
        <w:spacing w:after="60" w:before="60"/>
        <w:ind w:left="720" w:hanging="360"/>
      </w:pPr>
      <w:r>
        <w:rPr>
          <w:rFonts w:ascii="Arial" w:cs="Arial" w:eastAsia="Arial" w:hAnsi="Arial"/>
          <w:b/>
          <w:bCs/>
          <w:color w:val="4A6FA5"/>
          <w:sz w:val="22"/>
          <w:szCs w:val="22"/>
        </w:rPr>
        <w:t xml:space="preserve">15.2.a No Executive Veto: </w:t>
      </w:r>
      <w:r>
        <w:rPr>
          <w:rFonts w:ascii="Arial" w:cs="Arial" w:eastAsia="Arial" w:hAnsi="Arial"/>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15.3 — Unamendable Provisions</w:t>
      </w:r>
    </w:p>
    <w:p>
      <w:pPr>
        <w:spacing w:after="60" w:before="60"/>
        <w:ind w:left="720" w:hanging="360"/>
      </w:pPr>
      <w:r>
        <w:rPr>
          <w:rFonts w:ascii="Arial" w:cs="Arial" w:eastAsia="Arial" w:hAnsi="Arial"/>
          <w:b/>
          <w:bCs/>
          <w:color w:val="4A6FA5"/>
          <w:sz w:val="22"/>
          <w:szCs w:val="22"/>
        </w:rPr>
        <w:t xml:space="preserve">15.3.a Unamendable Provisions: </w:t>
      </w:r>
      <w:r>
        <w:rPr>
          <w:rFonts w:ascii="Arial" w:cs="Arial" w:eastAsia="Arial" w:hAnsi="Arial"/>
          <w:color w:val="000000"/>
          <w:sz w:val="22"/>
          <w:szCs w:val="22"/>
        </w:rPr>
        <w:t xml:space="preserve">The Fundamental Rights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15.4 — Territorial Integrity</w:t>
      </w:r>
    </w:p>
    <w:p>
      <w:pPr>
        <w:spacing w:after="60" w:before="60"/>
        <w:ind w:left="720" w:hanging="360"/>
      </w:pPr>
      <w:r>
        <w:rPr>
          <w:rFonts w:ascii="Arial" w:cs="Arial" w:eastAsia="Arial" w:hAnsi="Arial"/>
          <w:b/>
          <w:bCs/>
          <w:color w:val="4A6FA5"/>
          <w:sz w:val="22"/>
          <w:szCs w:val="22"/>
        </w:rPr>
        <w:t xml:space="preserve">15.4.a Territorial Integrity: </w:t>
      </w:r>
      <w:r>
        <w:rPr>
          <w:rFonts w:ascii="Arial" w:cs="Arial" w:eastAsia="Arial" w:hAnsi="Arial"/>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parliamentary act, or judicial ruling may authorize independence absent this vote.</w:t>
      </w:r>
    </w:p>
    <w:p>
      <w:pPr>
        <w:spacing w:after="60" w:before="60"/>
        <w:ind w:left="720" w:hanging="360"/>
      </w:pPr>
      <w:r>
        <w:rPr>
          <w:rFonts w:ascii="Arial" w:cs="Arial" w:eastAsia="Arial" w:hAnsi="Arial"/>
          <w:b/>
          <w:bCs/>
          <w:color w:val="4A6FA5"/>
          <w:sz w:val="22"/>
          <w:szCs w:val="22"/>
        </w:rPr>
        <w:t xml:space="preserve">15.4.b Advisory Referenda: </w:t>
      </w:r>
      <w:r>
        <w:rPr>
          <w:rFonts w:ascii="Arial" w:cs="Arial" w:eastAsia="Arial" w:hAnsi="Arial"/>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pPr>
      <w:r>
        <w:rPr>
          <w:rFonts w:ascii="Arial" w:cs="Arial" w:eastAsia="Arial" w:hAnsi="Arial"/>
          <w:color w:val="000000"/>
          <w:sz w:val="22"/>
          <w:szCs w:val="22"/>
        </w:rPr>
        <w:t xml:space="preserve">Parliament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w:t>
      </w:r>
    </w:p>
    <w:p>
      <w:pPr>
        <w:pStyle w:val="Heading2"/>
        <w:spacing w:after="80" w:before="200"/>
      </w:pPr>
      <w:r>
        <w:rPr>
          <w:rFonts w:ascii="Arial" w:cs="Arial" w:eastAsia="Arial" w:hAnsi="Arial"/>
          <w:b/>
          <w:bCs/>
          <w:color w:val="4A6FA5"/>
          <w:sz w:val="24"/>
          <w:szCs w:val="24"/>
        </w:rPr>
        <w:t xml:space="preserve">Section 15.5 — Independence Transition Framework</w:t>
      </w:r>
    </w:p>
    <w:p>
      <w:pPr>
        <w:spacing w:after="60" w:before="60"/>
      </w:pPr>
      <w:r>
        <w:rPr>
          <w:rFonts w:ascii="Arial" w:cs="Arial" w:eastAsia="Arial" w:hAnsi="Arial"/>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ind w:left="720" w:hanging="360"/>
      </w:pPr>
      <w:r>
        <w:rPr>
          <w:rFonts w:ascii="Arial" w:cs="Arial" w:eastAsia="Arial" w:hAnsi="Arial"/>
          <w:b/>
          <w:bCs/>
          <w:color w:val="4A6FA5"/>
          <w:sz w:val="22"/>
          <w:szCs w:val="22"/>
        </w:rPr>
        <w:t xml:space="preserve">15.5.a Framework Agreement Requirement: </w:t>
      </w:r>
      <w:r>
        <w:rPr>
          <w:rFonts w:ascii="Arial" w:cs="Arial" w:eastAsia="Arial" w:hAnsi="Arial"/>
          <w:color w:val="000000"/>
          <w:sz w:val="22"/>
          <w:szCs w:val="22"/>
        </w:rPr>
        <w:t xml:space="preserve">Before the §15.4 referendum is held, the Republic and the proposed independent territory must negotiate and publish to the National Record System a framework independence agreement at least 90 days before the referendum date. The agreement must address: the status of Republic citizens residing in the departing territory; the proposed transition arrangements for Basic Needs Floor-equivalent distributions; the disposition of all Operational Use Rights within the territory under §17.3.e; any proportionate obligations the departing territory assumes for Republic-funded infrastructure within its borders; and the proposed diplomatic and treaty relationship between the Republic and the new sovereign state. The Judicial Inspectorate reviews the agreement for completeness within 30 days of publication and certifies whether all required elements are present. A referendum may not be held until the JI certifies the agreement is complete. The ballot must reference the published agreement and its National Record System record number. Where the Republic and the departing territory have not produced a complete framework agreement within 18 months of the referendum petition being certified, a default framework activates automatically: the transition period is 36 months; Basic Needs Floor-equivalent distributions continue at full rate throughout; all Operational Use Rights are subject to §17.3.e's 24-month vacate default absent a negotiated arrangement; and the departing territory assumes responsibility for Republic-funded infrastructure within its borders unless a treaty provision states otherwise. The default framework is published to the NRS by the Electoral Commission and is the operative framework agreement for JI completeness certification. Neither party may block the democratic process through non-negotiation.</w:t>
      </w:r>
    </w:p>
    <w:p>
      <w:pPr>
        <w:spacing w:after="60" w:before="60"/>
        <w:ind w:left="720" w:hanging="360"/>
      </w:pPr>
      <w:r>
        <w:rPr>
          <w:rFonts w:ascii="Arial" w:cs="Arial" w:eastAsia="Arial" w:hAnsi="Arial"/>
          <w:b/>
          <w:bCs/>
          <w:color w:val="4A6FA5"/>
          <w:sz w:val="22"/>
          <w:szCs w:val="22"/>
        </w:rPr>
        <w:t xml:space="preserve">15.5.b Transition Period: </w:t>
      </w:r>
      <w:r>
        <w:rPr>
          <w:rFonts w:ascii="Arial" w:cs="Arial" w:eastAsia="Arial" w:hAnsi="Arial"/>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Parliament must by statute define the governance arrangements applicable during the transition period.</w:t>
      </w:r>
    </w:p>
    <w:p>
      <w:pPr>
        <w:spacing w:after="60" w:before="60"/>
        <w:ind w:left="720" w:hanging="360"/>
      </w:pPr>
      <w:r>
        <w:rPr>
          <w:rFonts w:ascii="Arial" w:cs="Arial" w:eastAsia="Arial" w:hAnsi="Arial"/>
          <w:b/>
          <w:bCs/>
          <w:color w:val="4A6FA5"/>
          <w:sz w:val="22"/>
          <w:szCs w:val="22"/>
        </w:rPr>
        <w:t xml:space="preserve">15.5.c Basic Needs Floor Transition: </w:t>
      </w:r>
      <w:r>
        <w:rPr>
          <w:rFonts w:ascii="Arial" w:cs="Arial" w:eastAsia="Arial" w:hAnsi="Arial"/>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Parliament must authorize by legislation enacted no later than 90 days after referendum certification. Parliament must by statute define the duration and rate of transition distributions consistent with the framework agreement. The transition distribution may not terminate before the transition period ends under §15.5.b.</w:t>
      </w:r>
    </w:p>
    <w:p>
      <w:pPr>
        <w:spacing w:after="60" w:before="60"/>
        <w:ind w:left="720" w:hanging="360"/>
      </w:pPr>
      <w:r>
        <w:rPr>
          <w:rFonts w:ascii="Arial" w:cs="Arial" w:eastAsia="Arial" w:hAnsi="Arial"/>
          <w:b/>
          <w:bCs/>
          <w:color w:val="4A6FA5"/>
          <w:sz w:val="22"/>
          <w:szCs w:val="22"/>
        </w:rPr>
        <w:t xml:space="preserve">15.5.d Executive Authority: </w:t>
      </w:r>
      <w:r>
        <w:rPr>
          <w:rFonts w:ascii="Arial" w:cs="Arial" w:eastAsia="Arial" w:hAnsi="Arial"/>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15.6 Supremacy of This Constitution: </w:t>
      </w:r>
      <w:r>
        <w:rPr>
          <w:rFonts w:ascii="Arial" w:cs="Arial" w:eastAsia="Arial" w:hAnsi="Arial"/>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 — THE NATIONAL VOTING SYSTEM AND ELECTORAL COMMISSION</w:t>
      </w:r>
    </w:p>
    <w:p>
      <w:pPr>
        <w:spacing w:after="60" w:before="60"/>
      </w:pPr>
      <w:r>
        <w:rPr>
          <w:rFonts w:ascii="Arial" w:cs="Arial" w:eastAsia="Arial" w:hAnsi="Arial"/>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16.1 — The Electoral Commission</w:t>
      </w:r>
    </w:p>
    <w:p>
      <w:pPr>
        <w:spacing w:after="60" w:before="60"/>
      </w:pPr>
      <w:r>
        <w:rPr>
          <w:rFonts w:ascii="Arial" w:cs="Arial" w:eastAsia="Arial" w:hAnsi="Arial"/>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80"/>
        <w:gridCol w:w="288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Seats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Elected By</w:t>
            </w:r>
          </w:p>
        </w:tc>
        <w:tc>
          <w:tcPr>
            <w:tcW w:type="dxa" w:w="22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popular vote — all citizens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staggered — no more than 2 seats per cycle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session of Parliament — all Members vote as an electorate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Ranked Choice Voting among qualified candidates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non-renewable 6-year term</w:t>
            </w:r>
          </w:p>
        </w:tc>
      </w:tr>
    </w:tbl>
    <w:p>
      <w:pPr>
        <w:spacing w:after="0" w:before="120"/>
      </w:pPr>
      <w:r>
        <w:t xml:space="preserve"/>
      </w:r>
    </w:p>
    <w:p>
      <w:pPr>
        <w:spacing w:after="60" w:before="60"/>
      </w:pPr>
      <w:r>
        <w:rPr>
          <w:rFonts w:ascii="Arial" w:cs="Arial" w:eastAsia="Arial" w:hAnsi="Arial"/>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16.2 — Member Qualifications</w:t>
      </w:r>
    </w:p>
    <w:p>
      <w:pPr>
        <w:spacing w:after="60" w:before="60"/>
      </w:pPr>
      <w:r>
        <w:rPr>
          <w:rFonts w:ascii="Arial" w:cs="Arial" w:eastAsia="Arial" w:hAnsi="Arial"/>
          <w:color w:val="000000"/>
          <w:sz w:val="22"/>
          <w:szCs w:val="22"/>
        </w:rPr>
        <w:t xml:space="preserve">All Electoral Commission candidates must meet the following qualifications, verified by the Judicial Inspectorate before candidacy is certified.</w:t>
      </w:r>
    </w:p>
    <w:p>
      <w:pPr>
        <w:spacing w:after="60" w:before="60"/>
        <w:ind w:left="720" w:hanging="360"/>
      </w:pPr>
      <w:r>
        <w:rPr>
          <w:rFonts w:ascii="Arial" w:cs="Arial" w:eastAsia="Arial" w:hAnsi="Arial"/>
          <w:b/>
          <w:bCs/>
          <w:color w:val="4A6FA5"/>
          <w:sz w:val="22"/>
          <w:szCs w:val="22"/>
        </w:rPr>
        <w:t xml:space="preserve">16.2 Electoral Commission Qualifications: </w:t>
      </w:r>
      <w:r>
        <w:rPr>
          <w:rFonts w:ascii="Arial" w:cs="Arial" w:eastAsia="Arial" w:hAnsi="Arial"/>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the Executive Inspectorate publishes a factual assessment of each candidate's qualifications under this section to the National Record System — this is a constitutionally mandated assessment function specific to EC elections and does not extend the EI's mandate to any other aspect of the electoral process.</w:t>
      </w:r>
    </w:p>
    <w:p>
      <w:pPr>
        <w:pStyle w:val="Heading2"/>
        <w:spacing w:after="80" w:before="200"/>
      </w:pPr>
      <w:r>
        <w:rPr>
          <w:rFonts w:ascii="Arial" w:cs="Arial" w:eastAsia="Arial" w:hAnsi="Arial"/>
          <w:b/>
          <w:bCs/>
          <w:color w:val="4A6FA5"/>
          <w:sz w:val="24"/>
          <w:szCs w:val="24"/>
        </w:rPr>
        <w:t xml:space="preserve">Section 16.3 — Constitutional Properties of the National Voting System</w:t>
      </w:r>
    </w:p>
    <w:p>
      <w:pPr>
        <w:spacing w:after="60" w:before="60"/>
      </w:pPr>
      <w:r>
        <w:rPr>
          <w:rFonts w:ascii="Arial" w:cs="Arial" w:eastAsia="Arial" w:hAnsi="Arial"/>
          <w:color w:val="000000"/>
          <w:sz w:val="22"/>
          <w:szCs w:val="22"/>
        </w:rPr>
        <w:t xml:space="preserve">The National Voting System must satisfy these constitutional properties. Parliament may not remove or weaken any of them by statute.</w:t>
      </w:r>
    </w:p>
    <w:p>
      <w:pPr>
        <w:spacing w:after="60" w:before="60"/>
        <w:ind w:left="720" w:hanging="360"/>
      </w:pPr>
      <w:r>
        <w:rPr>
          <w:rFonts w:ascii="Arial" w:cs="Arial" w:eastAsia="Arial" w:hAnsi="Arial"/>
          <w:b/>
          <w:bCs/>
          <w:color w:val="4A6FA5"/>
          <w:sz w:val="22"/>
          <w:szCs w:val="22"/>
        </w:rPr>
        <w:t xml:space="preserve">16.3.a Ballot Secrecy: </w:t>
      </w:r>
      <w:r>
        <w:rPr>
          <w:rFonts w:ascii="Arial" w:cs="Arial" w:eastAsia="Arial" w:hAnsi="Arial"/>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ind w:left="720" w:hanging="360"/>
      </w:pPr>
      <w:r>
        <w:rPr>
          <w:rFonts w:ascii="Arial" w:cs="Arial" w:eastAsia="Arial" w:hAnsi="Arial"/>
          <w:b/>
          <w:bCs/>
          <w:color w:val="4A6FA5"/>
          <w:sz w:val="22"/>
          <w:szCs w:val="22"/>
        </w:rPr>
        <w:t xml:space="preserve">16.3.b Public Auditability: </w:t>
      </w:r>
      <w:r>
        <w:rPr>
          <w:rFonts w:ascii="Arial" w:cs="Arial" w:eastAsia="Arial" w:hAnsi="Arial"/>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ind w:left="720" w:hanging="360"/>
      </w:pPr>
      <w:r>
        <w:rPr>
          <w:rFonts w:ascii="Arial" w:cs="Arial" w:eastAsia="Arial" w:hAnsi="Arial"/>
          <w:b/>
          <w:bCs/>
          <w:color w:val="4A6FA5"/>
          <w:sz w:val="22"/>
          <w:szCs w:val="22"/>
        </w:rPr>
        <w:t xml:space="preserve">16.3.c Resilience and Privacy: </w:t>
      </w:r>
      <w:r>
        <w:rPr>
          <w:rFonts w:ascii="Arial" w:cs="Arial" w:eastAsia="Arial" w:hAnsi="Arial"/>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Parliament defines technical standards and implementation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16.4 — The Citizen Voting Credential</w:t>
      </w:r>
    </w:p>
    <w:p>
      <w:pPr>
        <w:spacing w:after="60" w:before="60"/>
        <w:ind w:left="720" w:hanging="360"/>
      </w:pPr>
      <w:r>
        <w:rPr>
          <w:rFonts w:ascii="Arial" w:cs="Arial" w:eastAsia="Arial" w:hAnsi="Arial"/>
          <w:b/>
          <w:bCs/>
          <w:color w:val="4A6FA5"/>
          <w:sz w:val="22"/>
          <w:szCs w:val="22"/>
        </w:rPr>
        <w:t xml:space="preserve">16.4.a Credential: </w:t>
      </w:r>
      <w:r>
        <w:rPr>
          <w:rFonts w:ascii="Arial" w:cs="Arial" w:eastAsia="Arial" w:hAnsi="Arial"/>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Parliament defines by statute.</w:t>
      </w:r>
    </w:p>
    <w:p>
      <w:pPr>
        <w:spacing w:after="60" w:before="60"/>
        <w:ind w:left="720" w:hanging="360"/>
      </w:pPr>
      <w:r>
        <w:rPr>
          <w:rFonts w:ascii="Arial" w:cs="Arial" w:eastAsia="Arial" w:hAnsi="Arial"/>
          <w:b/>
          <w:bCs/>
          <w:color w:val="4A6FA5"/>
          <w:sz w:val="22"/>
          <w:szCs w:val="22"/>
        </w:rPr>
        <w:t xml:space="preserve">16.4.b Remote Voting: </w:t>
      </w:r>
      <w:r>
        <w:rPr>
          <w:rFonts w:ascii="Arial" w:cs="Arial" w:eastAsia="Arial" w:hAnsi="Arial"/>
          <w:color w:val="000000"/>
          <w:sz w:val="22"/>
          <w:szCs w:val="22"/>
        </w:rPr>
        <w:t xml:space="preserve">Parliament may by statute authorize authenticated remote voting through the National Voting System. No statute may permanently prohibit remote voting as a method of participation.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16.5 — Electoral Commission Oversight and Removal</w:t>
      </w:r>
    </w:p>
    <w:p>
      <w:pPr>
        <w:spacing w:after="60" w:before="60"/>
        <w:ind w:left="720" w:hanging="360"/>
      </w:pPr>
      <w:r>
        <w:rPr>
          <w:rFonts w:ascii="Arial" w:cs="Arial" w:eastAsia="Arial" w:hAnsi="Arial"/>
          <w:b/>
          <w:bCs/>
          <w:color w:val="4A6FA5"/>
          <w:sz w:val="22"/>
          <w:szCs w:val="22"/>
        </w:rPr>
        <w:t xml:space="preserve">16.5.b JI Oversight: </w:t>
      </w:r>
      <w:r>
        <w:rPr>
          <w:rFonts w:ascii="Arial" w:cs="Arial" w:eastAsia="Arial" w:hAnsi="Arial"/>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ind w:left="720" w:hanging="360"/>
      </w:pPr>
      <w:r>
        <w:rPr>
          <w:rFonts w:ascii="Arial" w:cs="Arial" w:eastAsia="Arial" w:hAnsi="Arial"/>
          <w:b/>
          <w:bCs/>
          <w:color w:val="4A6FA5"/>
          <w:sz w:val="22"/>
          <w:szCs w:val="22"/>
        </w:rPr>
        <w:t xml:space="preserve">16.5.c Removal: </w:t>
      </w:r>
      <w:r>
        <w:rPr>
          <w:rFonts w:ascii="Arial" w:cs="Arial" w:eastAsia="Arial" w:hAnsi="Arial"/>
          <w:color w:val="000000"/>
          <w:sz w:val="22"/>
          <w:szCs w:val="22"/>
        </w:rPr>
        <w:t xml:space="preserve">Electoral Commission members may only be removed by Track 1 For-Cause removal (§8.5), requiring a 2/3 vote of both chambers simultaneously, verified by the Inspectorate Oversight Committee with a 2/3 supermajority. No-Cause removal is not available for Electoral Commission members. Any removal attempt within 180 days of a national election at which more than 20% of seated national offices are on the ballot is automatically suspended pending Supreme Court review within 48 hours.</w:t>
      </w:r>
    </w:p>
    <w:p>
      <w:pPr>
        <w:spacing w:after="60" w:before="60"/>
        <w:ind w:left="720" w:hanging="360"/>
      </w:pPr>
      <w:r>
        <w:rPr>
          <w:rFonts w:ascii="Arial" w:cs="Arial" w:eastAsia="Arial" w:hAnsi="Arial"/>
          <w:b/>
          <w:bCs/>
          <w:color w:val="4A6FA5"/>
          <w:sz w:val="22"/>
          <w:szCs w:val="22"/>
        </w:rPr>
        <w:t xml:space="preserve">16.5.a Campaign Funding: </w:t>
      </w:r>
      <w:r>
        <w:rPr>
          <w:rFonts w:ascii="Arial" w:cs="Arial" w:eastAsia="Arial" w:hAnsi="Arial"/>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0" w:before="120"/>
      </w:pPr>
      <w:r>
        <w:t xml:space="preserve"/>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16.6 — Electoral Commission Technical Deadlock</w:t>
      </w:r>
    </w:p>
    <w:p>
      <w:pPr>
        <w:spacing w:after="60" w:before="60"/>
      </w:pPr>
      <w:r>
        <w:rPr>
          <w:rFonts w:ascii="Arial" w:cs="Arial" w:eastAsia="Arial" w:hAnsi="Arial"/>
          <w:color w:val="000000"/>
          <w:sz w:val="22"/>
          <w:szCs w:val="22"/>
        </w:rPr>
        <w:t xml:space="preserve">Parliament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16.7 — Day Zero Voting System Transition</w:t>
      </w:r>
    </w:p>
    <w:p>
      <w:pPr>
        <w:spacing w:after="60" w:before="60"/>
      </w:pPr>
      <w:r>
        <w:rPr>
          <w:rFonts w:ascii="Arial" w:cs="Arial" w:eastAsia="Arial" w:hAnsi="Arial"/>
          <w:color w:val="000000"/>
          <w:sz w:val="22"/>
          <w:szCs w:val="22"/>
        </w:rPr>
        <w:t xml:space="preserve">This section governs three one-time transition events: the initial Electoral Commission formation, the simultaneous election of all nine Supreme Court justices, and the Senate staggering mechanism. All three occur during the first Phase 3 National Election Day.</w:t>
      </w:r>
    </w:p>
    <w:p>
      <w:pPr>
        <w:spacing w:after="60" w:before="60"/>
        <w:ind w:left="720" w:hanging="360"/>
      </w:pPr>
      <w:r>
        <w:rPr>
          <w:rFonts w:ascii="Arial" w:cs="Arial" w:eastAsia="Arial" w:hAnsi="Arial"/>
          <w:b/>
          <w:bCs/>
          <w:color w:val="4A6FA5"/>
          <w:sz w:val="22"/>
          <w:szCs w:val="22"/>
        </w:rPr>
        <w:t xml:space="preserve">16.7 Day Zero Transition: </w:t>
      </w:r>
      <w:r>
        <w:rPr>
          <w:rFonts w:ascii="Arial" w:cs="Arial" w:eastAsia="Arial" w:hAnsi="Arial"/>
          <w:color w:val="000000"/>
          <w:sz w:val="22"/>
          <w:szCs w:val="22"/>
        </w:rPr>
        <w:t xml:space="preserve">Parliament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 — FEDERAL PROPERTY AND THE SEAT OF GOVERNMENT</w:t>
      </w:r>
    </w:p>
    <w:p>
      <w:pPr>
        <w:spacing w:after="60" w:before="60"/>
      </w:pPr>
      <w:r>
        <w:rPr>
          <w:rFonts w:ascii="Arial" w:cs="Arial" w:eastAsia="Arial" w:hAnsi="Arial"/>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17.1 — The Use Doctrine</w:t>
      </w:r>
    </w:p>
    <w:p>
      <w:pPr>
        <w:spacing w:after="60" w:before="60"/>
      </w:pPr>
      <w:r>
        <w:rPr>
          <w:rFonts w:ascii="Arial" w:cs="Arial" w:eastAsia="Arial" w:hAnsi="Arial"/>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17.2 — The Federal Seat of Government</w:t>
      </w:r>
    </w:p>
    <w:p>
      <w:pPr>
        <w:spacing w:after="60" w:before="60"/>
      </w:pPr>
      <w:r>
        <w:rPr>
          <w:rFonts w:ascii="Arial" w:cs="Arial" w:eastAsia="Arial" w:hAnsi="Arial"/>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ind w:left="720" w:hanging="360"/>
      </w:pPr>
      <w:r>
        <w:rPr>
          <w:rFonts w:ascii="Arial" w:cs="Arial" w:eastAsia="Arial" w:hAnsi="Arial"/>
          <w:b/>
          <w:bCs/>
          <w:color w:val="4A6FA5"/>
          <w:sz w:val="22"/>
          <w:szCs w:val="22"/>
        </w:rPr>
        <w:t xml:space="preserve">17.2.a Host State Consent: </w:t>
      </w:r>
      <w:r>
        <w:rPr>
          <w:rFonts w:ascii="Arial" w:cs="Arial" w:eastAsia="Arial" w:hAnsi="Arial"/>
          <w:color w:val="000000"/>
          <w:sz w:val="22"/>
          <w:szCs w:val="22"/>
        </w:rPr>
        <w:t xml:space="preserve">The host State consents by a majority vote of its legislature, recorded on the National Record System. A 2/3 vote of the State legislature may withdraw consent with not less than 5 years' advance notice to Parliament, during which Parliament must designate a new host State. Federal operations are protected in full during the notice period.</w:t>
      </w:r>
    </w:p>
    <w:p>
      <w:pPr>
        <w:spacing w:after="60" w:before="60"/>
        <w:ind w:left="720" w:hanging="360"/>
      </w:pPr>
      <w:r>
        <w:rPr>
          <w:rFonts w:ascii="Arial" w:cs="Arial" w:eastAsia="Arial" w:hAnsi="Arial"/>
          <w:b/>
          <w:bCs/>
          <w:color w:val="4A6FA5"/>
          <w:sz w:val="22"/>
          <w:szCs w:val="22"/>
        </w:rPr>
        <w:t xml:space="preserve">17.2.b What Federal Control Means Within the Footprint: </w:t>
      </w:r>
      <w:r>
        <w:rPr>
          <w:rFonts w:ascii="Arial" w:cs="Arial" w:eastAsia="Arial" w:hAnsi="Arial"/>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ind w:left="720" w:hanging="360"/>
      </w:pPr>
      <w:r>
        <w:rPr>
          <w:rFonts w:ascii="Arial" w:cs="Arial" w:eastAsia="Arial" w:hAnsi="Arial"/>
          <w:b/>
          <w:bCs/>
          <w:color w:val="4A6FA5"/>
          <w:sz w:val="22"/>
          <w:szCs w:val="22"/>
        </w:rPr>
        <w:t xml:space="preserve">17.2.c Resident Rights: </w:t>
      </w:r>
      <w:r>
        <w:rPr>
          <w:rFonts w:ascii="Arial" w:cs="Arial" w:eastAsia="Arial" w:hAnsi="Arial"/>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ind w:left="720" w:hanging="360"/>
      </w:pPr>
      <w:r>
        <w:rPr>
          <w:rFonts w:ascii="Arial" w:cs="Arial" w:eastAsia="Arial" w:hAnsi="Arial"/>
          <w:b/>
          <w:bCs/>
          <w:color w:val="4A6FA5"/>
          <w:sz w:val="22"/>
          <w:szCs w:val="22"/>
        </w:rPr>
        <w:t xml:space="preserve">17.2.d Reversion on Relocation: </w:t>
      </w:r>
      <w:r>
        <w:rPr>
          <w:rFonts w:ascii="Arial" w:cs="Arial" w:eastAsia="Arial" w:hAnsi="Arial"/>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ind w:left="720" w:hanging="360"/>
      </w:pPr>
      <w:r>
        <w:rPr>
          <w:rFonts w:ascii="Arial" w:cs="Arial" w:eastAsia="Arial" w:hAnsi="Arial"/>
          <w:b/>
          <w:bCs/>
          <w:color w:val="4A6FA5"/>
          <w:sz w:val="22"/>
          <w:szCs w:val="22"/>
        </w:rPr>
        <w:t xml:space="preserve">17.2.e Provisional Seat — No Voluntary Host: </w:t>
      </w:r>
      <w:r>
        <w:rPr>
          <w:rFonts w:ascii="Arial" w:cs="Arial" w:eastAsia="Arial" w:hAnsi="Arial"/>
          <w:color w:val="000000"/>
          <w:sz w:val="22"/>
          <w:szCs w:val="22"/>
        </w:rPr>
        <w:t xml:space="preserve">If no State has consented to host the seat of government within 24 months of ratification — or within 24 months of a host State withdrawing consent — Parliament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Parliament must actively pursue a consenting host throughout any provisional period. Parliament defines the designation procedure and footprint mechanics by statute.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17.3 — Operational Use Rights</w:t>
      </w:r>
    </w:p>
    <w:p>
      <w:pPr>
        <w:spacing w:after="60" w:before="60"/>
      </w:pPr>
      <w:r>
        <w:rPr>
          <w:rFonts w:ascii="Arial" w:cs="Arial" w:eastAsia="Arial" w:hAnsi="Arial"/>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ind w:left="720" w:hanging="360"/>
      </w:pPr>
      <w:r>
        <w:rPr>
          <w:rFonts w:ascii="Arial" w:cs="Arial" w:eastAsia="Arial" w:hAnsi="Arial"/>
          <w:b/>
          <w:bCs/>
          <w:color w:val="4A6FA5"/>
          <w:sz w:val="22"/>
          <w:szCs w:val="22"/>
        </w:rPr>
        <w:t xml:space="preserve">17.3.a Registration: </w:t>
      </w:r>
      <w:r>
        <w:rPr>
          <w:rFonts w:ascii="Arial" w:cs="Arial" w:eastAsia="Arial" w:hAnsi="Arial"/>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ind w:left="720" w:hanging="360"/>
      </w:pPr>
      <w:r>
        <w:rPr>
          <w:rFonts w:ascii="Arial" w:cs="Arial" w:eastAsia="Arial" w:hAnsi="Arial"/>
          <w:b/>
          <w:bCs/>
          <w:color w:val="4A6FA5"/>
          <w:sz w:val="22"/>
          <w:szCs w:val="22"/>
        </w:rPr>
        <w:t xml:space="preserve">17.3.b Termination and Reversion: </w:t>
      </w:r>
      <w:r>
        <w:rPr>
          <w:rFonts w:ascii="Arial" w:cs="Arial" w:eastAsia="Arial" w:hAnsi="Arial"/>
          <w:color w:val="000000"/>
          <w:sz w:val="22"/>
          <w:szCs w:val="22"/>
        </w:rPr>
        <w:t xml:space="preserve">When a federal function ends, the use right terminates automatically. The federal government must formally notify the host State and record the termination on the National Record System promptly. The land reverts to full State sovereignty within a period defined by House statute.</w:t>
      </w:r>
    </w:p>
    <w:p>
      <w:pPr>
        <w:spacing w:after="60" w:before="60"/>
        <w:ind w:left="720" w:hanging="360"/>
      </w:pPr>
      <w:r>
        <w:rPr>
          <w:rFonts w:ascii="Arial" w:cs="Arial" w:eastAsia="Arial" w:hAnsi="Arial"/>
          <w:b/>
          <w:bCs/>
          <w:color w:val="4A6FA5"/>
          <w:sz w:val="22"/>
          <w:szCs w:val="22"/>
        </w:rPr>
        <w:t xml:space="preserve">17.3.c Improvements — Negotiated Settlement: </w:t>
      </w:r>
      <w:r>
        <w:rPr>
          <w:rFonts w:ascii="Arial" w:cs="Arial" w:eastAsia="Arial" w:hAnsi="Arial"/>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ind w:left="720" w:hanging="360"/>
      </w:pPr>
      <w:r>
        <w:rPr>
          <w:rFonts w:ascii="Arial" w:cs="Arial" w:eastAsia="Arial" w:hAnsi="Arial"/>
          <w:b/>
          <w:bCs/>
          <w:color w:val="4A6FA5"/>
          <w:sz w:val="22"/>
          <w:szCs w:val="22"/>
        </w:rPr>
        <w:t xml:space="preserve">17.3.d Disputes: </w:t>
      </w:r>
      <w:r>
        <w:rPr>
          <w:rFonts w:ascii="Arial" w:cs="Arial" w:eastAsia="Arial" w:hAnsi="Arial"/>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ind w:left="720" w:hanging="360"/>
      </w:pPr>
      <w:r>
        <w:rPr>
          <w:rFonts w:ascii="Arial" w:cs="Arial" w:eastAsia="Arial" w:hAnsi="Arial"/>
          <w:b/>
          <w:bCs/>
          <w:color w:val="4A6FA5"/>
          <w:sz w:val="22"/>
          <w:szCs w:val="22"/>
        </w:rPr>
        <w:t xml:space="preserve">17.3.e Independence Transition: </w:t>
      </w:r>
      <w:r>
        <w:rPr>
          <w:rFonts w:ascii="Arial" w:cs="Arial" w:eastAsia="Arial" w:hAnsi="Arial"/>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Parliament must by statute authorize transition funding for facility adjustments, relocations, and infrastructure transfers required by this provision.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17.4 — The Conservation Trust</w:t>
      </w:r>
    </w:p>
    <w:p>
      <w:pPr>
        <w:spacing w:after="60" w:before="60"/>
      </w:pPr>
      <w:r>
        <w:rPr>
          <w:rFonts w:ascii="Arial" w:cs="Arial" w:eastAsia="Arial" w:hAnsi="Arial"/>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ind w:left="720" w:hanging="360"/>
      </w:pPr>
      <w:r>
        <w:rPr>
          <w:rFonts w:ascii="Arial" w:cs="Arial" w:eastAsia="Arial" w:hAnsi="Arial"/>
          <w:b/>
          <w:bCs/>
          <w:color w:val="4A6FA5"/>
          <w:sz w:val="22"/>
          <w:szCs w:val="22"/>
        </w:rPr>
        <w:t xml:space="preserve">17.4.a Trust Nature: </w:t>
      </w:r>
      <w:r>
        <w:rPr>
          <w:rFonts w:ascii="Arial" w:cs="Arial" w:eastAsia="Arial" w:hAnsi="Arial"/>
          <w:color w:val="000000"/>
          <w:sz w:val="22"/>
          <w:szCs w:val="22"/>
        </w:rPr>
        <w:t xml:space="preserve">Conservation Trust lands are held in perpetuity for the public benefit of preservation, ecological integrity, and cultural heritage. The Trust may not be dissolved, privatized, or transferred by statute or executive action alone.</w:t>
      </w:r>
    </w:p>
    <w:p>
      <w:pPr>
        <w:spacing w:after="60" w:before="60"/>
        <w:ind w:left="720" w:hanging="360"/>
      </w:pPr>
      <w:r>
        <w:rPr>
          <w:rFonts w:ascii="Arial" w:cs="Arial" w:eastAsia="Arial" w:hAnsi="Arial"/>
          <w:b/>
          <w:bCs/>
          <w:color w:val="4A6FA5"/>
          <w:sz w:val="22"/>
          <w:szCs w:val="22"/>
        </w:rPr>
        <w:t xml:space="preserve">17.4.b Stewardship Obligation: </w:t>
      </w:r>
      <w:r>
        <w:rPr>
          <w:rFonts w:ascii="Arial" w:cs="Arial" w:eastAsia="Arial" w:hAnsi="Arial"/>
          <w:color w:val="000000"/>
          <w:sz w:val="22"/>
          <w:szCs w:val="22"/>
        </w:rPr>
        <w:t xml:space="preserve">The federal government as trustee has an active, enforceable obligation to maintain the ecological integrity and public accessibility of Conservation Trust lands. The Executive Inspectorate monitors stewardship compliance annually, cross-referenced with §1.22 (Right to a Healthy Environment). Failure to maintain stewardship standards may trigger Rule Violation proceedings and triggers a mandatory remediation plan.</w:t>
      </w:r>
    </w:p>
    <w:p>
      <w:pPr>
        <w:spacing w:after="60" w:before="60"/>
        <w:ind w:left="720" w:hanging="360"/>
      </w:pPr>
      <w:r>
        <w:rPr>
          <w:rFonts w:ascii="Arial" w:cs="Arial" w:eastAsia="Arial" w:hAnsi="Arial"/>
          <w:b/>
          <w:bCs/>
          <w:color w:val="4A6FA5"/>
          <w:sz w:val="22"/>
          <w:szCs w:val="22"/>
        </w:rPr>
        <w:t xml:space="preserve">17.4.c Co-Management: </w:t>
      </w:r>
      <w:r>
        <w:rPr>
          <w:rFonts w:ascii="Arial" w:cs="Arial" w:eastAsia="Arial" w:hAnsi="Arial"/>
          <w:color w:val="000000"/>
          <w:sz w:val="22"/>
          <w:szCs w:val="22"/>
        </w:rPr>
        <w:t xml:space="preserve">States may enter co-management agreements with the Domestic Affairs Council for Conservation Trust lands within their borders. Co-management may expand public access and local stewardship but may not reduce the trust's protective obligations.</w:t>
      </w:r>
    </w:p>
    <w:p>
      <w:pPr>
        <w:spacing w:after="60" w:before="60"/>
        <w:ind w:left="720" w:hanging="360"/>
      </w:pPr>
      <w:r>
        <w:rPr>
          <w:rFonts w:ascii="Arial" w:cs="Arial" w:eastAsia="Arial" w:hAnsi="Arial"/>
          <w:b/>
          <w:bCs/>
          <w:color w:val="4A6FA5"/>
          <w:sz w:val="22"/>
          <w:szCs w:val="22"/>
        </w:rPr>
        <w:t xml:space="preserve">17.4.d Reclassification Threshold: </w:t>
      </w:r>
      <w:r>
        <w:rPr>
          <w:rFonts w:ascii="Arial" w:cs="Arial" w:eastAsia="Arial" w:hAnsi="Arial"/>
          <w:color w:val="000000"/>
          <w:sz w:val="22"/>
          <w:szCs w:val="22"/>
        </w:rPr>
        <w:t xml:space="preserve">Removing any land from Conservation Trust status requires a national referendum under Article XI with a 65% affirmative threshold. No executive order or parliamentary act may reclassify Conservation Trust land without this referendum.</w:t>
      </w:r>
    </w:p>
    <w:p>
      <w:pPr>
        <w:spacing w:after="60" w:before="60"/>
        <w:ind w:left="720" w:hanging="360"/>
      </w:pPr>
      <w:r>
        <w:rPr>
          <w:rFonts w:ascii="Arial" w:cs="Arial" w:eastAsia="Arial" w:hAnsi="Arial"/>
          <w:b/>
          <w:bCs/>
          <w:color w:val="4A6FA5"/>
          <w:sz w:val="22"/>
          <w:szCs w:val="22"/>
        </w:rPr>
        <w:t xml:space="preserve">17.4.e International Sites: </w:t>
      </w:r>
      <w:r>
        <w:rPr>
          <w:rFonts w:ascii="Arial" w:cs="Arial" w:eastAsia="Arial" w:hAnsi="Arial"/>
          <w:color w:val="000000"/>
          <w:sz w:val="22"/>
          <w:szCs w:val="22"/>
        </w:rPr>
        <w:t xml:space="preserve">Conservation Trust lands recognized under international conservation agreements require a 2/3 Senate vote to withdraw from the relevant international obligation before the national referendum may proceed.</w:t>
      </w:r>
    </w:p>
    <w:p>
      <w:pPr>
        <w:spacing w:after="60" w:before="60"/>
        <w:ind w:left="720" w:hanging="360"/>
      </w:pPr>
      <w:r>
        <w:rPr>
          <w:rFonts w:ascii="Arial" w:cs="Arial" w:eastAsia="Arial" w:hAnsi="Arial"/>
          <w:b/>
          <w:bCs/>
          <w:color w:val="4A6FA5"/>
          <w:sz w:val="22"/>
          <w:szCs w:val="22"/>
        </w:rPr>
        <w:t xml:space="preserve">17.4.f Admission of New Trust Lands: </w:t>
      </w:r>
      <w:r>
        <w:rPr>
          <w:rFonts w:ascii="Arial" w:cs="Arial" w:eastAsia="Arial" w:hAnsi="Arial"/>
          <w:color w:val="000000"/>
          <w:sz w:val="22"/>
          <w:szCs w:val="22"/>
        </w:rPr>
        <w:t xml:space="preserve">Land may be designated as Conservation Trust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Conservation Trust without a State-level referendum achieving 60% affirmative. Federal designation that would bring any State above this threshold requires both the 2/3 parliamentary vote and the State referendum.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17.5 — Federal Property in Territories</w:t>
      </w:r>
    </w:p>
    <w:p>
      <w:pPr>
        <w:spacing w:after="60" w:before="60"/>
      </w:pPr>
      <w:r>
        <w:rPr>
          <w:rFonts w:ascii="Arial" w:cs="Arial" w:eastAsia="Arial" w:hAnsi="Arial"/>
          <w:color w:val="000000"/>
          <w:sz w:val="22"/>
          <w:szCs w:val="22"/>
        </w:rPr>
        <w:t xml:space="preserve">Federal use rights in Territories follow the same framework as in States — Operational Use Rights (§17.3) and Conservation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XVIII — ELECTORAL FINANCE AND CAMPAIGN INTEGRITY</w:t>
      </w:r>
    </w:p>
    <w:p>
      <w:pPr>
        <w:spacing w:after="60" w:before="60"/>
      </w:pPr>
      <w:r>
        <w:rPr>
          <w:rFonts w:ascii="Arial" w:cs="Arial" w:eastAsia="Arial" w:hAnsi="Arial"/>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18.1 — Foundational Principles</w:t>
      </w:r>
    </w:p>
    <w:p>
      <w:pPr>
        <w:spacing w:after="60" w:before="60"/>
        <w:ind w:left="720" w:hanging="360"/>
      </w:pPr>
      <w:r>
        <w:rPr>
          <w:rFonts w:ascii="Arial" w:cs="Arial" w:eastAsia="Arial" w:hAnsi="Arial"/>
          <w:b/>
          <w:bCs/>
          <w:color w:val="4A6FA5"/>
          <w:sz w:val="22"/>
          <w:szCs w:val="22"/>
        </w:rPr>
        <w:t xml:space="preserve">18.1.a Financial Contributions as Electoral Acts: </w:t>
      </w:r>
      <w:r>
        <w:rPr>
          <w:rFonts w:ascii="Arial" w:cs="Arial" w:eastAsia="Arial" w:hAnsi="Arial"/>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w:t>
      </w:r>
    </w:p>
    <w:p>
      <w:pPr>
        <w:spacing w:after="60" w:before="60"/>
        <w:ind w:left="720" w:hanging="360"/>
      </w:pPr>
      <w:r>
        <w:rPr>
          <w:rFonts w:ascii="Arial" w:cs="Arial" w:eastAsia="Arial" w:hAnsi="Arial"/>
          <w:b/>
          <w:bCs/>
          <w:color w:val="4A6FA5"/>
          <w:sz w:val="22"/>
          <w:szCs w:val="22"/>
        </w:rPr>
        <w:t xml:space="preserve">18.1.b Natural Persons Only: </w:t>
      </w:r>
      <w:r>
        <w:rPr>
          <w:rFonts w:ascii="Arial" w:cs="Arial" w:eastAsia="Arial" w:hAnsi="Arial"/>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organizations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 regardless of whose Citizen Voting Credential was used. Persons who receive any compensation in exchange for making a directed contribution may not doing so. The prohibition applies equally to those directing and funding such arrangements.</w:t>
      </w:r>
    </w:p>
    <w:p>
      <w:pPr>
        <w:spacing w:after="60" w:before="60"/>
        <w:ind w:left="720" w:hanging="360"/>
      </w:pPr>
      <w:r>
        <w:rPr>
          <w:rFonts w:ascii="Arial" w:cs="Arial" w:eastAsia="Arial" w:hAnsi="Arial"/>
          <w:b/>
          <w:bCs/>
          <w:color w:val="4A6FA5"/>
          <w:sz w:val="22"/>
          <w:szCs w:val="22"/>
        </w:rPr>
        <w:t xml:space="preserve">18.1.c Voter-Donor Parity: </w:t>
      </w:r>
      <w:r>
        <w:rPr>
          <w:rFonts w:ascii="Arial" w:cs="Arial" w:eastAsia="Arial" w:hAnsi="Arial"/>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ind w:left="720" w:hanging="360"/>
      </w:pPr>
      <w:r>
        <w:rPr>
          <w:rFonts w:ascii="Arial" w:cs="Arial" w:eastAsia="Arial" w:hAnsi="Arial"/>
          <w:b/>
          <w:bCs/>
          <w:color w:val="4A6FA5"/>
          <w:sz w:val="22"/>
          <w:szCs w:val="22"/>
        </w:rPr>
        <w:t xml:space="preserve">18.1.d Full Disclosure: </w:t>
      </w:r>
      <w:r>
        <w:rPr>
          <w:rFonts w:ascii="Arial" w:cs="Arial" w:eastAsia="Arial" w:hAnsi="Arial"/>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18.2 — Public Campaign Funding</w:t>
      </w:r>
    </w:p>
    <w:p>
      <w:pPr>
        <w:spacing w:after="60" w:before="60"/>
      </w:pPr>
      <w:r>
        <w:rPr>
          <w:rFonts w:ascii="Arial" w:cs="Arial" w:eastAsia="Arial" w:hAnsi="Arial"/>
          <w:color w:val="000000"/>
          <w:sz w:val="22"/>
          <w:szCs w:val="22"/>
        </w:rPr>
        <w:t xml:space="preserve">Parliament must by statute establish a system of public campaign financing for all federal elections meeting these constitutional requirements.</w:t>
      </w:r>
    </w:p>
    <w:p>
      <w:pPr>
        <w:spacing w:after="60" w:before="60"/>
        <w:ind w:left="720" w:hanging="360"/>
      </w:pPr>
      <w:r>
        <w:rPr>
          <w:rFonts w:ascii="Arial" w:cs="Arial" w:eastAsia="Arial" w:hAnsi="Arial"/>
          <w:b/>
          <w:bCs/>
          <w:color w:val="4A6FA5"/>
          <w:sz w:val="22"/>
          <w:szCs w:val="22"/>
        </w:rPr>
        <w:t xml:space="preserve">18.2.a Qualification Threshold: </w:t>
      </w:r>
      <w:r>
        <w:rPr>
          <w:rFonts w:ascii="Arial" w:cs="Arial" w:eastAsia="Arial" w:hAnsi="Arial"/>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ind w:left="720" w:hanging="360"/>
      </w:pPr>
      <w:r>
        <w:rPr>
          <w:rFonts w:ascii="Arial" w:cs="Arial" w:eastAsia="Arial" w:hAnsi="Arial"/>
          <w:b/>
          <w:bCs/>
          <w:color w:val="4A6FA5"/>
          <w:sz w:val="22"/>
          <w:szCs w:val="22"/>
        </w:rPr>
        <w:t xml:space="preserve">18.2.b Adequate Allocation: </w:t>
      </w:r>
      <w:r>
        <w:rPr>
          <w:rFonts w:ascii="Arial" w:cs="Arial" w:eastAsia="Arial" w:hAnsi="Arial"/>
          <w:color w:val="000000"/>
          <w:sz w:val="22"/>
          <w:szCs w:val="22"/>
        </w:rPr>
        <w:t xml:space="preserve">The public campaign allocation must be sufficient to allow a qualified candidate to conduct a meaningful campaign. Parliament reviews the adequacy of the allocation after each election cycle and adjusts by statute as needed.</w:t>
      </w:r>
    </w:p>
    <w:p>
      <w:pPr>
        <w:spacing w:after="60" w:before="60"/>
        <w:ind w:left="720" w:hanging="360"/>
      </w:pPr>
      <w:r>
        <w:rPr>
          <w:rFonts w:ascii="Arial" w:cs="Arial" w:eastAsia="Arial" w:hAnsi="Arial"/>
          <w:b/>
          <w:bCs/>
          <w:color w:val="4A6FA5"/>
          <w:sz w:val="22"/>
          <w:szCs w:val="22"/>
        </w:rPr>
        <w:t xml:space="preserve">18.2.c Optional Participation: </w:t>
      </w:r>
      <w:r>
        <w:rPr>
          <w:rFonts w:ascii="Arial" w:cs="Arial" w:eastAsia="Arial" w:hAnsi="Arial"/>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ind w:left="720" w:hanging="360"/>
      </w:pPr>
      <w:r>
        <w:rPr>
          <w:rFonts w:ascii="Arial" w:cs="Arial" w:eastAsia="Arial" w:hAnsi="Arial"/>
          <w:b/>
          <w:bCs/>
          <w:color w:val="4A6FA5"/>
          <w:sz w:val="22"/>
          <w:szCs w:val="22"/>
        </w:rPr>
        <w:t xml:space="preserve">18.2.d EC Administration: </w:t>
      </w:r>
      <w:r>
        <w:rPr>
          <w:rFonts w:ascii="Arial" w:cs="Arial" w:eastAsia="Arial" w:hAnsi="Arial"/>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18.3 — The Campaign Finance Registry</w:t>
      </w:r>
    </w:p>
    <w:p>
      <w:pPr>
        <w:spacing w:after="60" w:before="60"/>
      </w:pPr>
      <w:r>
        <w:rPr>
          <w:rFonts w:ascii="Arial" w:cs="Arial" w:eastAsia="Arial" w:hAnsi="Arial"/>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ind w:left="720" w:hanging="360"/>
      </w:pPr>
      <w:r>
        <w:rPr>
          <w:rFonts w:ascii="Arial" w:cs="Arial" w:eastAsia="Arial" w:hAnsi="Arial"/>
          <w:b/>
          <w:bCs/>
          <w:color w:val="4A6FA5"/>
          <w:sz w:val="22"/>
          <w:szCs w:val="22"/>
        </w:rPr>
        <w:t xml:space="preserve">18.3.a Separation from the Voting System: </w:t>
      </w:r>
      <w:r>
        <w:rPr>
          <w:rFonts w:ascii="Arial" w:cs="Arial" w:eastAsia="Arial" w:hAnsi="Arial"/>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may trigger Rule Violation proceedings under §2.8.</w:t>
      </w:r>
    </w:p>
    <w:p>
      <w:pPr>
        <w:spacing w:after="60" w:before="60"/>
        <w:ind w:left="720" w:hanging="360"/>
      </w:pPr>
      <w:r>
        <w:rPr>
          <w:rFonts w:ascii="Arial" w:cs="Arial" w:eastAsia="Arial" w:hAnsi="Arial"/>
          <w:b/>
          <w:bCs/>
          <w:color w:val="4A6FA5"/>
          <w:sz w:val="22"/>
          <w:szCs w:val="22"/>
        </w:rPr>
        <w:t xml:space="preserve">18.3.b Registry Contents: </w:t>
      </w:r>
      <w:r>
        <w:rPr>
          <w:rFonts w:ascii="Arial" w:cs="Arial" w:eastAsia="Arial" w:hAnsi="Arial"/>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ind w:left="720" w:hanging="360"/>
      </w:pPr>
      <w:r>
        <w:rPr>
          <w:rFonts w:ascii="Arial" w:cs="Arial" w:eastAsia="Arial" w:hAnsi="Arial"/>
          <w:b/>
          <w:bCs/>
          <w:color w:val="4A6FA5"/>
          <w:sz w:val="22"/>
          <w:szCs w:val="22"/>
        </w:rPr>
        <w:t xml:space="preserve">18.3.c Aggregate Attribution: </w:t>
      </w:r>
      <w:r>
        <w:rPr>
          <w:rFonts w:ascii="Arial" w:cs="Arial" w:eastAsia="Arial" w:hAnsi="Arial"/>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Parliament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ind w:left="720" w:hanging="360"/>
      </w:pPr>
      <w:r>
        <w:rPr>
          <w:rFonts w:ascii="Arial" w:cs="Arial" w:eastAsia="Arial" w:hAnsi="Arial"/>
          <w:b/>
          <w:bCs/>
          <w:color w:val="4A6FA5"/>
          <w:sz w:val="22"/>
          <w:szCs w:val="22"/>
        </w:rPr>
        <w:t xml:space="preserve">18.3.d Administration: </w:t>
      </w:r>
      <w:r>
        <w:rPr>
          <w:rFonts w:ascii="Arial" w:cs="Arial" w:eastAsia="Arial" w:hAnsi="Arial"/>
          <w:color w:val="000000"/>
          <w:sz w:val="22"/>
          <w:szCs w:val="22"/>
        </w:rPr>
        <w:t xml:space="preserve">The Electoral Commission administers the Campaign Finance Registry. The Executive Inspectorate audits the Registry annually and publishes findings as part of the Annual State of the Republic Report. Parliament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Parliament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ARTICLE XIX — RATIFICATION AND TRANSITION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19.1 — The Activation Threshold</w:t>
      </w:r>
    </w:p>
    <w:p>
      <w:pPr>
        <w:spacing w:after="60" w:before="60"/>
      </w:pPr>
      <w:r>
        <w:rPr>
          <w:rFonts w:ascii="Arial" w:cs="Arial" w:eastAsia="Arial" w:hAnsi="Arial"/>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19.2 — Day Zero</w:t>
      </w:r>
    </w:p>
    <w:p>
      <w:pPr>
        <w:spacing w:after="60" w:before="60"/>
      </w:pPr>
      <w:r>
        <w:rPr>
          <w:rFonts w:ascii="Arial" w:cs="Arial" w:eastAsia="Arial" w:hAnsi="Arial"/>
          <w:color w:val="000000"/>
          <w:sz w:val="22"/>
          <w:szCs w:val="22"/>
        </w:rPr>
        <w:t xml:space="preserve">Upon ratification, all laws, orders, and regulations conflicting with the Fundamental Rights Floor are immediately null and void. All public assets are transferred to the National Record System. The 18-month Transition Window begins.</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19.3 — The Four-Phase Transition</w:t>
      </w:r>
    </w:p>
    <w:p>
      <w:pPr>
        <w:spacing w:after="60" w:before="60"/>
      </w:pPr>
      <w:r>
        <w:rPr>
          <w:rFonts w:ascii="Arial" w:cs="Arial" w:eastAsia="Arial" w:hAnsi="Arial"/>
          <w:color w:val="000000"/>
          <w:sz w:val="22"/>
          <w:szCs w:val="22"/>
        </w:rPr>
        <w:t xml:space="preserve">The transition is structured as an 18-month, four-phase process to prevent systemic shock and provide adequate time for institutional construction.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000"/>
        <w:gridCol w:w="4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1</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0–5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Infrastructure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 National Record System including non-digital pathway; constitute Inspectorates; conduct Electoral Commission elections; seat of government determination.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2</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5–10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Legal Audit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Audits for all States; Statehood vs. Territory determinations; legal cleanup; NVS testing and certification.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3</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National Elections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 National Election Day: all 9 SCOTUS seats, all Senate seats, all House seats, all Electoral Commission seats, and the Presidency elected simultaneously. House seats PM within 45 days. President takes office at Phase 4 activation.</w:t>
            </w:r>
          </w:p>
        </w:tc>
      </w:tr>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 4</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B2A4A"/>
                <w:sz w:val="20"/>
                <w:szCs w:val="20"/>
              </w:rPr>
              <w:t xml:space="preserve">Month 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0000"/>
                <w:sz w:val="20"/>
                <w:szCs w:val="20"/>
              </w:rPr>
              <w:t xml:space="preserve">Full Activation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Nullification of laws conflicting with Article I; all elected officials sworn in; Republic fully operational. First fiscal year grace period of 6 months applies.</w:t>
            </w:r>
          </w:p>
        </w:tc>
      </w:tr>
    </w:tbl>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19.4 — Caretaker Status</w:t>
      </w:r>
    </w:p>
    <w:p>
      <w:pPr>
        <w:spacing w:after="60" w:before="60"/>
      </w:pPr>
      <w:r>
        <w:rPr>
          <w:rFonts w:ascii="Arial" w:cs="Arial" w:eastAsia="Arial" w:hAnsi="Arial"/>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19.5 — Pre-Constitutional Classified Documents</w:t>
      </w:r>
    </w:p>
    <w:p>
      <w:pPr>
        <w:spacing w:after="60" w:before="60"/>
      </w:pPr>
      <w:r>
        <w:rPr>
          <w:rFonts w:ascii="Arial" w:cs="Arial" w:eastAsia="Arial" w:hAnsi="Arial"/>
          <w:color w:val="000000"/>
          <w:sz w:val="22"/>
          <w:szCs w:val="22"/>
        </w:rPr>
        <w:t xml:space="preserve">Parliament must by statute establish a Classification Review Commission within 90 days of Phase 4 activation to review predecessor-government classified documents. The Commission applies the criteria of §9.4 to determine whether pre-existing classified material was legitimately classified for genuine security reasons or improperly classified to conceal Rule Violations or policy decisions. Legitimately classified documents enter the §9.4 duration framework from Day Zero. Improperly classified documents are immediately declassified and published to the National Record System. Any person may petition the Supreme Court to challenge a Commission determination.</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19.6 — Pre-Existing Obligations</w:t>
      </w:r>
    </w:p>
    <w:p>
      <w:pPr>
        <w:spacing w:after="60" w:before="60"/>
        <w:ind w:left="720" w:hanging="360"/>
      </w:pPr>
      <w:r>
        <w:rPr>
          <w:rFonts w:ascii="Arial" w:cs="Arial" w:eastAsia="Arial" w:hAnsi="Arial"/>
          <w:b/>
          <w:bCs/>
          <w:color w:val="4A6FA5"/>
          <w:sz w:val="22"/>
          <w:szCs w:val="22"/>
        </w:rPr>
        <w:t xml:space="preserve">19.6.a Debt Assumption: </w:t>
      </w:r>
      <w:r>
        <w:rPr>
          <w:rFonts w:ascii="Arial" w:cs="Arial" w:eastAsia="Arial" w:hAnsi="Arial"/>
          <w:color w:val="000000"/>
          <w:sz w:val="22"/>
          <w:szCs w:val="22"/>
        </w:rPr>
        <w:t xml:space="preserve">The Republic assumes all legally recognized debts of the predecessor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predecessor government after Day Zero.</w:t>
      </w:r>
    </w:p>
    <w:p>
      <w:pPr>
        <w:spacing w:after="60" w:before="60"/>
        <w:ind w:left="720" w:hanging="360"/>
      </w:pPr>
      <w:r>
        <w:rPr>
          <w:rFonts w:ascii="Arial" w:cs="Arial" w:eastAsia="Arial" w:hAnsi="Arial"/>
          <w:b/>
          <w:bCs/>
          <w:color w:val="4A6FA5"/>
          <w:sz w:val="22"/>
          <w:szCs w:val="22"/>
        </w:rPr>
        <w:t xml:space="preserve">19.6.b Active Military Operations: </w:t>
      </w:r>
      <w:r>
        <w:rPr>
          <w:rFonts w:ascii="Arial" w:cs="Arial" w:eastAsia="Arial" w:hAnsi="Arial"/>
          <w:color w:val="000000"/>
          <w:sz w:val="22"/>
          <w:szCs w:val="22"/>
        </w:rPr>
        <w:t xml:space="preserve">Active military operations of the predecessor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Parliament grants a one-time extension by simple majority of both chambers.</w:t>
      </w:r>
    </w:p>
    <w:p>
      <w:pPr>
        <w:spacing w:after="60" w:before="60"/>
        <w:ind w:left="720" w:hanging="360"/>
      </w:pPr>
      <w:r>
        <w:rPr>
          <w:rFonts w:ascii="Arial" w:cs="Arial" w:eastAsia="Arial" w:hAnsi="Arial"/>
          <w:b/>
          <w:bCs/>
          <w:color w:val="4A6FA5"/>
          <w:sz w:val="22"/>
          <w:szCs w:val="22"/>
        </w:rPr>
        <w:t xml:space="preserve">19.6.c Social Insurance Programs: </w:t>
      </w:r>
      <w:r>
        <w:rPr>
          <w:rFonts w:ascii="Arial" w:cs="Arial" w:eastAsia="Arial" w:hAnsi="Arial"/>
          <w:color w:val="000000"/>
          <w:sz w:val="22"/>
          <w:szCs w:val="22"/>
        </w:rPr>
        <w:t xml:space="preserve">Existing social insurance programs of the predecessor government — including retirement, disability, healthcare, and unemployment programs — continue without interruption through Phase 4. Parliament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ind w:left="720" w:hanging="360"/>
      </w:pPr>
      <w:r>
        <w:rPr>
          <w:rFonts w:ascii="Arial" w:cs="Arial" w:eastAsia="Arial" w:hAnsi="Arial"/>
          <w:b/>
          <w:bCs/>
          <w:color w:val="4A6FA5"/>
          <w:sz w:val="22"/>
          <w:szCs w:val="22"/>
        </w:rPr>
        <w:t xml:space="preserve">19.6.d Veterans and National Service Obligations: </w:t>
      </w:r>
      <w:r>
        <w:rPr>
          <w:rFonts w:ascii="Arial" w:cs="Arial" w:eastAsia="Arial" w:hAnsi="Arial"/>
          <w:color w:val="000000"/>
          <w:sz w:val="22"/>
          <w:szCs w:val="22"/>
        </w:rPr>
        <w:t xml:space="preserve">The Republic inherits and honors all benefit obligations to persons who served in military or national service roles under the predecessor government. These obligations are existing contractual commitments of the sovereign and survive the transition as a matter of continuity-of-state. Within the first budget cycle following Phase 4 activation, Parliament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ind w:left="720" w:hanging="360"/>
      </w:pPr>
      <w:r>
        <w:rPr>
          <w:rFonts w:ascii="Arial" w:cs="Arial" w:eastAsia="Arial" w:hAnsi="Arial"/>
          <w:b/>
          <w:bCs/>
          <w:color w:val="4A6FA5"/>
          <w:sz w:val="22"/>
          <w:szCs w:val="22"/>
        </w:rPr>
        <w:t xml:space="preserve">19.6.e Constitutional Claims Court: </w:t>
      </w:r>
      <w:r>
        <w:rPr>
          <w:rFonts w:ascii="Arial" w:cs="Arial" w:eastAsia="Arial" w:hAnsi="Arial"/>
          <w:color w:val="000000"/>
          <w:sz w:val="22"/>
          <w:szCs w:val="22"/>
        </w:rPr>
        <w:t xml:space="preserve">The immediate nullification of laws conflicting with the Fundamental Rights Floor under §19.2 creates a substantial volume of constitutional claims by persons whose rights were violated under predecessor law. Within 60 days of Phase 4 activation, Parliament must establish by statute a Constitutional Claims Court with expedited jurisdiction to adjudicate claims arising from laws or government actions that were lawful under the predecessor government but are void under this Constitution from Day Zero. The Constitutional Claims Court operates for a period of not less than five years and may be renewed by Parliament. Its decisions are subject to appeal to the Article IV courts. Access to the Constitutional Claims Court is guaranteed under Article I (Right of Access to Courts); Parliament must ensure legal aid is available to claimants who cannot afford representation, consistent with Article I's legal aid mandate.</w:t>
      </w:r>
    </w:p>
    <w:p>
      <w:pPr>
        <w:spacing w:after="0" w:before="120"/>
      </w:pPr>
      <w:r>
        <w:t xml:space="preserve"/>
      </w:r>
    </w:p>
    <w:p>
      <w:pPr>
        <w:spacing w:after="60" w:before="60"/>
        <w:ind w:left="720" w:hanging="360"/>
      </w:pPr>
      <w:r>
        <w:rPr>
          <w:rFonts w:ascii="Arial" w:cs="Arial" w:eastAsia="Arial" w:hAnsi="Arial"/>
          <w:b/>
          <w:bCs/>
          <w:color w:val="4A6FA5"/>
          <w:sz w:val="22"/>
          <w:szCs w:val="22"/>
        </w:rPr>
        <w:t xml:space="preserve">19.6.f Legal Continuity: </w:t>
      </w:r>
      <w:r>
        <w:rPr>
          <w:rFonts w:ascii="Arial" w:cs="Arial" w:eastAsia="Arial" w:hAnsi="Arial"/>
          <w:color w:val="000000"/>
          <w:sz w:val="22"/>
          <w:szCs w:val="22"/>
        </w:rPr>
        <w:t xml:space="preserve">The Federated Republic is the legal continuity of its predecessor government as a matter of international law. All international legal obligations, financial obligations, treaty commitments, contractual obligations, and benefit program obligations of the predecessor government as of Day Zero are assumed by the Republic as the continuation of that sovereign. This section governs the transition of those obligations into the Republic's constitutional framework.</w:t>
      </w:r>
    </w:p>
    <w:p>
      <w:pPr>
        <w:pStyle w:val="Heading2"/>
        <w:spacing w:after="80" w:before="200"/>
      </w:pPr>
      <w:r>
        <w:rPr>
          <w:rFonts w:ascii="Arial" w:cs="Arial" w:eastAsia="Arial" w:hAnsi="Arial"/>
          <w:b/>
          <w:bCs/>
          <w:color w:val="4A6FA5"/>
          <w:sz w:val="24"/>
          <w:szCs w:val="24"/>
        </w:rPr>
        <w:t xml:space="preserve">Section 19.7 — Transition-Period Territorial and Subdivision Elections</w:t>
      </w:r>
    </w:p>
    <w:p>
      <w:pPr>
        <w:spacing w:after="60" w:before="60"/>
      </w:pPr>
      <w:r>
        <w:rPr>
          <w:rFonts w:ascii="Arial" w:cs="Arial" w:eastAsia="Arial" w:hAnsi="Arial"/>
          <w:color w:val="000000"/>
          <w:sz w:val="22"/>
          <w:szCs w:val="22"/>
        </w:rPr>
        <w:t xml:space="preserve">The transition from the predecessor government to the Republic involves all existing states, territories, and other political subdivisions of the predecessor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18-month Transition Window. This section governs all three.</w:t>
      </w:r>
    </w:p>
    <w:p>
      <w:pPr>
        <w:spacing w:after="60" w:before="60"/>
        <w:ind w:left="720" w:hanging="360"/>
      </w:pPr>
      <w:r>
        <w:rPr>
          <w:rFonts w:ascii="Arial" w:cs="Arial" w:eastAsia="Arial" w:hAnsi="Arial"/>
          <w:b/>
          <w:bCs/>
          <w:color w:val="4A6FA5"/>
          <w:sz w:val="22"/>
          <w:szCs w:val="22"/>
        </w:rPr>
        <w:t xml:space="preserve">19.7.a Transition-Period Territorial Elections: </w:t>
      </w:r>
      <w:r>
        <w:rPr>
          <w:rFonts w:ascii="Arial" w:cs="Arial" w:eastAsia="Arial" w:hAnsi="Arial"/>
          <w:color w:val="000000"/>
          <w:sz w:val="22"/>
          <w:szCs w:val="22"/>
        </w:rPr>
        <w:t xml:space="preserve">During the Transition Window, any territory or subdivision of the predecessor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Parliament must by statute establish the administrative process for transition-period petitions, including timelines, documentation requirements, and Electoral Commission responsibilities.</w:t>
      </w:r>
    </w:p>
    <w:p>
      <w:pPr>
        <w:spacing w:after="60" w:before="60"/>
        <w:ind w:left="720" w:hanging="360"/>
      </w:pPr>
      <w:r>
        <w:rPr>
          <w:rFonts w:ascii="Arial" w:cs="Arial" w:eastAsia="Arial" w:hAnsi="Arial"/>
          <w:b/>
          <w:bCs/>
          <w:color w:val="4A6FA5"/>
          <w:sz w:val="22"/>
          <w:szCs w:val="22"/>
        </w:rPr>
        <w:t xml:space="preserve">19.7.b Subdivision Elections: </w:t>
      </w:r>
      <w:r>
        <w:rPr>
          <w:rFonts w:ascii="Arial" w:cs="Arial" w:eastAsia="Arial" w:hAnsi="Arial"/>
          <w:color w:val="000000"/>
          <w:sz w:val="22"/>
          <w:szCs w:val="22"/>
        </w:rPr>
        <w:t xml:space="preserve">Territories or states of the predecessor government may voluntarily subdivide during the Transition Window by vote of their existing legislative body. New subdivisions are treated as separate petitioning entities for purposes of §19.7.a. Parliament must by statute establish the process for recognizing subdivisions during the Transition Window, including minimum population thresholds and geographic criteria consistent with §3.4.</w:t>
      </w:r>
    </w:p>
    <w:p>
      <w:pPr>
        <w:spacing w:after="60" w:before="60"/>
        <w:ind w:left="720" w:hanging="360"/>
      </w:pPr>
      <w:r>
        <w:rPr>
          <w:rFonts w:ascii="Arial" w:cs="Arial" w:eastAsia="Arial" w:hAnsi="Arial"/>
          <w:b/>
          <w:bCs/>
          <w:color w:val="4A6FA5"/>
          <w:sz w:val="22"/>
          <w:szCs w:val="22"/>
        </w:rPr>
        <w:t xml:space="preserve">19.7.c Phase 2 Statehood Audit Failures: </w:t>
      </w:r>
      <w:r>
        <w:rPr>
          <w:rFonts w:ascii="Arial" w:cs="Arial" w:eastAsia="Arial" w:hAnsi="Arial"/>
          <w:color w:val="000000"/>
          <w:sz w:val="22"/>
          <w:szCs w:val="22"/>
        </w:rPr>
        <w:t xml:space="preserve">Where a state fails the Phase 2 Statehood Audit, it enters as a Territory under §13.1 rather than a State. Its population retains all Article I rights. It may begin the §13.2 Statehood Audit path immediately. Parliament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ind w:left="720" w:hanging="360"/>
      </w:pPr>
      <w:r>
        <w:rPr>
          <w:rFonts w:ascii="Arial" w:cs="Arial" w:eastAsia="Arial" w:hAnsi="Arial"/>
          <w:b/>
          <w:bCs/>
          <w:color w:val="4A6FA5"/>
          <w:sz w:val="22"/>
          <w:szCs w:val="22"/>
        </w:rPr>
        <w:t xml:space="preserve">19.7.d Pre-Existing Territories and the District: </w:t>
      </w:r>
      <w:r>
        <w:rPr>
          <w:rFonts w:ascii="Arial" w:cs="Arial" w:eastAsia="Arial" w:hAnsi="Arial"/>
          <w:color w:val="000000"/>
          <w:sz w:val="22"/>
          <w:szCs w:val="22"/>
        </w:rPr>
        <w:t xml:space="preserve">All territories of the predecessor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predecessor government that was neither a state nor a standard territory is assigned Territory status from Phase 4 and follows the §13.2 Statehood Audit path, with the understanding that its Senate representation question will be addressed through the Statehood process.</w:t>
      </w:r>
    </w:p>
    <w:p>
      <w:pPr>
        <w:spacing w:after="60" w:before="60"/>
        <w:ind w:left="720" w:hanging="360"/>
      </w:pPr>
      <w:r>
        <w:rPr>
          <w:rFonts w:ascii="Arial" w:cs="Arial" w:eastAsia="Arial" w:hAnsi="Arial"/>
          <w:b/>
          <w:bCs/>
          <w:color w:val="4A6FA5"/>
          <w:sz w:val="22"/>
          <w:szCs w:val="22"/>
        </w:rPr>
        <w:t xml:space="preserve">19.7.e Joint Inspectorate Panel Role: </w:t>
      </w:r>
      <w:r>
        <w:rPr>
          <w:rFonts w:ascii="Arial" w:cs="Arial" w:eastAsia="Arial" w:hAnsi="Arial"/>
          <w:color w:val="000000"/>
          <w:sz w:val="22"/>
          <w:szCs w:val="22"/>
        </w:rPr>
        <w:t xml:space="preserve">The joint Inspectorate panel is the receiving body for all Transition-Period territorial elections and subdivision elections under this section. It verifies that submitted resolutions meet the constitutional requirements, coordinates Statehood Audit scheduling with the Legislative Inspectorate, and maintains the official registry of each state's transition status — State, Territory-by-election, Territory-by-audit, or Subdivision-in-progress — on the National Record System throughout the Transition Window. The Commission publishes a complete transition status map updated monthly during Phase 2.</w:t>
      </w:r>
    </w:p>
    <w:p>
      <w:pPr>
        <w:spacing w:after="0" w:before="120"/>
      </w:pPr>
      <w:r>
        <w:t xml:space="preserve"/>
      </w:r>
    </w:p>
    <w:p>
      <w:pPr>
        <w:pStyle w:val="Heading2"/>
        <w:spacing w:after="80" w:before="200"/>
      </w:pPr>
      <w:r>
        <w:rPr>
          <w:rFonts w:ascii="Arial" w:cs="Arial" w:eastAsia="Arial" w:hAnsi="Arial"/>
          <w:b/>
          <w:bCs/>
          <w:color w:val="4A6FA5"/>
          <w:sz w:val="24"/>
          <w:szCs w:val="24"/>
        </w:rPr>
        <w:t xml:space="preserve">Section 19.8 — Transition Candidate Registers</w:t>
      </w:r>
    </w:p>
    <w:p>
      <w:pPr>
        <w:spacing w:after="60" w:before="60"/>
        <w:ind w:left="720" w:hanging="360"/>
      </w:pPr>
      <w:r>
        <w:rPr>
          <w:rFonts w:ascii="Arial" w:cs="Arial" w:eastAsia="Arial" w:hAnsi="Arial"/>
          <w:b/>
          <w:bCs/>
          <w:color w:val="4A6FA5"/>
          <w:sz w:val="22"/>
          <w:szCs w:val="22"/>
        </w:rPr>
        <w:t xml:space="preserve">19.8.a Initial Register Assembly: </w:t>
      </w:r>
      <w:r>
        <w:rPr>
          <w:rFonts w:ascii="Arial" w:cs="Arial" w:eastAsia="Arial" w:hAnsi="Arial"/>
          <w:color w:val="000000"/>
          <w:sz w:val="22"/>
          <w:szCs w:val="22"/>
        </w:rPr>
        <w:t xml:space="preserve">During Phase 2, the joint Inspectorate panel assembles an initial Candidate Register for the Monetary Authority Director and the Record System Authority Director. Parliament may by statute designate additional constitutionally independent bodies requiring a Candidate Register, to which the provisions of this section apply. For each candidate, the panel publishes a factual assessment of professional background and relevant expertise to the National Record System, applying the same standards the Executive Inspectorate applies to subsequent reviews. The panel may draw on candidates with experience in predecessor government fiscal or technical institutions where those institutions were not assessed as having participated in the conduct requiring reform; on international expertise from recognized fiscal, monetary, or technical bodies where domestic expertise is unavailable or compromised; and on citizens residing abroad whose expertise is domestic expertise for this purpose. The panel must publish its assessment of available expertise sources to the National Record System before constituting any Register.</w:t>
      </w:r>
    </w:p>
    <w:p>
      <w:pPr>
        <w:spacing w:after="60" w:before="60"/>
        <w:ind w:left="720" w:hanging="360"/>
      </w:pPr>
      <w:r>
        <w:rPr>
          <w:rFonts w:ascii="Arial" w:cs="Arial" w:eastAsia="Arial" w:hAnsi="Arial"/>
          <w:b/>
          <w:bCs/>
          <w:color w:val="4A6FA5"/>
          <w:sz w:val="22"/>
          <w:szCs w:val="22"/>
        </w:rPr>
        <w:t xml:space="preserve">19.8.b Interim Functions and First Nomination: </w:t>
      </w:r>
      <w:r>
        <w:rPr>
          <w:rFonts w:ascii="Arial" w:cs="Arial" w:eastAsia="Arial" w:hAnsi="Arial"/>
          <w:color w:val="000000"/>
          <w:sz w:val="22"/>
          <w:szCs w:val="22"/>
        </w:rPr>
        <w:t xml:space="preserve">The joint Inspectorate panel performs interim MA fiscal certification functions from Phase 4 activation until the first MA Director is confirmed, including the initial gross national revenue certification and the inherited debt assessment required under §19.6.a. These interim certifications carry full constitutional weight. The first Prime Minister must nominate an MA Director within 90 days of Phase 4 activation and an RSA Director within 180 days of Phase 4 activation.</w:t>
      </w:r>
    </w:p>
    <w:p>
      <w:pPr>
        <w:spacing w:after="0" w:before="120"/>
      </w:pPr>
      <w:r>
        <w:t xml:space="preserve"/>
      </w:r>
    </w:p>
    <w:p>
      <w:pPr>
        <w:pBdr>
          <w:bottom w:val="single" w:color="1B2A4A" w:sz="6" w:space="1"/>
        </w:pBdr>
        <w:spacing w:after="120" w:before="120"/>
      </w:pPr>
    </w:p>
    <w:p>
      <w:pPr>
        <w:pStyle w:val="Heading1"/>
        <w:spacing w:after="120" w:before="360"/>
      </w:pPr>
      <w:r>
        <w:rPr>
          <w:rFonts w:ascii="Arial" w:cs="Arial" w:eastAsia="Arial" w:hAnsi="Arial"/>
          <w:b/>
          <w:bCs/>
          <w:color w:val="1B2A4A"/>
          <w:sz w:val="32"/>
          <w:szCs w:val="32"/>
        </w:rPr>
        <w:t xml:space="preserve">SCHEDULE A — AUTHORITY REFERENCE MATRIX</w:t>
      </w:r>
    </w:p>
    <w:p>
      <w:pPr>
        <w:spacing w:after="60" w:before="60"/>
      </w:pPr>
      <w:r>
        <w:rPr>
          <w:rFonts w:ascii="Arial" w:cs="Arial" w:eastAsia="Arial" w:hAnsi="Arial"/>
          <w:color w:val="000000"/>
          <w:sz w:val="22"/>
          <w:szCs w:val="22"/>
        </w:rPr>
        <w:t xml:space="preserve">This Schedule is a non-operative reference guide summarizing key constitutional provisions, authority allocations, and procedural rules. It is provided for navigational clarity and citizen accessibility. In the event of any inconsistency between this Schedule and the operative text of Articles I through XIX, the operative text prevails. This Schedule has no independent legal effect and may be revised by the Legislative Inspectorate to reflect constitutional amendments without the amendment process applying to the Schedule itself.</w:t>
      </w:r>
    </w:p>
    <w:p>
      <w:pPr>
        <w:spacing w:after="0" w:before="12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Authority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Role / Limit</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Fundamental Rights (Absolute — Article 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Right to Life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state deprivation except unanimous-jury capital sentence; no emergency derogation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Torture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no exception; criminal prosecution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Prohibition of Slavery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Permanently unamendable; jury duty and community service are not forced labor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Habeas Corpus + First Appearance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§1.13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24-hr First Appearance; continuous Habeas right;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Equality Before the Law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Absolute — §1.8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 protected characteristics; binds all branches and public-funded entities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Executive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Defense &amp; Diplomacy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20-yr citizenship; 6-yr single term; no domestic policy; three-tier military 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1 — Immediate Defense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no prior approval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Defensive only; threat-duration limited; 30-day cumulative threshold triggers Tier 2; 12-hr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2 — Senate Armed Services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Committee — within 96 hours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Offensive ops; simple majority; covers up to 30 days; PM certifies funds within 96 hours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Tier 3 — Parliamentary Declaration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ops; re-auth every 180 days; 5-yr max; Emergency Defense Allocation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Emergency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or Caretaker PM declares; Parliament ratifies 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Caretaker PM retains full §2.2.e emergency authority; no Article I suspension; Senate may extend 7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Dissolution Loop Protocol (§2.3.e)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2/3 appoints Senate-Nominated Caretaker PM after 2nd consecutive dissolution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PM authority for 90 days; non-partisan candidates; House must then seat permanent PM or new election called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Administration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Prime Minister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citizenship; serves at House confidence; max 8 consecutive years; 6-month notice at expiry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Legislative Objection (§2.4)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Veto + Fiscal Objection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Suspensive: returns bill for one session, absolute majority override; Fiscal: simple majority override; one instrument per bill; PM never has absolute veto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national security domain + cross-domain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Direct/specific/material nexus required; SCOTUS 48-hr review (scope + justification); 3-void-in-180-days = suspension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Emergency House Continuity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provisional — 30-day max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when House physically cannot convene; House ratifies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Succession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Speaker of Senate → PM → Speaker of House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security functions only; Speaker role limit: 3 consecutive sessions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Legislative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Members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2-year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6 consecutive terms (12 years); 1-term cooling-off; eligible again after cooling-off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Senators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6-year staggered terms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2 consecutive terms (12 years); 1-term (6-year) cooling-off; eligible again 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Speaker Role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Max 3 consecutive sessions (6 years)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1-session cooling-off as non-Speaker Senator; does not limit Senate term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Election 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2 years — all federal elections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Senate (when due), SCOTUS seat, EC seats, President (every 3rd 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Composition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defines formula by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Proportional to citizen population; one seat per State minimum; Parliament justifies chosen size in first budget cycle; automatic scaling without legislative reauthorization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House + Senate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Single-subject; 14-day exposure; Senate 30-day review; the Legislative Review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House Initiated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 inquiry; simple majority Articles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continues in office pending trial; §2.8 track bypasses House for Rule Violations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Impeachment — Senate Trial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of all seated Senators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SCOTUS justice presides; removal automatic on conviction; future office bar by simple majority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Expulsion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all seated members (3/4 if pending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Ethics committee investigation required; 2-year bar on re-election; State recall operates independently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Election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States — broad time/place/manner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voting, mail voting, extended hours permitted; no financial barrier; EC certifies compliance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Judicial Branch</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Appointment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Triad → Senate → People (2 rounds)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Deemed Confirmed at 60 days; Round 2 = direct election from original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12-year single non-renewable term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seat every 2 years; mid-term vacancy = special election for remainder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scope and independence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courts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Injury required; no advisory opinions; Constitution as written; Fundamental Rights Floor gap-fill</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Oversight &amp; Transparency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Legislative Inspectorate (LI)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nominates → Senate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excluded; census + district + regional drawing authority;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Executive Inspectorate (EI)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nominates → Senate (simple)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Domain boundary, classification, Monetary Authority, Treaty Certification audit;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Judicial Inspectorate (JI)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Lottery — Qualified Jurist Pool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Registry; referendum screens; EC audit; For-Cause removal only; 10-yr non-renewable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Facts only — no constitutional violation conclusions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Elected body acts within a window defined by statute; automatic consequence on inaction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Funding (§8.10)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Adequate funding — Parliament defines minimum formula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 not reduce below prior year without 2/3 vote; Monetary Authority certifies adequacy; Severe Contraction proportional reduction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Minority Reports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 NRS + Oversight Committee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Specific factual dispute required; Committee categorizes within 14 days; retaliation prohibited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Gatekeeping Decisions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determines; SCOTUS appeal within 14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Technical grounds only; Court may overturn but not substitute substantive judgment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For-Cause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2/3 both chambers + Oversight Committee (2/3)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Committee publishes verification within 30 days; SCOTUS review on IG petition within 14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IG Removal — No-Cause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both chambers + 90-day delay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JI: For-Cause only; full public notice on NRS day of vote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Term Staggering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two IGs begin within 18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Holdover in maintenance capacity during gap; no new investigations or gatekeeping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Inspectorate Oversight Committee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Joint parliamentary — proportional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Reviews files, compels testimony, publishes findings; cannot direct content or remove IGs unilaterally</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Elections &amp; Democracy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Voting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(Art. XVI)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elected members; 3/5 majority decisions; For-Cause removal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Election (Model 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National RCV + Multi-Region Diversity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65% national first-preference + 35% regional breadth; number of regions Parliament defines by statute (min 3, max 1 per 10 States); outright majority wins directly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Regions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draws — 10-year cycle or after 20%+ State count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Number defined by Parliament (min 3; max 1 per 10 States); 3 criteria: population comparability → contiguity → economic coherence; SCOTUS technical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Democracy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People — via NVS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petition; max 3 simultaneous; 6-month cooling; rights expansion ineligible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Electoral Finance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Money-as-Speech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Financial electoral contributions are electoral acts, not protected speech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Corporate Personhood Rejection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Explicit constitutional negative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Article I rights belong to natural persons only; legal entities may not participate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Voter-Donor Parity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Citizen Voting Credential verification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citizens eligible to vote in a jurisdiction may contribute to elections in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Disclosure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NRS — all contributions above de minimis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Anonymity in electoral finance prohibited; EC + EI certify threshold adequacy annually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Public Campaign Funding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Commission administers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Qualified candidates receive allocation; threshold must not advantage incumbents</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Defense</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Extended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Three-tier authorization (§2.1.a–c, §12.2)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Re-auth every 180 days; 5-yr max; Successive Declaration standard (12-month materially different)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Treaty-Triggered Operations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Emergency Certification — 30 days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ratifies within 30 days; LI/EI joint review within 14 days published before vote</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Finance &amp; Economy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Basic Needs Floor (§10.1)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 gross revenue constitutional minimum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Funded first; MA adjusts within band; Severe Contraction Protocol: reverts to 5% of actual revenue; borrowing capped at 2%/yr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Annual Budget Requirement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before each fiscal year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Continuation spending 90-day max if no budget; Basic Needs Floor funded throughout; Monetary Authority publishes trigger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Appropriations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absolute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Veto may not apply to legislation limiting military funding; veto suspension does not create security vacuum or Tier 1 grounds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Taxation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House-originated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taxation; Fiscal Objection on solvency grounds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Monetary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Independent — PM nominates, Senate 60%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7-yr non-renewable; price stability + fiscal solvency; publishes annual assessments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Records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Deposited within 30 days of departure; removal = Rule Violation; forfeiture of retained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Gifts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Belong to the Republic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Above de minimis: archive/auction/return; retention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Classification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(national defense) or PM (domestic)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10-yr max, 5-yr extension, 25-yr absolute max; classification registry entry required; improper classification = Rule Violation</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Federal Property (Art. XVIII)</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 Doctrine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government — use rights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territorial sovereignty; NRS-registered; function-tied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Provisional Seat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2/3 if no voluntary host in 24 months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Compensation required; State retains sovereignty; 5-yr review; State may end with 2-yr notice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Seat of Government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Willing host State — 2/3 statute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5-yr minimum withdrawal notice; residents are full State citizens with complete voting rights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Conservation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trustee for all Inhabitants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Permanent stewardship; 65% referendum to reclassify; 25% State land cap</w:t>
            </w:r>
          </w:p>
        </w:tc>
      </w:tr>
      <w:t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rFonts w:ascii="Arial" w:cs="Arial" w:eastAsia="Arial" w:hAnsi="Arial"/>
                <w:b/>
                <w:bCs/>
                <w:caps/>
                <w:color w:val="1B2A4A"/>
                <w:sz w:val="18"/>
                <w:szCs w:val="18"/>
              </w:rPr>
              <w:t xml:space="preserve">National Expansion &amp; Integrity</w:t>
            </w:r>
          </w:p>
        </w:tc>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c>
          <w:tcPr>
            <w:tcW w:type="dxa" w:w="456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r>
              <w:rPr>
                <w:sz w:val="18"/>
                <w:szCs w:val="18"/>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Early Warning → Devolution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Years 1–2: Early Warning (§13.3.c), Remediation Plan, LI review, PM window, auto-withholding; Year 3: Senate 3/4 (§13.3.d)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Statehood Audit + Provisional Membership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60% competency; fiscal sync; 730-day standard or accelerated at 365-day minimum upon clean mid-period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Partial Territory Statehood (§13.2.e)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Subdivision may petition independently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Must meet all §13.2.a-c criteria standalone; 60% NVS referendum; LI certifies remaining territory viability and contiguity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Effects (§13.3.e)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seats lost; LI compliance review; PM domestic oversight; taxes exempt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House seats retained; Article I full force; Basic Needs Floor continues (§13.1 exception explicit); State government continues; annual Statehood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Devolution Challenge (§13.3.g)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Supreme Court — 30 days post-vote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Narrow factual review only: did LI findings meet §13.3.a trigger standards? Not political review; 14-day ruling deadline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 Sponsorship — State discretion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Formal certification; time-limited; withdrawable; no federal compulsion on States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Gate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Federal Certification — 4 categories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Identity, criminal history, national security, self-sufficiency; no ideological screening; written denial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Immigration Appeals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Gate 2: judicial review 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 grounds: wrong category, discrimination, factually unsupported; Gate 1: no federal judicial 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Civil Service Integrity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constitutional responsibility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Merit-based appointments; no politicization; Civil Service Commission by statute; violation = Rule Violation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Competency Baseline (Devolution)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 annual audit — combined measure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CLT passage OR §1.23-certified educational completion; native-born citizens not penalized for not taking CLT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Voluntary Devolution (§13.4)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resident vote, 10-yr credential holders; Fiscal Incidence Study required 180 days prior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Returns State to Territory status; negotiated pathway available; net-contributor disclosure required; not independence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Secession / Independence (§15.4)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70% national vote via NVS required; 65% participation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unilateral dissolution; §15.5 transition framework required; framework agreement 90+ days before vote; 24-60 month transition; Senate ratification of treaty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Presidential Clemency (§2.1.g)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President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Military/security domain only; no Rule Violations; no co-conspirators; no self-clemency; full NRS publication; judicially reviewable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Clemency (§2.2.f)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PM — Commission recommendation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Domestic criminal domain only; same exclusions as §2.1.g; full NRS publication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Parliamentary Amnesty (§2.10.d)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Parliament — simple majority both chambers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Group amnesty only; no individual cases; no Rule Violations; no official-misconduct offenses; judicially reviewable 60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SCOTUS Vacancy (§4.2.e)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8-justice court during vacancy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4-4 tie affirms lower court without binding precedent; expires when seat 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Round 2 Election (§4.2.c)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Direct national election from same 3 nominees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Senate rejection of all 3 triggers; max 2 seats per cycle; per-decade limit per seat; sitting judges who lose must recuse on prejudged questions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Finance (§18.1.b)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Natural persons only; independent choice required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Paid conduits prohibited; contributions directed by third parties attributed to directing party; bidirectional aggregate attribution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Electoral Integrity Fund (§18.3.d)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EC administered; financed by Art. XVIII fines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Compensates for unrecoverable spent unlawful contributions; used only for public campaign funding §18.2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Oath of Office (§10.5.h)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officials before exercising authority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Official Oath, Military Oath, Naturalization Pledge; NRS recorded within 24 hours; no oath = Rule Violation for each act taken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Pre-Existing Debt (§19.6.a)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Assumed from Day Zero — continuity of state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Debt Continuity Act required in first budget cycle; debt service = existing services throughout transition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Inherited Military Ops (§19.6.b)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Day Zero Tier 1 invocation by caretaker President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180-day Parliamentary Declaration deadline from Phase 4; no Declaration = cease within 30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(§19.6.c)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interruption during Transition Window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Social Programs Continuity Act required in first budget cycle; 5-year benefit protection floor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Constitutional Amendments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3/4 States OR 70% Popular Vote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 executive veto; §1.2, §1.3, §1.13 permanently unamendable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Interstate Recognition (§4.4)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States and Territories — mandatory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Final court judgments, custody orders, public acts, official records; NRS authentication presumptive; non-recognition grounds exhaustive and parliamentary</w:t>
            </w:r>
          </w:p>
        </w:tc>
      </w:tr>
    </w:tbl>
    <w:p>
      <w:pPr>
        <w:spacing w:after="0" w:before="240"/>
      </w:pPr>
      <w:r>
        <w:t xml:space="preserve"/>
      </w:r>
    </w:p>
    <w:p>
      <w:pPr>
        <w:spacing w:after="60" w:before="60"/>
      </w:pPr>
      <w:r>
        <w:rPr>
          <w:rFonts w:ascii="Arial" w:cs="Arial" w:eastAsia="Arial" w:hAnsi="Arial"/>
          <w:i/>
          <w:iCs/>
          <w:color w:val="555555"/>
          <w:sz w:val="22"/>
          <w:szCs w:val="22"/>
        </w:rPr>
        <w:t xml:space="preserve">v110b — Significant restructuring of citizenship and education provisions. (1) TRIPARTITE COMMISSION DISSOLVED: The Tripartite Commission is removed from the document entirely. Its citizenship test function is replaced by a cleaner, more constitutionally honest design. (2) §5.4 REWRITTEN: The Constitutional Logic Test is now owned by the Senate — the Senate sets and maintains the CLT standard by statute, with a supermajority required to lower it. A CLT Administrator (PM-nominated, Senate-confirmed, from a Candidate Register under §10.4.a mechanism) handles operations. LI audits annually. (3) §1.23.b REFRAMED: Federal educational outcome standards for State schools removed — confirmed as federal overreach under the subsidiarity principle. The CLT is the citizenship literacy standard; States own their own curricula. Federal role: BNF funding, access equality, CLT administration. (4) §13.2.b SIMPLIFIED: Statehood competency baseline now requires CLT passage only; the Tripartite Commission educational certification alternative pathway removed. (5) §1.22 REFRAMED: Right to a Healthy Environment → Environmental Accountability and Stewardship; §1.22.a prohibits government from knowingly exposing communities to contamination and concealing it; §1.22.b creates forward reference to National Trust. (6) §1.23 REFRAMED: Right to Basic Education → Federal Education Assistance and Constitutional Literacy; federal obligation is funding through BNF and access equality, not curriculum control. (7) §1.24 REFRAMED: Right to Adequate Housing → Housing Access and Non-Exclusion; §1.24.a anti-exclusion principle; §1.24.b BNF housing obligation. (8) §1.10 EXPANDED: Eminent domain moved from §1.11 to §1.10.b; §1.10 renamed to Inviolability of the Home and Property Rights. (9) §1.11 RENAMED: Self-Defense, Property, and Eminent Domain → Self-Defense and the Right to Bear Arms.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THE CONSTITUTION OF THE FEDERATED REPUBLIC  |  Master v110b — Final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80" w:before="200"/>
      <w:outlineLvl w:val="1"/>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2026-05-02T04:43:55.010Z</dcterms:created>
  <dcterms:modified xsi:type="dcterms:W3CDTF">2026-05-02T04:43:55.012Z</dcterms:modified>
</cp:coreProperties>
</file>

<file path=docProps/custom.xml><?xml version="1.0" encoding="utf-8"?>
<Properties xmlns="http://schemas.openxmlformats.org/officeDocument/2006/custom-properties" xmlns:vt="http://schemas.openxmlformats.org/officeDocument/2006/docPropsVTypes"/>
</file>