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No prosecutor may increase charges, withdraw previously extended plea offers, or recommend enhanced penalties solely on the grounds that the accused has declined to plead guilty. A defendant who is convicted at trial may not receive a sentence that exceeds what was offered as a plea unless evidence presented at trial revealed conduct materially beyond what was known to the prosecution when the plea offer — meaning evidence of more serious crimes than those charged at the time, not merely additional details of the same conduct. Violation of this provision by a prosecutor may trigger Rule Violation proceedings under §2.6 and is grounds for case dismissal or sentence reduction at the court's discretion.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authorization. Tier 1 authority is limited to defensive operations only. It does not authorize offensive military operations into foreign territory beyond the immediate threat and does not authorize the initiation of a new conflict. Tier 1 authority continues for as long as the immediate threat persists and expires automatically when the threat is neutralized. The President must notify both chambers of Parliament and the Prime Minister within 12 hours of invoking Tier 1 authority. If Tier 1 defensive operations have been continuously invoked against the same adversary or in the same theater for more than 30 days, the President must seek Tier 2 Senate Armed Services authorization regardless of whether individual incidents still qualify as imminent threats, as the cumulative operation has become a sustained engagement requiring oversight.</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Six months before expiry, the Executive Inspectorate publishes a notice to both chambers, giving Parliament time to identify a successor. A PM vacancy at term expiry is treated identically to a resignation — the statutory PM selection period begins on the day of expiry — the House must appoint a new Prime Minister within the statutory window defined by Parliament under §2.3.a or face dissolution, just as it must after any vacancy. After a mandatory cooling-off period of one full House term (2 years), a former PM is again eligible for appointment. No Confidence removal and the 8-year maximum operate independently — the House may remove a PM at any time before 8 years through a Constructive Vote of No Confidence under §2.3.b.</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(not to exceed 21 days) or it lapses automatically. Parliament must convene within 48 hours of a domestic emergency declaration; the Senate may extend the declaration by simple majority for an additional 7 days if the House cannot convene due to the same emergency that prompted the declaration.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by the State's own vetting process; the State accepts responsibility for notifying federal authorities if the applicant's circumstances materially change during the application process; and the State is prepared to receive the applicant as a Legal Resident within its jurisdiction. States may establish their own sponsorship criteria by statute, provided they do not discriminate on the basis of any characteristic protected by §1.8. Sponsorship is time-limited — if an application has not cleared Gate 2 within a period defined by House statute, which may not exceed 2 years from the date of sponsorship, the sponsorship lapses and must be renewed by the State. A State may withdraw sponsorship before Gate 2 certification; withdrawal terminates the application and the applicant may seek a new sponsoring State. The federal government may not penalize a State for declining to sponsor any particular applicant or category of applicant. The President must publish monthly statistics on Gate 2 processing times, disaggregated by applicant national origin and application category, to the National Record System. Statistically significant disparities in processing time by national origin are presumptively discriminatory under §6.1.c and must trigger automatic Executive Inspectorate review.</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House and PM certify that an applicant meets federal standards in four categories: (1) Identity Verification — the applicant's identity has been confirmed through a process defined by House statute; (2) Criminal History — the applicant has no record of violent crime or fraud as defined by House statute, applied consistently without discrimination by national origin or any characteristic enumerated in §1.8; (3) National Security — no credible, specific, and documented national security concern exists regarding the applicant, based on an assessment conducted by the Director of Intelligence under the President's constitutional authority; (4) Self-Sufficiency or Support Guarantee — the applicant is either economically self-sufficient by standards defined by House statute, or the sponsoring State under Gate 1 or a separately verified private sponsor provides a formal guarantee of economic support. A valid Gate 1 State sponsorship satisfies this category unless the sponsoring State has explicitly declined to provide economic guarantees, in which case a separate private sponsor is required. The certification may not be used for ideological screening or nationality-based quotas. Any denial must specify in writing the precise ground from among these four categories and be published to the National Record System within 30 days. A denial lacking such a written statement is void and the application proceeds to credential issuance. National security denials are published in a form that protects classified sources and methods.</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30 days of its issuance, or the Certification expires. Parliament may not vote on ratification until the LI/EI joint review under §12.5.a has been published OR 14 days have elapsed since issuance without publication — whichever comes first. If Parliament wishes to ratify before the 14-day review period has elapsed or before the review is published, it may do so only by a 3/4 majority of both chambers, acknowledging that it is acting without the benefit of the advisory review. Ratification of the Certification does not constitute a Parliamentary Declaration of Defense; a separate Declaration is required if operations extend beyond 30 days under Tier 3. Every ratification resolution — whether Parliament agrees with or acts over the LI/EI advisory finding — must include a brief statement of Parliament's interpretation of the treaty provision that was triggered, specifying which acts or events Parliament found to constitute the defined triggering threshold under §3.2.e. This statement is published to the National Record System and transmitted to the treaty partner through diplomatic channels. It is the Republic's official treaty interpretation for this instance, does not amend the treaty's general terms, and serves as precedent for future triggering assessments under the same treaty.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the federal income tax reduction to State residents at the current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Monetary Authority must publish this study within 120 days of a State's formal written request for voluntary devolution under §13.4.a. The 180-day pre-vote period runs from the date of publication, not from the date of request. A State that has not received a published study within 120 days of its formal request may petition the Supreme Court for an order compelling publication; the Court must rule within 14 days of such a petition. A Fiscal Incidence Study produced under judicial order carries the same constitutional force as one produced voluntarily. The study must be made accessible to every eligible voter in the State no less than 180 days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at least 90 days before the referendum date. The agreement must address: the status of Republic citizens residing in the departing territory; the proposed transition arrangements for Basic Needs Floor-equivalent distributions; the disposition of all Operational Use Rights within the territory under §17.3.e; any proportionate obligations the departing territory assumes for Republic-funded infrastructure within its borders; and the proposed diplomatic and treaty relationship between the Republic and the new sovereign state. The Judicial Inspectorate reviews the agreement for completeness within 30 days of publication and certifies whether all required elements are present. A referendum may not be held until the JI certifies the agreement is complete. The ballot must reference the published agreement and its National Record System record number. Where the Republic and the departing territory have not produced a complete framework agreement within 18 months of the referendum petition being certified, a default framework activates automatically: the transition period is 36 months; Basic Needs Floor-equivalent distributions continue at full rate throughout; all Operational Use Rights are subject to §17.3.e's 24-month vacate default absent a negotiated arrangement; and the departing territory assumes responsibility for Republic-funded infrastructure within its borders unless a treaty provision states otherwise. The default framework is published to the NRS by the Electoral Commission and is the operative framework agreement for JI completeness certification. Neither party may block the democratic process through non-negotiation. Before any independence referendum is held, the Monetary Authority must publish a Republic-wide fiscal impact assessment to the National Record System within 90 days of petition certification. The assessment must include: the territory's share of gross national revenue; the projected impact on the Basic Needs Floor's revenue base; the change to the Republic's debt-to-GNR ratio; and the cumulative fiscal impact where multiple independence petitions are simultaneously pending. This assessment must be referenced on the referendum ballot with its NRS record number. A referendum held without a published fiscal impact assessment is void.</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 regardless of whose Citizen Voting Credential was used. Persons who receive any compensation in exchange for making a directed contribution may not doing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p>
      <w:pPr>
        <w:spacing w:after="0" w:before="240"/>
      </w:pPr>
      <w:r>
        <w:t xml:space="preserve"/>
      </w:r>
    </w:p>
    <w:p>
      <w:pPr>
        <w:spacing w:after="60" w:before="60"/>
      </w:pPr>
      <w:r>
        <w:rPr>
          <w:rFonts w:ascii="Arial" w:cs="Arial" w:eastAsia="Arial" w:hAnsi="Arial"/>
          <w:i/>
          <w:iCs/>
          <w:color w:val="555555"/>
          <w:sz w:val="22"/>
          <w:szCs w:val="22"/>
        </w:rPr>
        <w:t xml:space="preserve">v111 — Stress Test Amendments (12 gaps identified and closed). Gaps from eight adversarial stress tests: (1) §8.10 Inspectorate budget reclassification closed; (2) §5.4.b/9.3/10.4.a/17.4.g acting officer with graduated protection added; (3) §1.8 economic status added as protected characteristic with §10.1.a BNF eligibility non-discrimination cross-reference; (4) §9.4.a cross-domain intelligence sharing obligation added; (5) §4.2.d Emergency Panel rotation staggered; (6) §9.2 NRS co-equal record status added; (7) §5.4.a CLT pre-enactment Administrator certification added; (8) §5.1.c States may offer nominal-cost CLT preparatory programs; (9) §9.1.c Parliament must maintain redundant NRS public access infrastructure; (10) §9.1.g NRS self-authentication for all constitutionally required records; (11) §15.5.a Republic-wide fiscal impact assessment required before independence referendum; (12) §15.5.e simultaneous independence transition sequencing mechanism.</w:t>
      </w:r>
    </w:p>
    <w:p>
      <w:pPr>
        <w:spacing w:after="60" w:before="60"/>
      </w:pPr>
      <w:r>
        <w:rPr>
          <w:rFonts w:ascii="Arial" w:cs="Arial" w:eastAsia="Arial" w:hAnsi="Arial"/>
          <w:i/>
          <w:iCs/>
          <w:color w:val="555555"/>
          <w:sz w:val="22"/>
          <w:szCs w:val="22"/>
        </w:rPr>
        <w:t xml:space="preserve">v110b — Significant restructuring of citizenship and education provisions. (1) TRIPARTITE COMMISSION DISSOLVED: The Tripartite Commission is removed from the document entirely. Its citizenship test function is replaced by a cleaner, more constitutionally honest design. (2) §5.4 REWRITTEN: The Constitutional Logic Test is now owned by the Senate — the Senate sets and maintains the CLT standard by statute, with a supermajority required to lower it. A CLT Administrator (PM-nominated, Senate-confirmed, from a Candidate Register under §10.4.a mechanism) handles operations. LI audits annually. (3) §1.23.b REFRAMED: Federal educational outcome standards for State schools removed — confirmed as federal overreach under the subsidiarity principle. The CLT is the citizenship literacy standard; States own their own curricula. Federal role: BNF funding, access equality, CLT administration. (4) §13.2.b SIMPLIFIED: Statehood competency baseline now requires CLT passage only; the Tripartite Commission educational certification alternative pathway removed. (5) §1.22 REFRAMED: Right to a Healthy Environment → Environmental Accountability and Stewardship; §1.22.a prohibits government from knowingly exposing communities to contamination and concealing it; §1.22.b creates forward reference to National Trust. (6) §1.23 REFRAMED: Right to Basic Education → Federal Education Assistance and Constitutional Literacy; federal obligation is funding through BNF and access equality, not curriculum control. (7) §1.24 REFRAMED: Right to Adequate Housing → Housing Access and Non-Exclusion; §1.24.a anti-exclusion principle; §1.24.b BNF housing obligation. (8) §1.10 EXPANDED: Eminent domain moved from §1.11 to §1.10.b; §1.10 renamed to Inviolability of the Home and Property Rights. (9) §1.11 RENAMED: Self-Defense, Property, and Eminent Domain → Self-Defense and the Right to Bear Arms.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v111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2026-05-03T16:00:59.736Z</dcterms:created>
  <dcterms:modified xsi:type="dcterms:W3CDTF">2026-05-03T16:00:59.737Z</dcterms:modified>
</cp:coreProperties>
</file>

<file path=docProps/custom.xml><?xml version="1.0" encoding="utf-8"?>
<Properties xmlns="http://schemas.openxmlformats.org/officeDocument/2006/custom-properties" xmlns:vt="http://schemas.openxmlformats.org/officeDocument/2006/docPropsVTypes"/>
</file>