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No prosecutor may increase charges, withdraw previously extended plea offers, or recommend enhanced penalties solely on the grounds that the accused has declined to plead guilty. A defendant who is convicted at trial may not receive a sentence that exceeds what was offered as a plea unless evidence presented at trial revealed conduct materially beyond what was known to the prosecution when the plea offer — meaning evidence of more serious crimes than those charged at the time, not merely additional details of the same conduct. Violation of this provision by a prosecutor may trigger Rule Violation proceedings under §2.6 and is grounds for case dismissal or sentence reduction at the court's discretion.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authorization. Tier 1 authority is limited to defensive operations only. It does not authorize offensive military operations into foreign territory beyond the immediate threat and does not authorize the initiation of a new conflict. Tier 1 authority continues for as long as the immediate threat persists and expires automatically when the threat is neutralized. The President must notify both chambers of Parliament and the Prime Minister within 12 hours of invoking Tier 1 authority. If Tier 1 defensive operations have been continuously invoked against the same adversary or in the same theater for more than 30 days, the President must seek Tier 2 Senate Armed Services authorization regardless of whether individual incidents still qualify as imminent threats, as the cumulative operation has become a sustained engagement requiring oversight.</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Six months before expiry, the Executive Inspectorate publishes a notice to both chambers, giving Parliament time to identify a successor. A PM vacancy at term expiry is treated identically to a resignation — the statutory PM selection period begins on the day of expiry — the House must appoint a new Prime Minister within the statutory window defined by Parliament under §2.3.a or face dissolution, just as it must after any vacancy. After a mandatory cooling-off period of one full House term (2 years), a former PM is again eligible for appointment. No Confidence removal and the 8-year maximum operate independently — the House may remove a PM at any time before 8 years through a Constructive Vote of No Confidence under §2.3.b.</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(not to exceed 21 days) or it lapses automatically. Parliament must convene within 48 hours of a domestic emergency declaration; the Senate may extend the declaration by simple majority for an additional 7 days if the House cannot convene due to the same emergency that prompted the declaration.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by the State's own vetting process; the State accepts responsibility for notifying federal authorities if the applicant's circumstances materially change during the application process; and the State is prepared to receive the applicant as a Legal Resident within its jurisdiction. States may establish their own sponsorship criteria by statute, provided they do not discriminate on the basis of any characteristic protected by §1.8. Sponsorship is time-limited — if an application has not cleared Gate 2 within a period defined by House statute, which may not exceed 2 years from the date of sponsorship, the sponsorship lapses and must be renewed by the State. A State may withdraw sponsorship before Gate 2 certification; withdrawal terminates the application and the applicant may seek a new sponsoring State. The federal government may not penalize a State for declining to sponsor any particular applicant or category of applicant. The President must publish monthly statistics on Gate 2 processing times, disaggregated by applicant national origin and application category, to the National Record System. Statistically significant disparities in processing time by national origin are presumptively discriminatory under §6.1.c and must trigger automatic Executive Inspectorate review.</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House and PM certify that an applicant meets federal standards in four categories: (1) Identity Verification — the applicant's identity has been confirmed through a process defined by House statute; (2) Criminal History — the applicant has no record of violent crime or fraud as defined by House statute, applied consistently without discrimination by national origin or any characteristic enumerated in §1.8; (3) National Security — no credible, specific, and documented national security concern exists regarding the applicant, based on an assessment conducted by the Director of Intelligence under the President's constitutional authority; (4) Self-Sufficiency or Support Guarantee — the applicant is either economically self-sufficient by standards defined by House statute, or the sponsoring State under Gate 1 or a separately verified private sponsor provides a formal guarantee of economic support. A valid Gate 1 State sponsorship satisfies this category unless the sponsoring State has explicitly declined to provide economic guarantees, in which case a separate private sponsor is required. The certification may not be used for ideological screening or nationality-based quotas. Any denial must specify in writing the precise ground from among these four categories and be published to the National Record System within 30 days. A denial lacking such a written statement is void and the application proceeds to credential issuance. National security denials are published in a form that protects classified sources and methods.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§13.5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The Assessment carries no binding force — it is an institutional record of constitutional performance, not a directive to any branch. The Constitutional Performance Assessment must include a section on compact compliance covering: the Judicial Inspectorate's assessment of compliance with all §19.1 accommodation compacts, §13.5 Associated Community compacts, and Article XIV indigenous compact obligations, including findings from annual compact compliance reviews. Where a Transitional Accountability Mechanism has operated or is operating under §19.9, the Assessment must include a specific evaluation of the Mechanism's operation — its scope adherence, evidentiary standards, remedy proportionality, and criminal jurisdiction boundary compliance.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30 days of its issuance, or the Certification expires. Parliament may not vote on ratification until the LI/EI joint review under §12.5.a has been published OR 14 days have elapsed since issuance without publication — whichever comes first. If Parliament wishes to ratify before the 14-day review period has elapsed or before the review is published, it may do so only by a 3/4 majority of both chambers, acknowledging that it is acting without the benefit of the advisory review. Ratification of the Certification does not constitute a Parliamentary Declaration of Defense; a separate Declaration is required if operations extend beyond 30 days under Tier 3. Every ratification resolution — whether Parliament agrees with or acts over the LI/EI advisory finding — must include a brief statement of Parliament's interpretation of the treaty provision that was triggered, specifying which acts or events Parliament found to constitute the defined triggering threshold under §3.2.e. This statement is published to the National Record System and transmitted to the treaty partner through diplomatic channels. It is the Republic's official treaty interpretation for this instance, does not amend the treaty's general terms, and serves as precedent for future triggering assessments under the same treaty.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free, fair, and open; (2) Judicial Independence — an institutional judicial function structurally separate from the executive, accessible to citizens for challenging executive action, with tenure protection adequate to permit rulings against the executive without institutional retaliation; and (3) Public Law — governance through published, accessible law rather than discretionary executive action alone.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A State satisfies minimum democratic legitimacy requirements where its own governance structures operating outside indigenous territorial jurisdiction meet these conditions. States may not impose these requirements on indigenous governance structures within their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Provisional status preserves State constitutional standing, BNF protections, and federal support obligations pending security normalisation. Provisional status is not counted as an audit failure for purposes of §13.3.a's consecutive failure trigger. The Inspectorate reviews provisional status annually. Where the Inspectorate finds that State governance failures materially contributed to the conflict condition, provisional status is not available and the audit proceeds on available evidence. Provisional status may not continue indefinitely; Parliament must by statute define the maximum provisional period, not to exceed five years, after which an alternative resolution mechanism activates.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the federal income tax reduction to State residents at the current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Monetary Authority must publish this study within 120 days of a State's formal written request for voluntary devolution under §13.4.a. The 180-day pre-vote period runs from the date of publication, not from the date of request. A State that has not received a published study within 120 days of its formal request may petition the Supreme Court for an order compelling publication; the Court must rule within 14 days of such a petition. A Fiscal Incidence Study produced under judicial order carries the same constitutional force as one produced voluntarily. The study must be made accessible to every eligible voter in the State no less than 180 days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60" w:before="60"/>
        <w:ind w:left="720" w:hanging="360"/>
      </w:pPr>
      <w:r>
        <w:rPr>
          <w:rFonts w:ascii="Arial" w:cs="Arial" w:eastAsia="Arial" w:hAnsi="Arial"/>
          <w:b/>
          <w:bCs/>
          <w:color w:val="4A6FA5"/>
          <w:sz w:val="22"/>
          <w:szCs w:val="22"/>
        </w:rPr>
        <w:t xml:space="preserve">13.5.a Associated Community Status: </w:t>
      </w:r>
      <w:r>
        <w:rPr>
          <w:rFonts w:ascii="Arial" w:cs="Arial" w:eastAsia="Arial" w:hAnsi="Arial"/>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w:t>
      </w:r>
    </w:p>
    <w:p>
      <w:pPr>
        <w:spacing w:after="60" w:before="60"/>
        <w:ind w:left="720" w:hanging="360"/>
      </w:pPr>
      <w:r>
        <w:rPr>
          <w:rFonts w:ascii="Arial" w:cs="Arial" w:eastAsia="Arial" w:hAnsi="Arial"/>
          <w:b/>
          <w:bCs/>
          <w:color w:val="4A6FA5"/>
          <w:sz w:val="22"/>
          <w:szCs w:val="22"/>
        </w:rPr>
        <w:t xml:space="preserve">13.5.b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spacing w:after="60" w:before="60"/>
        <w:ind w:left="720" w:hanging="360"/>
      </w:pPr>
      <w:r>
        <w:rPr>
          <w:rFonts w:ascii="Arial" w:cs="Arial" w:eastAsia="Arial" w:hAnsi="Arial"/>
          <w:b/>
          <w:bCs/>
          <w:color w:val="4A6FA5"/>
          <w:sz w:val="22"/>
          <w:szCs w:val="22"/>
        </w:rPr>
        <w:t xml:space="preserve">13.5.c Compact Entry Conditions and Ongoing Compliance: </w:t>
      </w:r>
      <w:r>
        <w:rPr>
          <w:rFonts w:ascii="Arial" w:cs="Arial" w:eastAsia="Arial" w:hAnsi="Arial"/>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w:t>
      </w:r>
    </w:p>
    <w:p>
      <w:pPr>
        <w:spacing w:after="60" w:before="60"/>
        <w:ind w:left="720" w:hanging="360"/>
      </w:pPr>
      <w:r>
        <w:rPr>
          <w:rFonts w:ascii="Arial" w:cs="Arial" w:eastAsia="Arial" w:hAnsi="Arial"/>
          <w:b/>
          <w:bCs/>
          <w:color w:val="4A6FA5"/>
          <w:sz w:val="22"/>
          <w:szCs w:val="22"/>
        </w:rPr>
        <w:t xml:space="preserve">13.5.d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§13.5,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at least 90 days before the referendum date. The agreement must address: the status of Republic citizens residing in the departing territory; the proposed transition arrangements for Basic Needs Floor-equivalent distributions; the disposition of all Operational Use Rights within the territory under §17.3.e; any proportionate obligations the departing territory assumes for Republic-funded infrastructure within its borders; and the proposed diplomatic and treaty relationship between the Republic and the new sovereign state. The Judicial Inspectorate reviews the agreement for completeness within 30 days of publication and certifies whether all required elements are present. A referendum may not be held until the JI certifies the agreement is complete. The ballot must reference the published agreement and its National Record System record number. Where the Republic and the departing territory have not produced a complete framework agreement within 18 months of the referendum petition being certified, a default framework activates automatically: the transition period is 36 months; Basic Needs Floor-equivalent distributions continue at full rate throughout; all Operational Use Rights are subject to §17.3.e's 24-month vacate default absent a negotiated arrangement; and the departing territory assumes responsibility for Republic-funded infrastructure within its borders unless a treaty provision states otherwise. The default framework is published to the NRS by the Electoral Commission and is the operative framework agreement for JI completeness certification. Neither party may block the democratic process through non-negotiation. Before any independence referendum is held, the Monetary Authority must publish a Republic-wide fiscal impact assessment to the National Record System within 90 days of petition certification. The assessment must include: the territory's share of gross national revenue; the projected impact on the Basic Needs Floor's revenue base; the change to the Republic's debt-to-GNR ratio; and the cumulative fiscal impact where multiple independence petitions are simultaneously pending. This assessment must be referenced on the referendum ballot with its NRS record number. A referendum held without a published fiscal impact assessment is void.</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 regardless of whose Citizen Voting Credential was used. Persons who receive any compensation in exchange for making a directed contribution may not doing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that are recorded on the National Record System through the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findings permanently to the National Record System. The Mechanism may not exercise criminal jurisdiction — that remains with the courts. At sunset the Mechanism dissolves; its NRS record is permanent. Parliament may not extend the Mechanism beyond its statutory sunset without a fresh 2/3 supermajority in both chambers. A Republic that inherits the territory, institutions, and treaty obligations of its predecessor bears a constitutional obligation to honestly account for what was done in the name of that predecessor state. The establishing statute and any amendments to it require the same 2/3 majority of both chambers. No amendment may expand the Mechanism's subject matter scope beyond the scope defined in the establishing statute. Parliament may not establish a successor mechanism under this provision within ten years of the sunset of a prior mechanism; the sunset of one mechanism begins the ten-year bar on successor mechanism establishment.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v113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2026-05-04T15:02:22.686Z</dcterms:created>
  <dcterms:modified xsi:type="dcterms:W3CDTF">2026-05-04T15:02:22.687Z</dcterms:modified>
</cp:coreProperties>
</file>

<file path=docProps/custom.xml><?xml version="1.0" encoding="utf-8"?>
<Properties xmlns="http://schemas.openxmlformats.org/officeDocument/2006/custom-properties" xmlns:vt="http://schemas.openxmlformats.org/officeDocument/2006/docPropsVTypes"/>
</file>