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§2.6 — a constitutional mechanism that triggers automatic suspension from duties and a Senate trial, defined fully at §2.6.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The right to trial may not be penalised through enhanced sentencing or prosecutorial retaliation. Parliament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§2.6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§2.6.</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Parliament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§2.6.</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Parliament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 Parliament defines by statute the ratification timeline, convening requirements, and extension procedures for domestic emergencies. Parliament's domestic emergency statute must define the maximum ratification period as a specific number of days, not as an operational condition or executive certification. The maximum may exceed the prior constitutional default but must be a defined number for which Parliament is democratically accountable.</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§2.6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§2.6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2.9 — Clemency Limits and Parliamentary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§2.6.</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§2.6.</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§2.6 following a Supreme Court Rule Violation finding, not upon House passage of Articles alone. Where §2.6 suspension is simultaneously in effect, the §2.6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Parliament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Parliament defines by statute the duration of valid sponsorship, the consequences of sponsorship lapse, and the conditions under which sponsorship may be withdrawn. Parliament must by statute require publication of immigration processing statistics to the National Record System, disaggregated in ways that permit identification of discriminatory patterns. Parliament's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 xml:space="preserve">The Republic certifies that an applicant meets federal standards in four categories Parliament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Parliament defines by statute. National security denials are published in a form that protects classified sources and methods while disclosing the category of the ground for denial. Parliament must by statute establish the specific standards for each certification category, the timeline for processing, and the remedy for procedurally deficient denials.</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§2.6.</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§2.6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Parliament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Parliament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(§2.6).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Parliament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Parliament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Parliament must appropriate the supplementation within 60 days of MA certification. This obligation is constitutional, not discretionary. The supplementation obligation is triggered by MA certification independently of any parliamentary override under §10.1.f. If Parliament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§2.6.a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a period Parliament defines by statute, or the Certification expires. Parliament may not schedule a ratification vote until the LI/EI joint review under §12.5.a has been published, or until the statutory waiting period has elapsed without publication. Parliament may ratify before the review is published by an elevated majority Parliament defines by statute, acknowledging it acts without the advisory review. Ratification of the Certification does not constitute a Parliamentary Declaration of Defense under §2.1.c; a separate Declaration is required if operations extend beyond 30 days. Parliament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both criteria of §13.2.a, §13.2.b,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Parliament must by statute define the maximum provisional period, not to exceed five years, after which an alternative resolution mechanism activates. Where Parliament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Parliament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65%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Parliament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prior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§2.6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 xml:space="preserve">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Parliament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Parliament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 xml:space="preserve">Where more than one independence process is simultaneously authorised under §15.4, transition periods must be sequenced with a minimum interval between formal independence dates that Parliament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The Executive Inspectorate publishes a factual assessment of each candidate's qualifications to the National Record System during the campaign period, before the election is held, for the information of voters.</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 xml:space="preserve">The National Trust is administered by a National Trust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Parliament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§2.6.</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Parliament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Parliament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Parliament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prior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 xml:space="preserve">Where a ratifying polity's predecessor government has documented constitutional violations recorded on the National Record System through mandatory publication of predecessor governmental records, Parliament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Parliament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Parliament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This provision exists to honour that obligation through a time-limited, constitutionally constrained mechanism — not to create a permanent parallel accountability structure.</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Parliament may not schedule a compact ratification vote until the JI publishes its certification finding. The JI must complete its assessment and publish findings to the NRS within 90 days of receiving the compact text. If the JI does not publish within 90 days, Parliament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