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§2.6 — a constitutional mechanism that triggers automatic suspension from duties and a Senate trial, defined fully at §2.6.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The right to trial may not be penalised through enhanced sentencing or prosecutorial retaliation. Parliament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§2.6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§2.6.</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r>
        <w:rPr>
          <w:rFonts w:ascii="Arial" w:hAnsi="Arial"/>
          <w:b/>
          <w:sz w:val="22"/>
        </w:rPr>
        <w:t xml:space="preserve">1.27 Non-Refoulement: </w:t>
      </w:r>
      <w:r>
        <w:rPr>
          <w:rFonts w:ascii="Arial" w:hAnsi="Arial"/>
          <w:sz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Parliament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§2.6.</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Parliament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 Parliament defines by statute the ratification timeline, convening requirements, and extension procedures for domestic emergencies. Parliament's domestic emergency statute must define the maximum ratification period as a specific number of days, not as an operational condition or executive certification. The maximum may exceed the prior constitutional default but must be a defined number for which Parliament is democratically accountable. The maximum ratification period Parliament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§2.6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§2.6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§2.6.</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§2.6.</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§2.6 following a Supreme Court Rule Violation finding, not upon House passage of Articles alone. Where §2.6 suspension is simultaneously in effect, the §2.6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Parliament defines by statute the duration of valid sponsorship, the consequences of sponsorship lapse, and the conditions under which sponsorship may be withdrawn. Parliament must by statute require publication of immigration processing statistics to the National Record System, disaggregated in ways that permit identification of discriminatory patterns. Parliament's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Parliament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Parliament defines by statute. National security denials are published in a form that protects classified sources and methods while disclosing the category of the ground for denial. Parliament must by statute establish the specific standards for each certification category, the timeline for processing, and the remedy for procedurally deficient denials. Parliament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Parliament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§2.6.</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Parliament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 xml:space="preserve">Any person who files a claim under §1.27 is an Inhabitant of the Republic for purposes of §10.1's Basic Needs Floor from the date of filing. Parliament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 xml:space="preserve">Any person who claims protection under §1.27 has the right to have that claim determined before any removal order takes effect. No person whose asylum claim is pending before the Asylum Court or within any appeal Parliament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Parliament must by statute establish the Asylum Court. Parliament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Parliament acts.</w:t>
      </w:r>
    </w:p>
    <w:p>
      <w:r>
        <w:rPr>
          <w:rFonts w:ascii="Arial" w:hAnsi="Arial"/>
          <w:b/>
          <w:sz w:val="22"/>
        </w:rPr>
        <w:t xml:space="preserve">6.4.d Non-Penalization for Irregular Entry: </w:t>
      </w:r>
      <w:r>
        <w:rPr>
          <w:rFonts w:ascii="Arial" w:hAnsi="Arial"/>
          <w:sz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 xml:space="preserve">Parliament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Parliament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Parliament must by statute establish a framework providing judicial authorization for continued detention, Asylum Court or federal court review at intervals Parliament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 xml:space="preserve">Parliament's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§2.6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(§2.6).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Parliament must appropriate the supplementation within 60 days of MA certification. This obligation is constitutional, not discretionary. The supplementation obligation is triggered by MA certification independently of any parliamentary override under §10.1.f. If Parliament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§2.6.a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a period Parliament defines by statute, or the Certification expires. Parliament may not schedule a ratification vote until the LI/EI joint review under §12.5.a has been published, or until the statutory waiting period has elapsed without publication. Parliament may ratify before the review is published by an elevated majority Parliament defines by statute, acknowledging it acts without the advisory review. Ratification of the Certification does not constitute a Parliamentary Declaration of Defense under §2.1.c; a separate Declaration is required if operations extend beyond 30 days. Parliament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both criteria of §13.2.a, §13.2.b,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Parliament must by statute define the maximum provisional period, not to exceed five years, after which an alternative resolution mechanism activates. Where Parliament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Parliament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65%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Parliament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r>
        <w:rPr>
          <w:rFonts w:ascii="Arial" w:hAnsi="Arial"/>
          <w:b/>
          <w:sz w:val="22"/>
        </w:rPr>
        <w:t xml:space="preserve">13.6 Voluntary Incorporation: </w:t>
      </w:r>
      <w:r>
        <w:rPr>
          <w:rFonts w:ascii="Arial" w:hAnsi="Arial"/>
          <w:sz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Parliament by a 2/3 majority of both chambers. If Parliament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prior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§2.6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Parliament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Parliament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Parliament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Parliament's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Parliament defines the specific content requirements within each category and may require additional elements beyond this constitutional floor. Where Parliament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Parliament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§2.6.</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Parliament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Parliament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recorded on the National Record System through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Parliament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Parliament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This provision exists to honour that obligation through a time-limited, constitutionally constrained mechanism — not to create a permanent parallel accountability structure.</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Parliament may not schedule a compact ratification vote until the JI publishes its certification finding. The JI must complete its assessment and publish findings to the NRS within 90 days of receiving the compact text. If the JI does not publish within 90 days, Parliament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