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day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requires Civic Consul certification throughout; expenditure without Civic Consul certification is void.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security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Domestic Executive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answers to the Assembly through the confidence mechanism and does not require consular confirmation for the exercise of the domestic domain. The Civic Consul's domestic authority includes: all domestic policy and regulatory frameworks; the annual budget, which must originate with the Civic Consul and pass the Assembly; certification of military expenditure;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national security matters that bear on domestic interests; no classification may be used to withhold such information from the Civic Consul where it affects the exercise of the domestic domain.</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Civic Consul Accountability and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 No person may serve more than 8 years in total as Civic Consul across all periods of service; this limit is cumulative and permanent regardless of interruption. 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Civic Consul designates a serving Assembly member; the designation is published to the NRS and confirmed by the LM.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by absolute majority and the Senate has not designated a Civic Consul within 45 days of the Assembly failing to elect one within the statutory period, the Elections Panel administers a public dissolution referendum; the question is whether the people wish to dissolve the Assembly and hold a new election; the referendum is administered with a minimum 30-day campaign window; a simple majority decides. If the Assembly elects a Civic Consul by absolute majority at any point before the dissolution vote is certified, the referendum is moot and concludes without effect. Where the dissolution vote passes, dissolution takes effect from the moment of Elections Panel certification and is published to the NRS; a new Assembly general election follows under the ordinary electoral process; the Acting mechanism continues until the new Assembly elects a Civic Consul. 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A solvency objection requires an MA assessment; the Assembly may override by simple majority after receiving the assessment.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Consular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Consular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the EM and LM jointly assess capacity and, on joint assessment published to the NRS, Acting Consular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color w:val="1B2A4A"/>
          <w:sz w:val="22"/>
          <w:szCs w:val="22"/>
        </w:rPr>
        <w:t xml:space="preserve">Coordination Failure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respective domains but their actions are materially incompatible — creating an operational deadlock not resolvable as a domain dispute under §2.4 or an emergency under §2.14 — either executive may declare a coordination failure by written NRS notice. Upon declaration, the matter is transmitted simultaneously to the Assembly Speaker and Senate Speaker jointly, and the Council of Ministers has 14 days to produce a joint resolution. The Legislature may resolve the deadlock by concurrent resolution of both chambers at any point within 30 days of the declaration — a concurrent resolution under this provision binds both executives to its terms for the duration of the impasse only and does not alter permanent domain boundaries. A Council of Ministers joint resolution published within the 14-day window closes the process; the Legislature takes no further action. Where neither the Council of Ministers nor the Legislature acts within 30 days of the declaration, the Civic Consul’s coordination authority governs the cross-domain interaction until either the executives reach agreement or the Legislature acts; the Legat Consul retains full authority within the Consular domain throughout and the default applies to how the two domains interact, not to the substance of matters within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conflict between constitutional actors creates a risk of suspension of lawful governance or constitutionally mandated essential services, the applicable constitutional default is continuity of lawful governance at existing scope, pending formal resolution. No constitutional actor may use a refusal to certify, approve, or coordinate as a mechanism to achieve the functional suspension of a constitutionally mandated obligation. The burden of justifying a disruption to essential government functions falls on the actor whose conduct creates the risk of disruption — not on the actor seeking to maintain continuity. The SC holds expedited review jurisdiction over any constitutional dispute in which either executive, either chamber, or the JMC reports that continuity of lawful governance is at immediate risk; the Court must act within seven days of such certification; where the SC fails to rule within seven days, the existing scope of government functions continues by constitutional operation pending any subsequent ruling. Continuity protections apply to: military operations with active legislative authorization; social state obligations; Monitor operations; NRS availability; and electoral administration.</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and does not hold a place in the Legat Consul succession line.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Legislative compensation is set by independent formula, not by the Legislature itself;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Legislative compensation and accommodation standards may not be set by the Legislature itself.</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 Indigenous treaties under Article XVI may not be unilaterally withdrawn.</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qualifications for inferior court judges defined by statute may apply directly to the Elections Panel; the Elections Panel applies those qualifications and enters qualifying applicants into the pool; the JM’s ongoing audit of the Elections Panel encompasses the administration of the inferior court judge pool. Exceptions to pool eligibility — including persons currently holding government positions, those with disqualifying financial interests, and those removed from a court within a recent period — are defined by statute. The Civic Consul nominates inferior court judges from the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open SC Candidate Registry maintained by the Elections Panel under §9.4.b — any eligible citizen who applies and meets the qualification criteria is entered.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SC Candidate Registry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SC Candidate Registry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a statute that is constitutionally permissible but poor policy is not the court's concern.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No citizenship may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eligible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All federal elections, referenda, and confirmation votes are administered by the Elections Panel using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its constitutional standards. 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is regulated to prevent structural distortion of democratic accountability through concentrated financial influence. 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Characterization, emphasis, and contextual framing of voting records are protected expression.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a publicly funded campaign financing system as an alternative to private fundraising. The system provides all registered candidates with equal baseline funding; no allocation may advantage incumbents or established political organizations. Candidates who accept public financing are subject to spending limits defined by statute. The Legislature may create a matching funds component amplifying small donations; matching thresholds, caps, and ratios must apply equally to all participating candidates. The Elections Panel administers disbursement and audits all campaign finance records within the period defined by statute following any election, not to exceed 90 days. Candidates who receive impermissible contributions must promptly report them and either return them to the contributor or remit them to the public campaign financing fund; the Legislature defines reporting timelines and procedures by statute.</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The Monitors hold an information-only mandate: they publish findings but do not issue binding orders. Each Monitor General serves a 10-year non-renewable term with a constitutionally protected funding floor. Failure of a Monitor to act does not extinguish constitutional authority or suspend any constitutional obligation, unless this Constitution explicitly provides otherwise. The Monitors are the Republic's independent auditors. Their mandate is to observe constitutional processes, verify factual and legal compliance, and publish expert findings to the NRS. Monitor findings carry the authority of expert analysis — available to any party, given due weight, and not binding on any constitutional actor. No Monitor finding or assessment is a prerequisite for any legal proceeding, constitutional mechanism, or governmental function. Any constitutional officer, chamber, or body may request a focused assessment from any Monitor within that Monitor’s audit mandate, specifying a date by which the assessment is required. The Monitor publishes the assessment by the requested date where practicable; where this is not practicable, the Monitor publishes the reason and an estimated completion date within five days of receiving the request. Persistent non-responsiveness to reasonable requests may be published by the other two Monitors as a non-responsiveness finding to the NRS. A requesting party may proceed with any constitutional process whether or not a requested assessment has been published.</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SC Candidate Registry and all constitutional pools. The JM reviews accommodation compact compliance, Associated Community compact compliance under Article XX, and Article XVI indigenous compact obligations. The JM's mandate is procedural neutrality: ensuring that all functions requiring independence from political bias are conducted under an impartial constitutional authority. The JM's lottery-based selection makes it the appropriate body to administer all constitutional lottery draws and candidate certification functions throughout the Republic.</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 the Legislature and both executives are entirely excluded. The Assembly Speaker and Senate Speaker jointly nominate the EM Monitor General, confirmed by national popular vote with JM audit findings on the nominee’s disclosure record published to the NRS before the vote — the executives are excluded and neither Speaker can act alone. The JM Monitor General is selected by public lottery from a pool of former judges audited by the LM and EM — the JM has no role in constituting or certifying its own candidate pool.</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Monitor General is nominated by the SC from a pool of qualified candidates maintained by the Elections Panel and audited jointly by the EM and JM, sufficiently in advance under the timeline defined by statute to ensure confirmation is complete before the transition under §3.13; confirmed by national popular vote at the next federal electoral period following nomination, by simple majority of votes cast. The confirmed successor assumes full Monitor General authority at the precise moment the incumbent’s term concludes under §3.13. If the confirmation vote fails, the §9.1.d acting mechanism activates and the SC initiates a new nomination from the pool within 60 days. The EM Monitor General is nominated jointly by the Assembly Speaker and Senate Speaker from a pool of qualified candidates maintained by the Elections Panel and audited jointly by the LM and JM, sufficiently in advance under the timeline defined by statute under §3.13; confirmed by national popular vote at the next federal electoral period following nomination, by simple majority of votes cast, with JM audit findings on the nominee’s disclosure record published to the NRS before the vote. The same timing and failed-vote provisions apply. Where the Assembly Speaker and Senate Speaker fail to jointly nominate within 60 days of a vacancy being published to the NRS, the Senate selects a nominee from the pool directly by 2/3 vote of full seated membership; the selected nominee proceeds to national popular vote confirmation on the same terms; the executives remain excluded from nomination under both paths. The JM Monitor General is selected by public lottery under §9.12 from the JM Candidate Pool under §9.4.a maintained by the Elections Panel, conducted at the statutory timeline under §3.13, sufficiently in advance to ensure seamless succession. The lottery-selected candidate is confirmed by national popular vote at the next federal electoral period following the draw, by simple majority of votes cast; the confirmed candidate assumes office at the precise moment the incumbent’s term concludes under §3.13. If the confirmation vote fails, the §9.1.d acting mechanism activates and the JMC conducts a new lottery from the pool within 60 days; the same confirmation process applies to the new selection. All Monitor Generals serve 10-year non-renewable terms. No two Monitor General terms may begin within 18 months of each other, ensuring continuous institutional knowledge across offices. The Elections Panel administers all Monitor General confirmation votes as part of the regular federal electoral period ballot.</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SC Candidate Registry,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SC Candidate Registry.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SC Candidate Registry;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§9.9  </w:t>
      </w:r>
      <w:r>
        <w:rPr>
          <w:rFonts w:ascii="Garamond" w:cs="Garamond" w:eastAsia="Garamond" w:hAnsi="Garamond"/>
          <w:b/>
          <w:bCs/>
          <w:i w:val="false"/>
          <w:iCs w:val="false"/>
          <w:color w:val="1B2A4A"/>
          <w:sz w:val="22"/>
          <w:szCs w:val="22"/>
        </w:rPr>
        <w:t xml:space="preserve">Removal Grounds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To initiate a standard track removal vote under §9.14, the charging party — a concurrent resolution of 1/3 of either chamber, or two of the three Monitors jointly — must file stated grounds with the SC. The SC determines within 14 days whether the stated grounds constitute at least one statutory removal category for the subject office as defined by the Legislature. If grounds are confirmed, duty suspension activates immediately and the Legislature may proceed to a removal vote. If grounds are not confirmed: the process closes and may not be reinitiated on the same or substantially similar grounds within six months. The SC reviews constitutional category only — it does not assess the factual merits or credibility of the underlying allegations. No per-proceeding panel is required; the SC performs this function directly. The Legislature defines the enumerated removal categories for each constitutionally confirmed office by statute; no removal vote may proceed without the SC’s categorical confirmation under this section. Where the SC fails to publish its determination within 14 days, the stated grounds are deemed confirmed by constitutional operation and duty suspension activates immediately; the Legislature may proceed to a removal vote as if grounds had been confirmed.</w:t>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as the administrative keeper of record. The Elections Panel receives applications, stores records, provides public access via the NRS, and enters qualifying applicants into the relevant registry or pool by applying the published qualification requirements. The relevant Monitor’s ongoing audit encompasses the Elections Panel’s administration of each pool and registry; audit findings are published to the NRS. Any applicant excluded may appeal to the SC within 14 days on the sole ground that the qualification requirements were misapplied. Pool records and audit findings are public NRS records at all times. The Joint Monitor Council conducts the draw in a public session, certifies the result jointly, and publishes it to the NRS. Where selection is by deliberate nomination, the named officer nominates from pool members. Where confirmation is required, the Senate must act within the period defined by the establishing provision; failure to confirm within that period is a constitutional compliance breach. The JM monitors all constitutional pools annually and publishes a status report.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and a designation is made under the ordinary acting mechanism;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(§4.3.b) and elected executives. Two removal tracks are available. Under the Standard Track, the charging party files stated grounds with the SC under §9.9; the SC confirms grounds within 14 days; duty suspension activates immediately on confirmation; removal requires a 2/3 vote of both chambers in a concurrent vote; no removal vote may be held within 180 days of a major national election without prior SC review within 48 hours. Under the Judicial Track, where two of the three Monitors jointly assess and report for-cause grounds and petition the SC, the SC determines within 30 days whether the certified grounds constitute sufficient cause for suspension; where the SC fails to rule within 30 days, cause is deemed found by constitutional operation; if cause is found or deemed found, the officer is suspended and the most senior deputy acts in the interim; the Senate has 60 days to hold a removal vote, with 3/5 required for permanent removal; a vote failing 3/5 reinstates the officer and closes the process; where the Senate fails to vote within 60 days, the matter is placed before the next federal electoral period ballot or a Legislature-set special election with a minimum 90-day notice period; removal by election requires 60% of votes cast. The Judicial Track is available where the Standard Track’s legislative threshold appears unreachable due to demonstrated political gridlock. Officers subject to this framework include the Monitor Generals and any other officers whose selection process is established by this Constitution rather than by statute. Officers of independent agencies established under §3.9 are not subject to this framework; their removal is governed by the statute establishing the relevant agency, which must preserve the for-cause removal principle. Provisions governing specific offices may cross-reference this section without restating its terms.</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authority of this Constitution is published to the NRS as a permanent record. No provision of this Constitution need state this obligation individually; it applies universally by operation of this section. Where this Constitution specifies a publication timeline, that timeline governs; in all other cases, publication occurs at or before the effective moment of the act. Records may not be deleted, altered, or reclassified after publication; corrections are published as new entries alongside the original. Where the NRS Panel determines by unanimous vote that a record was published in error and its continued availability poses an imminent, specific, and documented threat to individual safety, the NRS Panel may temporarily restrict access for a period not to exceed 30 days while the SC reviews the restriction; the SC must rule within 14 days; the record is permanently restored unless the SC confirms the restriction on the narrowest possible grounds. The original record timestamp and the restriction record both remain as permanent NRS entries. The NRS must remain fully functional in the event of localized technical failure — no single point of failure is constitutionally acceptable. The Legislature defines technical standards by statute. The NRS includes a permanent historical archive of all prior legislative acts, executive orders, judicial decisions, and government documents dating to the Republic's founding. Records published to the NRS by any jurisdiction within the Republic are recognized as authentic by all other jurisdictions without re-certification. Monitor reports are permanently exempt from classification. Citizens may submit corrections or context to any NRS record through a public mechanism maintained by the LM; submissions are published alongside the original after accuracy review. The NRS is the record of government, not a condition of it. Government acts take legal effect from the moment of issuance regardless of NRS status; the publication obligation applies from the moment the NRS is restored. The JM maintains a continuously operating parallel authentication system, physically and logistically independent of the NRS, capable of authenticating and preserving all constitutional acts without NRS connectivity. This system operates in parallel at all times — not merely as a contingency — and records all authenticated acts with full constitutional effect from the moment of their issuance. Upon NRS restoration, all parallel system records migrate to the NRS as permanent records with their original issuance timestamps. Where the NRS has not been restored within 180 days, the parallel system becomes the constitutional record of the Republic; the Legislature must by statute establish permanent restoration obligations and timelines within 90 days of that threshold. The Legislature defines the technical specifications, security standards, and operational parameters of the parallel system by statute; the constitutional obligation to maintain it is absolute and its funding floor follows the NRS funding floor in this section. Funding for the NRS may not be reduced below the prior year’s level without a 2/3 vote of both chambers. Classification used to conceal a constitutional violation or illegal order is itself a constitutional offense.</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operates the National Voting System and administers all federal elections, referenda, and confirmation votes. Each panel is operationally independent of the other and of both executives and the Legislature in the exercise of its functions; neither panel may direct the other.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neither panel holds legislative, executive, judicial, or policy authority.</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Every citizen holds the right to vote in federal elections.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States may offer early voting, mail-in ballots, and alternative participation methods provided all methods connect to the NVS and meet its constitutional standards. No State may reduce NVS access, functionality, or availability within its territory.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Territories, and Associated Communities.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Official benefits and accommodations beyond compensation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by petition of 5% of eligible voters within 90 days of enactment.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cannot be re-initiated on the same or substantially similar grounds for 5 years;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by petition of 10% of eligible voters. The Legislature must vote on the proposal within 90 days; if it fails or is not voted on, the proposal proceeds to a direct citizen referendum; passage requires 60% of votes cast with at least 50% citizen participation.</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genocide as recognized under international law.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is authorized through Civic Consul certification concurrent with legislative authorization. No military operation may be funded without Civic Consul certification; the Civic Consul may certify, condition, or decline certification on any operation. Expenditure in categories not covered by the certification requires supplementary Civic Consul certification. When legislative authorization expires or is not renewed, all military expenditure ceases; ongoing contracts may continue to wind down for the period the Legislature defines by statute; no new commitments may be entered after authorization expires. The EM audits all military expenditure during active operations and publishes findings to the NRS. Within the period the Legislature defines by statute following the conclusion of any military operation, not to exceed 180 days, the EM publishes a comprehensive expenditure accountability report. Where the Civic Consul declines certification for ongoing military operations that have been legislatively authorized, previously certified operational expenditure continues at maintenance-only levels for the period the Legislature defines by statute — covering only operations explicitly within the prior authorization, with no escalations, expansions, or new commitments permitted; the Legat Consul must publish notice of the certification refusal to the NRS within 24 hours with stated grounds; both chambers must be notified simultaneously; if the Legislature does not act within the maintenance period, all expenditure ceases. A Civic Consul who declines certification bears the same constitutional attribution for the consequences of that decision as a Legat Consul who orders an operation.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Intelligence capabilities used in support of authorized military operations are subject to the §2.3 warrant requirement at all times — no military operation authorizes domestic intelligence collection against citizens without independent judicial authorization. Intelligence activities must be published to the NRS in classified summary form within the period defined by statute following military operations being fully concluded.</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following legislative military authorization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both executives within their respective domains. If the Senate fails to approve a Plan within the required period, that failure is a constitutional compliance breach; the Civic Consul may provisionally extend expenditure certification for continued operations for up to 60 days total in two 30-day extensions, each requiring Civic Consul notification to the Senate and publication to the NRS confirming that the certified expenditure remains within the Declaration's scope; operational authority over those operations remains with the Legat Consul throughout. Once the two extensions are exhausted, no further authorization renewals are permitted until the Senate approves a Plan.</w:t>
      </w:r>
    </w:p>
    <w:p>
      <w:pPr>
        <w:spacing w:after="60" w:before="200"/>
        <w:ind w:left="431"/>
        <w:jc w:val="left"/>
      </w:pPr>
      <w:r>
        <w:rPr>
          <w:rFonts w:ascii="Courier New" w:cs="Courier New" w:eastAsia="Courier New" w:hAnsi="Courier New"/>
          <w:b/>
          <w:bCs/>
          <w:color w:val="1B2A4A"/>
          <w:sz w:val="18"/>
          <w:szCs w:val="18"/>
        </w:rPr>
        <w:t xml:space="preserve">§14.5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Civic Consul certification of expenditure applies from the moment of action under §14.2.</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three paths: a two-year federal remediation commission; a State-managed remediation plan subject to LM quarterly assessment of progress against the published compliance requirements; or devolution to Territory status. A State-managed plan that fails two consecutive quarterly assessments automatically triggers a new citizen vote between the remaining two options. A devolved State returns to Territory status. Sitting senators complete their current elected terms — Senate seats are not vacated — but no new Senate elections may be held until Statehood is restored; existing Assembly members complete their current terms; Article I rights and social state protections continue without interruption. Restoration to Statehood is automatic upon passing the Statehood Audit and completing the Provisional Membership Period. Within 30 days of devolution taking effect,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a State referendum achieving 60% approval of eligible voters on the specific proposed restructuring; and Senate approval of a negotiated restructuring agreement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resulting from voluntary devolution enters the Statehood re-qualification pathway immediately.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and acceptance by the Legislature by 2/3 of both chambers. Under §9.1, either chamber may request a JM assessment of the entity's compliance with §1.19.b before the incorporation vote; published JM findings must be given due consideration. Any person with standing may challenge the incorporation before the SC on the ground that the entity systematically violates §1.19.b. An accepted petition produces an incorporation agreement specifying a transition period not exceeding 48 months.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are living agreements administered through joint mechanisms. Disputes are resolved through a Joint Compact Review Council with equal representation of the Nation and the Republic. The Republic is represented on the Council by the Civic Consul's designated Compact Officer for domestic and governance matters; the Legat Consul's designated representative participates for any matter within the Legat Consul's domain under §2.1. Council decisions are binding on both parties within the scope of the compact; neither party may unilaterally declare a compact dispute resolved. Constitutional questions are appealed to the SC, which must rule within 90 days of petition; where the SC fails to rule within 90 days, the Nation’s position is upheld by constitutional operation pending any subsequent ruling. Compacts are reviewed on a schedule defined in the compact terms, minimum every 20 years; either party may request a review outside the schedule. The review may result in compact amendment by mutual agreement — neither party can impose amendments. A compact may be terminated by mutual agreement only; neither party may unilaterally terminate; only the Nation may initiate termination, and the Republic must negotiate exit terms within 2 years; if no agreement is reached the compact continues and the dispute is referred to the SC.</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 dispute resolution process. Any resident of compact territory who believes an Article I right has been violated may bring an Emergency Rights Writ directly to the SC, bypassing all lower courts and the compact dispute resolution process; the SC must rule within 7 days; where the SC fails to rule within 7 days, the Writ is granted and the alleged violation is treated as confirmed pending full SC review.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XVI holds the constitutional right to initiate a status transition through its own democratic or traditional governance process. Three status options are available: (a) Compact Status — continued Article XVI compact relationship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 status election is irrevocable — a Nation that elects Territorial Integration or Full Sovereign Independence may not subsequently return to Article XVI compact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compact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Any proposed constitutional amendment supported by a petition of at least 15% of eligible voters, as verified by the Elections Panel,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Elections Panel petition verification. Citizen initiative amendments are subject to §17.3 consistency analysis by the LM,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LM publishes a consistency analysis of any proposed amendment within 30 days of passage by both chambers for a parliamentary amendment, or within 30 days of LM petition verification for a citizen initiative amendment — advisory, but a permanent public record of what the amendment changes. If a ratified amendment's consistency with existing provisions is disputed, the SC resolves the dispute on expedited review;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bid process. The Civic Consul publishes a Requirements Specification to the NRS defining minimum functional, security, physical, and operational requirements; the Legislature establishes specific standards by statute. Any State or Territory may submit a bid; the Legislature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or if bids are submitted but none meet the published Requirements Specification, the existing arrangement continues and the Legislature may revise the Specification for the next cycle.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Host State legislative consent is not required because Territories have no State legislature;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through the constitutional amendment process, or recognized as pre-existing sovereigns under Article XVI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Under §9.1, either chamber may request a JM assessment of compact compliance before proceeding to ratification.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