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2516D4" w14:textId="77777777" w:rsidR="00AF3D56" w:rsidRDefault="00000000">
      <w:pPr>
        <w:spacing w:before="1440" w:after="120"/>
        <w:jc w:val="center"/>
      </w:pPr>
      <w:r>
        <w:rPr>
          <w:rFonts w:ascii="Garamond" w:eastAsia="Garamond" w:hAnsi="Garamond" w:cs="Garamond"/>
          <w:color w:val="1B2A4A"/>
          <w:sz w:val="52"/>
          <w:szCs w:val="52"/>
        </w:rPr>
        <w:t>THE FEDERATED REPUBLIC</w:t>
      </w:r>
    </w:p>
    <w:p w14:paraId="13E9BE20" w14:textId="77777777" w:rsidR="00AF3D56" w:rsidRDefault="00000000">
      <w:pPr>
        <w:pBdr>
          <w:bottom w:val="single" w:sz="4" w:space="8" w:color="C9A84C"/>
        </w:pBdr>
        <w:spacing w:after="120"/>
        <w:jc w:val="center"/>
      </w:pPr>
      <w:r>
        <w:rPr>
          <w:rFonts w:ascii="Garamond" w:eastAsia="Garamond" w:hAnsi="Garamond" w:cs="Garamond"/>
          <w:color w:val="C9A84C"/>
          <w:sz w:val="36"/>
          <w:szCs w:val="36"/>
        </w:rPr>
        <w:t>CONSTITUTION</w:t>
      </w:r>
    </w:p>
    <w:p w14:paraId="092F95E3" w14:textId="30E152CC" w:rsidR="00AF3D56" w:rsidRDefault="00000000">
      <w:pPr>
        <w:spacing w:before="240"/>
        <w:jc w:val="center"/>
      </w:pPr>
      <w:r>
        <w:rPr>
          <w:rFonts w:ascii="Garamond" w:eastAsia="Garamond" w:hAnsi="Garamond" w:cs="Garamond"/>
          <w:i/>
          <w:iCs/>
          <w:color w:val="7A7060"/>
          <w:sz w:val="22"/>
          <w:szCs w:val="22"/>
        </w:rPr>
        <w:t xml:space="preserve">166 Provisions · 20 Articles</w:t>
      </w:r>
    </w:p>
    <w:p w14:paraId="0195EB27" w14:textId="77777777" w:rsidR="00AF3D56" w:rsidRDefault="00000000">
      <w:pPr>
        <w:spacing w:before="60"/>
        <w:jc w:val="center"/>
      </w:pPr>
      <w:r>
        <w:rPr>
          <w:rFonts w:ascii="Garamond" w:eastAsia="Garamond" w:hAnsi="Garamond" w:cs="Garamond"/>
          <w:color w:val="7A7060"/>
          <w:sz w:val="18"/>
          <w:szCs w:val="18"/>
        </w:rPr>
        <w:t>thefederatedrepublic.org</w:t>
      </w:r>
    </w:p>
    <w:p w14:paraId="0AAAAAA1" w14:textId="77777777" w:rsidR="00AF3D56" w:rsidRDefault="00000000">
      <w:pPr>
        <w:pageBreakBefore/>
        <w:pBdr>
          <w:bottom w:val="single" w:sz="4" w:space="6" w:color="C9A84C"/>
        </w:pBdr>
        <w:spacing w:after="280"/>
      </w:pPr>
      <w:r>
        <w:rPr>
          <w:rFonts w:ascii="Garamond" w:eastAsia="Garamond" w:hAnsi="Garamond" w:cs="Garamond"/>
          <w:color w:val="1B2A4A"/>
          <w:sz w:val="34"/>
        </w:rPr>
        <w:t xml:space="preserve">Preamble</w:t>
      </w:r>
    </w:p>
    <w:p w14:paraId="0BBBBBB1" w14:textId="77777777" w:rsidR="00AF3D56" w:rsidRDefault="00000000">
      <w:pPr>
        <w:spacing w:after="180" w:line="276" w:lineRule="auto"/>
        <w:jc w:val="both"/>
      </w:pPr>
      <w:r>
        <w:rPr>
          <w:rFonts w:ascii="Garamond" w:eastAsia="Garamond" w:hAnsi="Garamond" w:cs="Garamond"/>
          <w:sz w:val="24"/>
        </w:rPr>
        <w:t xml:space="preserve">We built a Republic worth living in — and worth adopting. Here is why.</w:t>
      </w:r>
    </w:p>
    <w:p w14:paraId="0BBBBBB1" w14:textId="77777777" w:rsidR="00AF3D56" w:rsidRDefault="00000000">
      <w:pPr>
        <w:spacing w:after="180" w:line="276" w:lineRule="auto"/>
        <w:jc w:val="both"/>
      </w:pPr>
      <w:r>
        <w:rPr>
          <w:rFonts w:ascii="Garamond" w:eastAsia="Garamond" w:hAnsi="Garamond" w:cs="Garamond"/>
          <w:sz w:val="24"/>
        </w:rPr>
        <w:t xml:space="preserve">We came from different places, and out of that difference we made something none of us could have made alone: a government strong enough to act, restrained enough to trust, and answerable — always — to you.</w:t>
      </w:r>
    </w:p>
    <w:p w14:paraId="0BBBBBB1" w14:textId="77777777" w:rsidR="00AF3D56" w:rsidRDefault="00000000">
      <w:pPr>
        <w:spacing w:after="180" w:line="276" w:lineRule="auto"/>
        <w:jc w:val="both"/>
      </w:pPr>
      <w:r>
        <w:rPr>
          <w:rFonts w:ascii="Garamond" w:eastAsia="Garamond" w:hAnsi="Garamond" w:cs="Garamond"/>
          <w:sz w:val="24"/>
        </w:rPr>
        <w:t xml:space="preserve">We built it on one conviction: </w:t>
      </w:r>
      <w:r>
        <w:rPr>
          <w:rFonts w:ascii="Garamond" w:eastAsia="Garamond" w:hAnsi="Garamond" w:cs="Garamond"/>
          <w:b/>
          <w:sz w:val="24"/>
        </w:rPr>
        <w:t xml:space="preserve">the person comes before the state.</w:t>
      </w:r>
      <w:r>
        <w:rPr>
          <w:rFonts w:ascii="Garamond" w:eastAsia="Garamond" w:hAnsi="Garamond" w:cs="Garamond"/>
          <w:sz w:val="24"/>
        </w:rPr>
        <w:t xml:space="preserve"> You are whole and equal. You hold rights no government granted and none can take away. Behind those rights we placed the entire weight of the Republic, so that no one among you is ever left without remedy, without a voice, or without the conditions of a decent life.</w:t>
      </w:r>
    </w:p>
    <w:p w14:paraId="0BBBBBB1" w14:textId="77777777" w:rsidR="00AF3D56" w:rsidRDefault="00000000">
      <w:pPr>
        <w:spacing w:after="180" w:line="276" w:lineRule="auto"/>
        <w:jc w:val="both"/>
      </w:pPr>
      <w:r>
        <w:rPr>
          <w:rFonts w:ascii="Garamond" w:eastAsia="Garamond" w:hAnsi="Garamond" w:cs="Garamond"/>
          <w:sz w:val="24"/>
        </w:rPr>
        <w:t xml:space="preserve">And we did not ask you to trust us. We gave power to the people and made it return to them. We opened the state to the light, so you can see how you are governed. We bound every office we created — even the ones we admired most — so this Republic stays yours whether it is governed well or badly. That is the difference: most governments ask for your faith. This one gives you the means to withhold it.</w:t>
      </w:r>
    </w:p>
    <w:p w14:paraId="0BBBBBB1" w14:textId="77777777" w:rsidR="00AF3D56" w:rsidRDefault="00000000">
      <w:pPr>
        <w:spacing w:after="180" w:line="276" w:lineRule="auto"/>
        <w:jc w:val="both"/>
      </w:pPr>
      <w:r>
        <w:rPr>
          <w:rFonts w:ascii="Garamond" w:eastAsia="Garamond" w:hAnsi="Garamond" w:cs="Garamond"/>
          <w:sz w:val="24"/>
        </w:rPr>
        <w:t xml:space="preserve">What follows is long because your freedom is detailed, and every page of it exists to keep a promise made to you.</w:t>
      </w:r>
    </w:p>
    <w:p w14:paraId="0BBBBBB1" w14:textId="77777777" w:rsidR="00AF3D56" w:rsidRDefault="00000000">
      <w:pPr>
        <w:spacing w:after="180" w:line="276" w:lineRule="auto"/>
        <w:jc w:val="both"/>
      </w:pPr>
      <w:r>
        <w:rPr>
          <w:rFonts w:ascii="Garamond" w:eastAsia="Garamond" w:hAnsi="Garamond" w:cs="Garamond"/>
          <w:sz w:val="24"/>
        </w:rPr>
        <w:t xml:space="preserve">Read it. Then adopt it, and make it your own.</w:t>
      </w:r>
    </w:p>
    <w:p w14:paraId="6F6AE7CB"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 — Individual Sovereignty and Rights</w:t>
      </w:r>
    </w:p>
    <w:p w14:paraId="734B5287" w14:textId="77777777" w:rsidR="00AF3D56" w:rsidRDefault="00000000">
      <w:pPr>
        <w:spacing w:before="200" w:after="60"/>
        <w:ind w:left="431"/>
      </w:pPr>
      <w:r>
        <w:rPr>
          <w:rFonts w:ascii="Courier New" w:eastAsia="Courier New" w:hAnsi="Courier New" w:cs="Courier New"/>
          <w:b/>
          <w:bCs/>
          <w:color w:val="2A2A2A"/>
          <w:sz w:val="18"/>
          <w:szCs w:val="18"/>
        </w:rPr>
        <w:t xml:space="preserve">§1.1  </w:t>
      </w:r>
      <w:r>
        <w:rPr>
          <w:rFonts w:ascii="Garamond" w:eastAsia="Garamond" w:hAnsi="Garamond" w:cs="Garamond"/>
          <w:i/>
          <w:iCs/>
          <w:color w:val="1B2A4A"/>
          <w:sz w:val="22"/>
          <w:szCs w:val="22"/>
        </w:rPr>
        <w:t>Right to Courts and Legal Remedy</w:t>
      </w:r>
    </w:p>
    <w:p w14:paraId="2BA9ED1F" w14:textId="77777777" w:rsidR="00AF3D56" w:rsidRDefault="00000000">
      <w:pPr>
        <w:spacing w:after="120"/>
        <w:ind w:left="431"/>
        <w:jc w:val="both"/>
      </w:pPr>
      <w:r>
        <w:rPr>
          <w:rFonts w:ascii="Garamond" w:eastAsia="Garamond" w:hAnsi="Garamond" w:cs="Garamond"/>
          <w:color w:val="2A2A2A"/>
          <w:sz w:val="22"/>
          <w:szCs w:val="22"/>
        </w:rPr>
        <w:t>Every person may seek legal remedy for any rights violation before an independent and impartial court. This right is self-executing: where the Legislature has not funded adequate legal aid, courts appoint counsel at public expense. Procedural costs may not be used to make the right to a remedy illusory.</w:t>
      </w:r>
    </w:p>
    <w:p w14:paraId="30FA7D47" w14:textId="77777777" w:rsidR="00AF3D56" w:rsidRDefault="00000000">
      <w:pPr>
        <w:spacing w:before="200" w:after="60"/>
        <w:ind w:left="431"/>
      </w:pPr>
      <w:r>
        <w:rPr>
          <w:rFonts w:ascii="Courier New" w:eastAsia="Courier New" w:hAnsi="Courier New" w:cs="Courier New"/>
          <w:b/>
          <w:bCs/>
          <w:color w:val="2A2A2A"/>
          <w:sz w:val="18"/>
          <w:szCs w:val="18"/>
        </w:rPr>
        <w:t xml:space="preserve">§1.2  </w:t>
      </w:r>
      <w:r>
        <w:rPr>
          <w:rFonts w:ascii="Garamond" w:eastAsia="Garamond" w:hAnsi="Garamond" w:cs="Garamond"/>
          <w:i/>
          <w:iCs/>
          <w:color w:val="1B2A4A"/>
          <w:sz w:val="22"/>
          <w:szCs w:val="22"/>
        </w:rPr>
        <w:t>Individual Sovereignty Floor</w:t>
      </w:r>
    </w:p>
    <w:p w14:paraId="14A4DD6B" w14:textId="77777777" w:rsidR="00AF3D56" w:rsidRDefault="00000000">
      <w:pPr>
        <w:spacing w:after="120"/>
        <w:ind w:left="431"/>
        <w:jc w:val="both"/>
      </w:pPr>
      <w:r>
        <w:rPr>
          <w:rFonts w:ascii="Garamond" w:eastAsia="Garamond" w:hAnsi="Garamond" w:cs="Garamond"/>
          <w:color w:val="2A2A2A"/>
          <w:sz w:val="22"/>
          <w:szCs w:val="22"/>
        </w:rPr>
        <w:t>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14:paraId="13CF166F" w14:textId="77777777" w:rsidR="00AF3D56" w:rsidRDefault="00000000">
      <w:pPr>
        <w:spacing w:before="200" w:after="60"/>
        <w:ind w:left="431"/>
      </w:pPr>
      <w:r>
        <w:rPr>
          <w:rFonts w:ascii="Courier New" w:eastAsia="Courier New" w:hAnsi="Courier New" w:cs="Courier New"/>
          <w:b/>
          <w:bCs/>
          <w:color w:val="2A2A2A"/>
          <w:sz w:val="18"/>
          <w:szCs w:val="18"/>
        </w:rPr>
        <w:t xml:space="preserve">§1.3  </w:t>
      </w:r>
      <w:r>
        <w:rPr>
          <w:rFonts w:ascii="Garamond" w:eastAsia="Garamond" w:hAnsi="Garamond" w:cs="Garamond"/>
          <w:i/>
          <w:iCs/>
          <w:color w:val="1B2A4A"/>
          <w:sz w:val="22"/>
          <w:szCs w:val="22"/>
        </w:rPr>
        <w:t>Prohibition of Torture and Cruel Treatment</w:t>
      </w:r>
    </w:p>
    <w:p w14:paraId="0A9C5B85" w14:textId="77777777" w:rsidR="00AF3D56" w:rsidRDefault="00000000">
      <w:pPr>
        <w:spacing w:after="120"/>
        <w:ind w:left="431"/>
        <w:jc w:val="both"/>
      </w:pPr>
      <w:r>
        <w:rPr>
          <w:rFonts w:ascii="Garamond" w:eastAsia="Garamond" w:hAnsi="Garamond" w:cs="Garamond"/>
          <w:color w:val="2A2A2A"/>
          <w:sz w:val="22"/>
          <w:szCs w:val="22"/>
        </w:rPr>
        <w:t>Torture and cruel, inhuman, or degrading treatment are absolutely prohibited. No person within the Republic's jurisdiction may be subjected to any such treatment. This right is non-derogable under §1.19.a.</w:t>
      </w:r>
    </w:p>
    <w:p w14:paraId="2B6FC3D3" w14:textId="77777777" w:rsidR="00AF3D56" w:rsidRDefault="00000000">
      <w:pPr>
        <w:spacing w:before="200" w:after="60"/>
        <w:ind w:left="431"/>
      </w:pPr>
      <w:r>
        <w:rPr>
          <w:rFonts w:ascii="Courier New" w:eastAsia="Courier New" w:hAnsi="Courier New" w:cs="Courier New"/>
          <w:b/>
          <w:bCs/>
          <w:color w:val="2A2A2A"/>
          <w:sz w:val="18"/>
          <w:szCs w:val="18"/>
        </w:rPr>
        <w:t xml:space="preserve">§1.4  </w:t>
      </w:r>
      <w:r>
        <w:rPr>
          <w:rFonts w:ascii="Garamond" w:eastAsia="Garamond" w:hAnsi="Garamond" w:cs="Garamond"/>
          <w:i/>
          <w:iCs/>
          <w:color w:val="1B2A4A"/>
          <w:sz w:val="22"/>
          <w:szCs w:val="22"/>
        </w:rPr>
        <w:t>Prohibition of Slavery and Forced Labor</w:t>
      </w:r>
    </w:p>
    <w:p w14:paraId="79B84C91" w14:textId="77777777" w:rsidR="00AF3D56" w:rsidRDefault="00000000">
      <w:pPr>
        <w:spacing w:after="120"/>
        <w:ind w:left="431"/>
        <w:jc w:val="both"/>
      </w:pPr>
      <w:r>
        <w:rPr>
          <w:rFonts w:ascii="Garamond" w:eastAsia="Garamond" w:hAnsi="Garamond" w:cs="Garamond"/>
          <w:color w:val="2A2A2A"/>
          <w:sz w:val="22"/>
          <w:szCs w:val="22"/>
        </w:rPr>
        <w:t>Slavery, involuntary servitude, and forced labor are absolutely prohibited. Prison labor authorized by statute and civic obligations lawfully required of citizens by the Legislature — including jury service, military conscription, and civil emergency duties — do not constitute forced labor under this provision. This right is non-derogable under §1.19.a.</w:t>
      </w:r>
    </w:p>
    <w:p w14:paraId="2E5E4B7E" w14:textId="77777777" w:rsidR="00AF3D56" w:rsidRDefault="00000000">
      <w:pPr>
        <w:spacing w:before="200" w:after="60"/>
        <w:ind w:left="431"/>
      </w:pPr>
      <w:r>
        <w:rPr>
          <w:rFonts w:ascii="Courier New" w:eastAsia="Courier New" w:hAnsi="Courier New" w:cs="Courier New"/>
          <w:b/>
          <w:bCs/>
          <w:color w:val="2A2A2A"/>
          <w:sz w:val="18"/>
          <w:szCs w:val="18"/>
        </w:rPr>
        <w:t xml:space="preserve">§1.5  </w:t>
      </w:r>
      <w:r>
        <w:rPr>
          <w:rFonts w:ascii="Garamond" w:eastAsia="Garamond" w:hAnsi="Garamond" w:cs="Garamond"/>
          <w:i/>
          <w:iCs/>
          <w:color w:val="1B2A4A"/>
          <w:sz w:val="22"/>
          <w:szCs w:val="22"/>
        </w:rPr>
        <w:t>Civil and Political Liberties</w:t>
      </w:r>
    </w:p>
    <w:p w14:paraId="7282DB24" w14:textId="77777777" w:rsidR="00AF3D56" w:rsidRDefault="00000000">
      <w:pPr>
        <w:spacing w:after="120"/>
        <w:ind w:left="431"/>
        <w:jc w:val="both"/>
      </w:pPr>
      <w:r>
        <w:rPr>
          <w:rFonts w:ascii="Garamond" w:eastAsia="Garamond" w:hAnsi="Garamond" w:cs="Garamond"/>
          <w:color w:val="2A2A2A"/>
          <w:sz w:val="22"/>
          <w:szCs w:val="22"/>
        </w:rPr>
        <w:t>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suppress expression.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14:paraId="211DE107" w14:textId="77777777" w:rsidR="00AF3D56" w:rsidRDefault="00000000">
      <w:pPr>
        <w:spacing w:before="200" w:after="60"/>
        <w:ind w:left="431"/>
      </w:pPr>
      <w:r>
        <w:rPr>
          <w:rFonts w:ascii="Courier New" w:eastAsia="Courier New" w:hAnsi="Courier New" w:cs="Courier New"/>
          <w:b/>
          <w:bCs/>
          <w:color w:val="2A2A2A"/>
          <w:sz w:val="18"/>
          <w:szCs w:val="18"/>
        </w:rPr>
        <w:t xml:space="preserve">§1.6  </w:t>
      </w:r>
      <w:r>
        <w:rPr>
          <w:rFonts w:ascii="Garamond" w:eastAsia="Garamond" w:hAnsi="Garamond" w:cs="Garamond"/>
          <w:i/>
          <w:iCs/>
          <w:color w:val="1B2A4A"/>
          <w:sz w:val="22"/>
          <w:szCs w:val="22"/>
        </w:rPr>
        <w:t>Equality and Non-Discrimination</w:t>
      </w:r>
    </w:p>
    <w:p w14:paraId="124E8111" w14:textId="77777777" w:rsidR="00AF3D56" w:rsidRDefault="00000000">
      <w:pPr>
        <w:spacing w:after="120"/>
        <w:ind w:left="431"/>
        <w:jc w:val="both"/>
      </w:pPr>
      <w:r>
        <w:rPr>
          <w:rFonts w:ascii="Garamond" w:eastAsia="Garamond" w:hAnsi="Garamond" w:cs="Garamond"/>
          <w:color w:val="2A2A2A"/>
          <w:sz w:val="22"/>
          <w:szCs w:val="22"/>
        </w:rPr>
        <w:t>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14:paraId="68BA3381" w14:textId="77777777" w:rsidR="00AF3D56" w:rsidRDefault="00000000">
      <w:pPr>
        <w:spacing w:before="200" w:after="60"/>
        <w:ind w:left="431"/>
      </w:pPr>
      <w:r>
        <w:rPr>
          <w:rFonts w:ascii="Courier New" w:eastAsia="Courier New" w:hAnsi="Courier New" w:cs="Courier New"/>
          <w:b/>
          <w:bCs/>
          <w:color w:val="2A2A2A"/>
          <w:sz w:val="18"/>
          <w:szCs w:val="18"/>
        </w:rPr>
        <w:t xml:space="preserve">§1.7  </w:t>
      </w:r>
      <w:r>
        <w:rPr>
          <w:rFonts w:ascii="Garamond" w:eastAsia="Garamond" w:hAnsi="Garamond" w:cs="Garamond"/>
          <w:i/>
          <w:iCs/>
          <w:color w:val="1B2A4A"/>
          <w:sz w:val="22"/>
          <w:szCs w:val="22"/>
        </w:rPr>
        <w:t>Bodily Sovereignty</w:t>
      </w:r>
    </w:p>
    <w:p w14:paraId="4A56BCE5" w14:textId="77777777" w:rsidR="00AF3D56" w:rsidRDefault="00000000">
      <w:pPr>
        <w:spacing w:after="120"/>
        <w:ind w:left="431"/>
        <w:jc w:val="both"/>
      </w:pPr>
      <w:r>
        <w:rPr>
          <w:rFonts w:ascii="Garamond" w:eastAsia="Garamond" w:hAnsi="Garamond" w:cs="Garamond"/>
          <w:color w:val="2A2A2A"/>
          <w:sz w:val="22"/>
          <w:szCs w:val="22"/>
        </w:rPr>
        <w:t>Medical decisions are the province of the individual and their chosen provider. The state may promote public health through information, licensing, and access; it may not compel medical decisions or penalize their exercise. No government may impose civil or criminal liability on any person solely for receiving, assisting access to, or providing information about medical care that was lawful where received.</w:t>
      </w:r>
    </w:p>
    <w:p w14:paraId="7C997FA5" w14:textId="77777777" w:rsidR="00AF3D56" w:rsidRDefault="00000000">
      <w:pPr>
        <w:spacing w:before="200" w:after="60"/>
        <w:ind w:left="431"/>
      </w:pPr>
      <w:r>
        <w:rPr>
          <w:rFonts w:ascii="Courier New" w:eastAsia="Courier New" w:hAnsi="Courier New" w:cs="Courier New"/>
          <w:b/>
          <w:bCs/>
          <w:color w:val="2A2A2A"/>
          <w:sz w:val="18"/>
          <w:szCs w:val="18"/>
        </w:rPr>
        <w:t xml:space="preserve">§1.8  </w:t>
      </w:r>
      <w:r>
        <w:rPr>
          <w:rFonts w:ascii="Garamond" w:eastAsia="Garamond" w:hAnsi="Garamond" w:cs="Garamond"/>
          <w:i/>
          <w:iCs/>
          <w:color w:val="1B2A4A"/>
          <w:sz w:val="22"/>
          <w:szCs w:val="22"/>
        </w:rPr>
        <w:t>Privacy, Property, and Security of the Home</w:t>
      </w:r>
    </w:p>
    <w:p w14:paraId="27C2D0B5" w14:textId="77777777" w:rsidR="00AF3D56" w:rsidRDefault="00000000">
      <w:pPr>
        <w:spacing w:after="120"/>
        <w:ind w:left="431"/>
        <w:jc w:val="both"/>
      </w:pPr>
      <w:r>
        <w:rPr>
          <w:rFonts w:ascii="Garamond" w:eastAsia="Garamond" w:hAnsi="Garamond" w:cs="Garamond"/>
          <w:color w:val="2A2A2A"/>
          <w:sz w:val="22"/>
          <w:szCs w:val="22"/>
        </w:rPr>
        <w:t>Every person holds the right to privacy and security in their person, home, communications, and data, and the right to own property. The home may not be entered, nor any person, communication, or data searched, surveilled, or collected by government, without consent or prior independent judicial authorization based on specific, articulable grounds. The Legislature establishes the warrant framework by statute. Encryption is lawful and may not be prohibited. The state may take private property for public use only upon payment of just compensation determined by independent process, not by the taking authority.</w:t>
      </w:r>
    </w:p>
    <w:p w14:paraId="77CD7BA7" w14:textId="77777777" w:rsidR="00AF3D56" w:rsidRDefault="00000000">
      <w:pPr>
        <w:spacing w:before="200" w:after="60"/>
        <w:ind w:left="431"/>
      </w:pPr>
      <w:r>
        <w:rPr>
          <w:rFonts w:ascii="Courier New" w:eastAsia="Courier New" w:hAnsi="Courier New" w:cs="Courier New"/>
          <w:b/>
          <w:bCs/>
          <w:color w:val="2A2A2A"/>
          <w:sz w:val="18"/>
          <w:szCs w:val="18"/>
        </w:rPr>
        <w:t xml:space="preserve">§1.9  </w:t>
      </w:r>
      <w:r>
        <w:rPr>
          <w:rFonts w:ascii="Garamond" w:eastAsia="Garamond" w:hAnsi="Garamond" w:cs="Garamond"/>
          <w:i/>
          <w:iCs/>
          <w:color w:val="1B2A4A"/>
          <w:sz w:val="22"/>
          <w:szCs w:val="22"/>
        </w:rPr>
        <w:t>Democratic Participation and Family</w:t>
      </w:r>
    </w:p>
    <w:p>
      <w:pPr>
        <w:spacing w:after="120"/>
        <w:ind w:left="431"/>
        <w:jc w:val="both"/>
      </w:pPr>
      <w:r>
        <w:rPr>
          <w:rFonts w:ascii="Garamond" w:eastAsia="Garamond" w:hAnsi="Garamond" w:cs="Garamond"/>
          <w:color w:val="2A2A2A"/>
          <w:sz w:val="22"/>
          <w:szCs w:val="22"/>
        </w:rPr>
        <w:t xml:space="preserve">Every citizen holds the right to vote, stand for office, and participate in the democratic processes of the Republic, subject to the eligibility requirements established in this constitution,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 Every person holds the right to marry and found a family, free from governmental discrimination on the basis of the characteristics listed in §1.6. Children born within and outside of formal partnership hold equal legal status.</w:t>
      </w:r>
    </w:p>
    <w:p w14:paraId="2609DD8E" w14:textId="77777777" w:rsidR="00AF3D56" w:rsidRDefault="00000000">
      <w:pPr>
        <w:spacing w:before="200" w:after="60"/>
        <w:ind w:left="431"/>
      </w:pPr>
      <w:r>
        <w:rPr>
          <w:rFonts w:ascii="Courier New" w:eastAsia="Courier New" w:hAnsi="Courier New" w:cs="Courier New"/>
          <w:b/>
          <w:bCs/>
          <w:color w:val="2A2A2A"/>
          <w:sz w:val="18"/>
          <w:szCs w:val="18"/>
        </w:rPr>
        <w:t xml:space="preserve">§1.10  </w:t>
      </w:r>
      <w:r>
        <w:rPr>
          <w:rFonts w:ascii="Garamond" w:eastAsia="Garamond" w:hAnsi="Garamond" w:cs="Garamond"/>
          <w:i/>
          <w:iCs/>
          <w:color w:val="1B2A4A"/>
          <w:sz w:val="22"/>
          <w:szCs w:val="22"/>
        </w:rPr>
        <w:t>Right to Bear Arms</w:t>
      </w:r>
    </w:p>
    <w:p w14:paraId="638565DA" w14:textId="77777777" w:rsidR="00AF3D56" w:rsidRDefault="00000000">
      <w:pPr>
        <w:spacing w:after="120"/>
        <w:ind w:left="431"/>
        <w:jc w:val="both"/>
      </w:pPr>
      <w:r>
        <w:rPr>
          <w:rFonts w:ascii="Garamond" w:eastAsia="Garamond" w:hAnsi="Garamond" w:cs="Garamond"/>
          <w:color w:val="2A2A2A"/>
          <w:sz w:val="22"/>
          <w:szCs w:val="22"/>
        </w:rPr>
        <w:t>Every person holds the right to keep and bear arms for lawful purposes including self-defense.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14:paraId="0FA15129" w14:textId="77777777" w:rsidR="00AF3D56" w:rsidRDefault="00000000">
      <w:pPr>
        <w:spacing w:before="200" w:after="60"/>
        <w:ind w:left="431"/>
      </w:pPr>
      <w:r>
        <w:rPr>
          <w:rFonts w:ascii="Courier New" w:eastAsia="Courier New" w:hAnsi="Courier New" w:cs="Courier New"/>
          <w:b/>
          <w:bCs/>
          <w:color w:val="2A2A2A"/>
          <w:sz w:val="18"/>
          <w:szCs w:val="18"/>
        </w:rPr>
        <w:t xml:space="preserve">§1.11  </w:t>
      </w:r>
      <w:r>
        <w:rPr>
          <w:rFonts w:ascii="Garamond" w:eastAsia="Garamond" w:hAnsi="Garamond" w:cs="Garamond"/>
          <w:i/>
          <w:iCs/>
          <w:color w:val="1B2A4A"/>
          <w:sz w:val="22"/>
          <w:szCs w:val="22"/>
        </w:rPr>
        <w:t>Habeas Corpus</w:t>
      </w:r>
    </w:p>
    <w:p w14:paraId="3AB35A20" w14:textId="77777777" w:rsidR="00AF3D56" w:rsidRDefault="00000000">
      <w:pPr>
        <w:spacing w:after="120"/>
        <w:ind w:left="431"/>
        <w:jc w:val="both"/>
      </w:pPr>
      <w:r>
        <w:rPr>
          <w:rFonts w:ascii="Garamond" w:eastAsia="Garamond" w:hAnsi="Garamond" w:cs="Garamond"/>
          <w:color w:val="2A2A2A"/>
          <w:sz w:val="22"/>
          <w:szCs w:val="22"/>
        </w:rPr>
        <w:t>Every person detained by public authority has the right to challenge that detention before an independent and impartial court. The detaining authority must produce the person and justify the detention within the period established by statute, not to exceed 72 hours. No court may decline to hear a habeas corpus application. This right is non-derogable under §1.19.a.</w:t>
      </w:r>
    </w:p>
    <w:p w14:paraId="0D955B5D" w14:textId="77777777" w:rsidR="00AF3D56" w:rsidRDefault="00000000">
      <w:pPr>
        <w:spacing w:before="200" w:after="60"/>
        <w:ind w:left="431"/>
      </w:pPr>
      <w:r>
        <w:rPr>
          <w:rFonts w:ascii="Courier New" w:eastAsia="Courier New" w:hAnsi="Courier New" w:cs="Courier New"/>
          <w:b/>
          <w:bCs/>
          <w:color w:val="2A2A2A"/>
          <w:sz w:val="18"/>
          <w:szCs w:val="18"/>
        </w:rPr>
        <w:t xml:space="preserve">§1.12  </w:t>
      </w:r>
      <w:r>
        <w:rPr>
          <w:rFonts w:ascii="Garamond" w:eastAsia="Garamond" w:hAnsi="Garamond" w:cs="Garamond"/>
          <w:i/>
          <w:iCs/>
          <w:color w:val="1B2A4A"/>
          <w:sz w:val="22"/>
          <w:szCs w:val="22"/>
        </w:rPr>
        <w:t>Rights of the Accused and Fair Trial</w:t>
      </w:r>
    </w:p>
    <w:p w14:paraId="35DEBB2E" w14:textId="77777777" w:rsidR="00AF3D56" w:rsidRDefault="00000000">
      <w:pPr>
        <w:spacing w:after="120"/>
        <w:ind w:left="431"/>
        <w:jc w:val="both"/>
      </w:pPr>
      <w:r>
        <w:rPr>
          <w:rFonts w:ascii="Garamond" w:eastAsia="Garamond" w:hAnsi="Garamond" w:cs="Garamond"/>
          <w:color w:val="2A2A2A"/>
          <w:sz w:val="22"/>
          <w:szCs w:val="22"/>
        </w:rPr>
        <w:t>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penalized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14:paraId="3CBF969F" w14:textId="77777777" w:rsidR="00AF3D56" w:rsidRDefault="00000000">
      <w:pPr>
        <w:spacing w:before="200" w:after="60"/>
        <w:ind w:left="431"/>
      </w:pPr>
      <w:r>
        <w:rPr>
          <w:rFonts w:ascii="Courier New" w:eastAsia="Courier New" w:hAnsi="Courier New" w:cs="Courier New"/>
          <w:b/>
          <w:bCs/>
          <w:color w:val="2A2A2A"/>
          <w:sz w:val="18"/>
          <w:szCs w:val="18"/>
        </w:rPr>
        <w:t xml:space="preserve">§1.13  </w:t>
      </w:r>
      <w:r>
        <w:rPr>
          <w:rFonts w:ascii="Garamond" w:eastAsia="Garamond" w:hAnsi="Garamond" w:cs="Garamond"/>
          <w:i/>
          <w:iCs/>
          <w:color w:val="1B2A4A"/>
          <w:sz w:val="22"/>
          <w:szCs w:val="22"/>
        </w:rPr>
        <w:t>Right to a Public Trial</w:t>
      </w:r>
    </w:p>
    <w:p w14:paraId="1D023378" w14:textId="77777777" w:rsidR="00AF3D56" w:rsidRDefault="00000000">
      <w:pPr>
        <w:spacing w:after="120"/>
        <w:ind w:left="431"/>
        <w:jc w:val="both"/>
      </w:pPr>
      <w:r>
        <w:rPr>
          <w:rFonts w:ascii="Garamond" w:eastAsia="Garamond" w:hAnsi="Garamond" w:cs="Garamond"/>
          <w:color w:val="2A2A2A"/>
          <w:sz w:val="22"/>
          <w:szCs w:val="22"/>
        </w:rPr>
        <w:t>Every person accused of a criminal offense has the right to a public trial before an independent and impartial court. Proceedings may be held in camera only to the minimum extent necessary to protect a compelling interest identified in advance by the court; the existence of any proceeding may not be concealed. This right is non-derogable under §1.19.a.</w:t>
      </w:r>
    </w:p>
    <w:p w14:paraId="787D5709" w14:textId="77777777" w:rsidR="00AF3D56" w:rsidRDefault="00000000">
      <w:pPr>
        <w:spacing w:before="200" w:after="60"/>
        <w:ind w:left="431"/>
      </w:pPr>
      <w:r>
        <w:rPr>
          <w:rFonts w:ascii="Courier New" w:eastAsia="Courier New" w:hAnsi="Courier New" w:cs="Courier New"/>
          <w:b/>
          <w:bCs/>
          <w:color w:val="2A2A2A"/>
          <w:sz w:val="18"/>
          <w:szCs w:val="18"/>
        </w:rPr>
        <w:t xml:space="preserve">§1.14  </w:t>
      </w:r>
      <w:r>
        <w:rPr>
          <w:rFonts w:ascii="Garamond" w:eastAsia="Garamond" w:hAnsi="Garamond" w:cs="Garamond"/>
          <w:i/>
          <w:iCs/>
          <w:color w:val="1B2A4A"/>
          <w:sz w:val="22"/>
          <w:szCs w:val="22"/>
        </w:rPr>
        <w:t>Freedom from Retroactive Criminal Law</w:t>
      </w:r>
    </w:p>
    <w:p w14:paraId="7B80E94E" w14:textId="77777777" w:rsidR="00AF3D56" w:rsidRDefault="00000000">
      <w:pPr>
        <w:spacing w:after="120"/>
        <w:ind w:left="431"/>
        <w:jc w:val="both"/>
      </w:pPr>
      <w:r>
        <w:rPr>
          <w:rFonts w:ascii="Garamond" w:eastAsia="Garamond" w:hAnsi="Garamond" w:cs="Garamond"/>
          <w:color w:val="2A2A2A"/>
          <w:sz w:val="22"/>
          <w:szCs w:val="22"/>
        </w:rPr>
        <w:t>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§1.19.a.</w:t>
      </w:r>
    </w:p>
    <w:p w14:paraId="1B834AE7" w14:textId="77777777" w:rsidR="00AF3D56" w:rsidRDefault="00000000">
      <w:pPr>
        <w:spacing w:before="200" w:after="60"/>
        <w:ind w:left="431"/>
      </w:pPr>
      <w:r>
        <w:rPr>
          <w:rFonts w:ascii="Courier New" w:eastAsia="Courier New" w:hAnsi="Courier New" w:cs="Courier New"/>
          <w:b/>
          <w:bCs/>
          <w:color w:val="2A2A2A"/>
          <w:sz w:val="18"/>
          <w:szCs w:val="18"/>
        </w:rPr>
        <w:t xml:space="preserve">§1.15  </w:t>
      </w:r>
      <w:r>
        <w:rPr>
          <w:rFonts w:ascii="Garamond" w:eastAsia="Garamond" w:hAnsi="Garamond" w:cs="Garamond"/>
          <w:i/>
          <w:iCs/>
          <w:color w:val="1B2A4A"/>
          <w:sz w:val="22"/>
          <w:szCs w:val="22"/>
        </w:rPr>
        <w:t>Double Jeopardy</w:t>
      </w:r>
    </w:p>
    <w:p w14:paraId="16DD333F" w14:textId="77777777" w:rsidR="00AF3D56" w:rsidRDefault="00000000">
      <w:pPr>
        <w:spacing w:after="120"/>
        <w:ind w:left="431"/>
        <w:jc w:val="both"/>
      </w:pPr>
      <w:r>
        <w:rPr>
          <w:rFonts w:ascii="Garamond" w:eastAsia="Garamond" w:hAnsi="Garamond" w:cs="Garamond"/>
          <w:color w:val="2A2A2A"/>
          <w:sz w:val="22"/>
          <w:szCs w:val="22"/>
        </w:rPr>
        <w:lastRenderedPageBreak/>
        <w:t>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14:paraId="3F03BB9F" w14:textId="77777777" w:rsidR="00AF3D56" w:rsidRDefault="00000000">
      <w:pPr>
        <w:spacing w:before="200" w:after="60"/>
        <w:ind w:left="431"/>
      </w:pPr>
      <w:r>
        <w:rPr>
          <w:rFonts w:ascii="Courier New" w:eastAsia="Courier New" w:hAnsi="Courier New" w:cs="Courier New"/>
          <w:b/>
          <w:bCs/>
          <w:color w:val="2A2A2A"/>
          <w:sz w:val="18"/>
          <w:szCs w:val="18"/>
        </w:rPr>
        <w:t xml:space="preserve">§1.16  </w:t>
      </w:r>
      <w:r>
        <w:rPr>
          <w:rFonts w:ascii="Garamond" w:eastAsia="Garamond" w:hAnsi="Garamond" w:cs="Garamond"/>
          <w:i/>
          <w:iCs/>
          <w:color w:val="1B2A4A"/>
          <w:sz w:val="22"/>
          <w:szCs w:val="22"/>
        </w:rPr>
        <w:t>Social Assistance Floor</w:t>
      </w:r>
    </w:p>
    <w:p w14:paraId="0D41A466" w14:textId="77777777" w:rsidR="00AF3D56" w:rsidRDefault="00000000">
      <w:pPr>
        <w:spacing w:after="120"/>
        <w:ind w:left="431"/>
        <w:jc w:val="both"/>
      </w:pPr>
      <w:r>
        <w:rPr>
          <w:rFonts w:ascii="Garamond" w:eastAsia="Garamond" w:hAnsi="Garamond" w:cs="Garamond"/>
          <w:color w:val="2A2A2A"/>
          <w:sz w:val="22"/>
          <w:szCs w:val="22"/>
        </w:rPr>
        <w:t>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 The Legislature must take reasonable measures within available resources toward the progressive fulfillment of this right; no reduction in the adequacy standard below the established level is constitutionally valid absent a certified Severe Revenue Contraction under §12.5; any such reduction lapses as §12.5 provides.</w:t>
      </w:r>
    </w:p>
    <w:p w14:paraId="2A4C842B" w14:textId="77777777" w:rsidR="00AF3D56" w:rsidRDefault="00000000">
      <w:pPr>
        <w:spacing w:before="200" w:after="60"/>
        <w:ind w:left="431"/>
      </w:pPr>
      <w:r>
        <w:rPr>
          <w:rFonts w:ascii="Courier New" w:eastAsia="Courier New" w:hAnsi="Courier New" w:cs="Courier New"/>
          <w:b/>
          <w:bCs/>
          <w:color w:val="2A2A2A"/>
          <w:sz w:val="18"/>
          <w:szCs w:val="18"/>
        </w:rPr>
        <w:t xml:space="preserve">§1.17  </w:t>
      </w:r>
      <w:r>
        <w:rPr>
          <w:rFonts w:ascii="Garamond" w:eastAsia="Garamond" w:hAnsi="Garamond" w:cs="Garamond"/>
          <w:i/>
          <w:iCs/>
          <w:color w:val="1B2A4A"/>
          <w:sz w:val="22"/>
          <w:szCs w:val="22"/>
        </w:rPr>
        <w:t>Education</w:t>
      </w:r>
    </w:p>
    <w:p w14:paraId="5477386A" w14:textId="77777777" w:rsidR="00AF3D56" w:rsidRDefault="00000000">
      <w:pPr>
        <w:spacing w:after="120"/>
        <w:ind w:left="431"/>
        <w:jc w:val="both"/>
      </w:pPr>
      <w:r>
        <w:rPr>
          <w:rFonts w:ascii="Garamond" w:eastAsia="Garamond" w:hAnsi="Garamond" w:cs="Garamond"/>
          <w:color w:val="2A2A2A"/>
          <w:sz w:val="22"/>
          <w:szCs w:val="22"/>
        </w:rPr>
        <w:t>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established by statute. The Legislature must take reasonable measures within available resources toward the progressive fulfillment of this right; no reduction in the adequacy standard below the established level is constitutionally valid absent a certified Severe Revenue Contraction under §12.5; any such reduction lapses as §12.5 provides.</w:t>
      </w:r>
    </w:p>
    <w:p w14:paraId="7CBC2FB1" w14:textId="77777777" w:rsidR="00AF3D56" w:rsidRDefault="00000000">
      <w:pPr>
        <w:spacing w:before="200" w:after="60"/>
        <w:ind w:left="431"/>
      </w:pPr>
      <w:r>
        <w:rPr>
          <w:rFonts w:ascii="Courier New" w:eastAsia="Courier New" w:hAnsi="Courier New" w:cs="Courier New"/>
          <w:b/>
          <w:bCs/>
          <w:color w:val="2A2A2A"/>
          <w:sz w:val="18"/>
          <w:szCs w:val="18"/>
        </w:rPr>
        <w:t xml:space="preserve">§1.18  </w:t>
      </w:r>
      <w:r>
        <w:rPr>
          <w:rFonts w:ascii="Garamond" w:eastAsia="Garamond" w:hAnsi="Garamond" w:cs="Garamond"/>
          <w:i/>
          <w:iCs/>
          <w:color w:val="1B2A4A"/>
          <w:sz w:val="22"/>
          <w:szCs w:val="22"/>
        </w:rPr>
        <w:t>Environmental Obligations</w:t>
      </w:r>
    </w:p>
    <w:p w14:paraId="5A7E9CCC" w14:textId="77777777" w:rsidR="00AF3D56" w:rsidRDefault="00000000">
      <w:pPr>
        <w:spacing w:after="120"/>
        <w:ind w:left="431"/>
        <w:jc w:val="both"/>
      </w:pPr>
      <w:r>
        <w:rPr>
          <w:rFonts w:ascii="Garamond" w:eastAsia="Garamond" w:hAnsi="Garamond" w:cs="Garamond"/>
          <w:color w:val="2A2A2A"/>
          <w:sz w:val="22"/>
          <w:szCs w:val="22"/>
        </w:rPr>
        <w:t>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14:paraId="465235EB" w14:textId="77777777" w:rsidR="00AF3D56" w:rsidRDefault="00000000">
      <w:pPr>
        <w:spacing w:before="200" w:after="60"/>
        <w:ind w:left="431"/>
      </w:pPr>
      <w:r>
        <w:rPr>
          <w:rFonts w:ascii="Courier New" w:eastAsia="Courier New" w:hAnsi="Courier New" w:cs="Courier New"/>
          <w:b/>
          <w:bCs/>
          <w:color w:val="2A2A2A"/>
          <w:sz w:val="18"/>
          <w:szCs w:val="18"/>
        </w:rPr>
        <w:t xml:space="preserve">§1.19  </w:t>
      </w:r>
      <w:r>
        <w:rPr>
          <w:rFonts w:ascii="Garamond" w:eastAsia="Garamond" w:hAnsi="Garamond" w:cs="Garamond"/>
          <w:i/>
          <w:iCs/>
          <w:color w:val="1B2A4A"/>
          <w:sz w:val="22"/>
          <w:szCs w:val="22"/>
        </w:rPr>
        <w:t>Emergency Derogation</w:t>
      </w:r>
    </w:p>
    <w:p w14:paraId="5AEB6338" w14:textId="77777777" w:rsidR="00AF3D56" w:rsidRDefault="00000000">
      <w:pPr>
        <w:spacing w:after="120"/>
        <w:ind w:left="431"/>
        <w:jc w:val="both"/>
      </w:pPr>
      <w:r>
        <w:rPr>
          <w:rFonts w:ascii="Garamond" w:eastAsia="Garamond" w:hAnsi="Garamond" w:cs="Garamond"/>
          <w:color w:val="2A2A2A"/>
          <w:sz w:val="22"/>
          <w:szCs w:val="22"/>
        </w:rPr>
        <w:t>No emergency — however severe — suspends the Individual Sovereignty Floor in full. Temporary derogation of certain rights is permitted only under the strict conditions of this section; the rights enumerated in §1.19.a may not be derogated. The three Monitors continue to operate with full constitutional authority throughout any emergency — they cannot be suspended or have their mandate reduced by emergency declaration. Emergency derogation of Article I rights requires a declaration specifying the nature of the emergency, which rights are limited, the geographic scope, and the duration; blanket declarations are constitutionally invalid. The declaration is published to the NRS immediately. A derogation declaration may be issued by either executive acting within their constitutional domain under §2.1 and §2.5, effective on NRS publication, for a period not to exceed 14 days; an executive declaration may not be renewed, extended, or reissued for substantially the same emergency by executive act. Derogation beyond 14 days requires a statute enacted through the ordinary legislative process; the statute must state a fixed expiration date and may not be extended. Upon expiration of any declaration, all derogation measures lapse under §1.19.b.</w:t>
      </w:r>
    </w:p>
    <w:p w14:paraId="134A35EF" w14:textId="77777777" w:rsidR="00AF3D56" w:rsidRDefault="00000000">
      <w:pPr>
        <w:spacing w:before="200" w:after="60"/>
        <w:ind w:left="431"/>
      </w:pPr>
      <w:r>
        <w:rPr>
          <w:rFonts w:ascii="Courier New" w:eastAsia="Courier New" w:hAnsi="Courier New" w:cs="Courier New"/>
          <w:b/>
          <w:bCs/>
          <w:color w:val="2A2A2A"/>
          <w:sz w:val="18"/>
          <w:szCs w:val="18"/>
        </w:rPr>
        <w:t xml:space="preserve">§1.19.a  </w:t>
      </w:r>
      <w:r>
        <w:rPr>
          <w:rFonts w:ascii="Garamond" w:eastAsia="Garamond" w:hAnsi="Garamond" w:cs="Garamond"/>
          <w:i/>
          <w:iCs/>
          <w:color w:val="1B2A4A"/>
          <w:sz w:val="22"/>
          <w:szCs w:val="22"/>
        </w:rPr>
        <w:t>Non-Derogable Rights</w:t>
      </w:r>
    </w:p>
    <w:p w14:paraId="2103DC74" w14:textId="77777777" w:rsidR="00AF3D56" w:rsidRDefault="00000000">
      <w:pPr>
        <w:spacing w:after="120"/>
        <w:ind w:left="431"/>
        <w:jc w:val="both"/>
      </w:pPr>
      <w:r>
        <w:rPr>
          <w:rFonts w:ascii="Garamond" w:eastAsia="Garamond" w:hAnsi="Garamond" w:cs="Garamond"/>
          <w:color w:val="2A2A2A"/>
          <w:sz w:val="22"/>
          <w:szCs w:val="22"/>
        </w:rPr>
        <w:t>These six rights are absolute: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14:paraId="2C2D24AF" w14:textId="77777777" w:rsidR="00AF3D56" w:rsidRDefault="00000000">
      <w:pPr>
        <w:spacing w:before="200" w:after="60"/>
        <w:ind w:left="431"/>
      </w:pPr>
      <w:r>
        <w:rPr>
          <w:rFonts w:ascii="Courier New" w:eastAsia="Courier New" w:hAnsi="Courier New" w:cs="Courier New"/>
          <w:b/>
          <w:bCs/>
          <w:color w:val="2A2A2A"/>
          <w:sz w:val="18"/>
          <w:szCs w:val="18"/>
        </w:rPr>
        <w:t xml:space="preserve">§1.19.b  </w:t>
      </w:r>
      <w:r>
        <w:rPr>
          <w:rFonts w:ascii="Garamond" w:eastAsia="Garamond" w:hAnsi="Garamond" w:cs="Garamond"/>
          <w:i/>
          <w:iCs/>
          <w:color w:val="1B2A4A"/>
          <w:sz w:val="22"/>
          <w:szCs w:val="22"/>
        </w:rPr>
        <w:t>Emergency Declaration Lifecycle</w:t>
      </w:r>
    </w:p>
    <w:p w14:paraId="5AE51F8B" w14:textId="77777777" w:rsidR="00AF3D56" w:rsidRDefault="00000000">
      <w:pPr>
        <w:spacing w:after="120"/>
        <w:ind w:left="431"/>
        <w:jc w:val="both"/>
      </w:pPr>
      <w:r>
        <w:rPr>
          <w:rFonts w:ascii="Garamond" w:eastAsia="Garamond" w:hAnsi="Garamond" w:cs="Garamond"/>
          <w:color w:val="2A2A2A"/>
          <w:sz w:val="22"/>
          <w:szCs w:val="22"/>
        </w:rPr>
        <w:t xml:space="preserve">Emergency measures lapse automatically at the expiry of the Declaration. No Declaration — executive or statutory — may be extended; every Declaration expires on the terms stated at its issuance. Judicial review of any emergency measure is available to any citizen at any time, and </w:t>
        <w:lastRenderedPageBreak/>
        <w:t>courts may rule during the emergency that a specific measure is unconstitutional. No emergency measure may be made permanent by legislative act; any measure not re-enacted through the ordinary legislative process lapses automatically at the expiry of the Declaration.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14:paraId="22F80CC3" w14:textId="77777777" w:rsidR="00AF3D56" w:rsidRDefault="00000000">
      <w:pPr>
        <w:spacing w:before="200" w:after="60"/>
        <w:ind w:left="431"/>
      </w:pPr>
      <w:r>
        <w:rPr>
          <w:rFonts w:ascii="Courier New" w:eastAsia="Courier New" w:hAnsi="Courier New" w:cs="Courier New"/>
          <w:b/>
          <w:bCs/>
          <w:color w:val="2A2A2A"/>
          <w:sz w:val="18"/>
          <w:szCs w:val="18"/>
        </w:rPr>
        <w:t xml:space="preserve">§1.20  </w:t>
      </w:r>
      <w:r>
        <w:rPr>
          <w:rFonts w:ascii="Garamond" w:eastAsia="Garamond" w:hAnsi="Garamond" w:cs="Garamond"/>
          <w:i/>
          <w:iCs/>
          <w:color w:val="1B2A4A"/>
          <w:sz w:val="22"/>
          <w:szCs w:val="22"/>
        </w:rPr>
        <w:t>Right to Seek Asylum</w:t>
      </w:r>
    </w:p>
    <w:p w14:paraId="210E5295" w14:textId="77777777" w:rsidR="00AF3D56" w:rsidRDefault="00000000">
      <w:pPr>
        <w:spacing w:after="120"/>
        <w:ind w:left="431"/>
        <w:jc w:val="both"/>
      </w:pPr>
      <w:r>
        <w:rPr>
          <w:rFonts w:ascii="Garamond" w:eastAsia="Garamond" w:hAnsi="Garamond" w:cs="Garamond"/>
          <w:color w:val="2A2A2A"/>
          <w:sz w:val="22"/>
          <w:szCs w:val="22"/>
        </w:rPr>
        <w:t>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14:paraId="3D82EB61" w14:textId="77777777" w:rsidR="00AF3D56" w:rsidRDefault="00000000">
      <w:pPr>
        <w:spacing w:before="200" w:after="60"/>
        <w:ind w:left="431"/>
      </w:pPr>
      <w:r>
        <w:rPr>
          <w:rFonts w:ascii="Courier New" w:eastAsia="Courier New" w:hAnsi="Courier New" w:cs="Courier New"/>
          <w:b/>
          <w:bCs/>
          <w:color w:val="2A2A2A"/>
          <w:sz w:val="18"/>
          <w:szCs w:val="18"/>
        </w:rPr>
        <w:t xml:space="preserve">§1.21  </w:t>
      </w:r>
      <w:r>
        <w:rPr>
          <w:rFonts w:ascii="Garamond" w:eastAsia="Garamond" w:hAnsi="Garamond" w:cs="Garamond"/>
          <w:i/>
          <w:iCs/>
          <w:color w:val="1B2A4A"/>
          <w:sz w:val="22"/>
          <w:szCs w:val="22"/>
        </w:rPr>
        <w:t>Non-Refoulement</w:t>
      </w:r>
    </w:p>
    <w:p w14:paraId="628CCC7E" w14:textId="77777777" w:rsidR="00AF3D56" w:rsidRDefault="00000000">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§1.19.a.</w:t>
      </w:r>
    </w:p>
    <w:p w14:paraId="432EEB6F" w14:textId="77777777" w:rsidR="00CD141D" w:rsidRDefault="00CD141D">
      <w:pPr>
        <w:spacing w:after="120"/>
        <w:ind w:left="431"/>
        <w:jc w:val="both"/>
        <w:rPr>
          <w:rFonts w:ascii="Garamond" w:eastAsia="Garamond" w:hAnsi="Garamond" w:cs="Garamond"/>
          <w:color w:val="2A2A2A"/>
          <w:sz w:val="22"/>
          <w:szCs w:val="22"/>
        </w:rPr>
      </w:pPr>
    </w:p>
    <w:p w14:paraId="5325A9D2" w14:textId="7B95FAC9" w:rsidR="00CD141D" w:rsidRDefault="00CD141D" w:rsidP="00CD141D">
      <w:pPr>
        <w:spacing w:before="200" w:after="60"/>
        <w:ind w:left="431"/>
        <w:rPr>
          <w:rFonts w:ascii="Garamond" w:eastAsia="Garamond" w:hAnsi="Garamond" w:cs="Garamond"/>
          <w:i/>
          <w:iCs/>
          <w:color w:val="1B2A4A"/>
          <w:sz w:val="22"/>
          <w:szCs w:val="22"/>
        </w:rPr>
      </w:pPr>
      <w:r>
        <w:rPr>
          <w:rFonts w:ascii="Courier New" w:eastAsia="Courier New" w:hAnsi="Courier New" w:cs="Courier New"/>
          <w:b/>
          <w:bCs/>
          <w:color w:val="2A2A2A"/>
          <w:sz w:val="18"/>
          <w:szCs w:val="18"/>
        </w:rPr>
        <w:t xml:space="preserve">§1.22  </w:t>
      </w:r>
      <w:r>
        <w:rPr>
          <w:rFonts w:ascii="Garamond" w:eastAsia="Garamond" w:hAnsi="Garamond" w:cs="Garamond"/>
          <w:i/>
          <w:iCs/>
          <w:color w:val="1B2A4A"/>
          <w:sz w:val="22"/>
          <w:szCs w:val="22"/>
        </w:rPr>
        <w:t>Official Capacity Protection</w:t>
      </w:r>
    </w:p>
    <w:p w14:paraId="64C4F280" w14:textId="5859EFED" w:rsidR="00CD141D" w:rsidRPr="00CD141D" w:rsidRDefault="00CD141D" w:rsidP="00CD141D">
      <w:pPr>
        <w:spacing w:before="200" w:after="60"/>
        <w:ind w:left="431"/>
        <w:jc w:val="both"/>
      </w:pPr>
      <w:r>
        <w:rPr>
          <w:rFonts w:ascii="Garamond" w:eastAsia="Garamond" w:hAnsi="Garamond" w:cs="Garamond"/>
          <w:color w:val="2A2A2A"/>
          <w:sz w:val="22"/>
          <w:szCs w:val="22"/>
        </w:rPr>
        <w:t>Constitutional officers and persons acting within the authority of a constitutional office in the performance of official functions hold protection from civil proceedings arising from those official acts. This protection does not extend to criminal conduct, acts performed outside official capacity or authority, or acts that violate any provision of this constitution. Nothing in this provision bars legal remedies otherwise available under this constitution or statute.</w:t>
      </w:r>
    </w:p>
    <w:p w14:paraId="5325A9D2" w14:textId="7B95FAC9" w:rsidR="00CD141D" w:rsidRDefault="00CD141D" w:rsidP="00CD141D">
      <w:pPr>
        <w:spacing w:before="200" w:after="60"/>
        <w:ind w:left="431"/>
        <w:rPr>
          <w:rFonts w:ascii="Garamond" w:eastAsia="Garamond" w:hAnsi="Garamond" w:cs="Garamond"/>
          <w:i/>
          <w:iCs/>
          <w:color w:val="1B2A4A"/>
          <w:sz w:val="22"/>
          <w:szCs w:val="22"/>
        </w:rPr>
      </w:pPr>
      <w:r>
        <w:rPr>
          <w:rFonts w:ascii="Courier New" w:eastAsia="Courier New" w:hAnsi="Courier New" w:cs="Courier New"/>
          <w:b/>
          <w:bCs/>
          <w:color w:val="2A2A2A"/>
          <w:sz w:val="18"/>
          <w:szCs w:val="18"/>
        </w:rPr>
        <w:t xml:space="preserve">§1.23  </w:t>
      </w:r>
      <w:r>
        <w:rPr>
          <w:rFonts w:ascii="Garamond" w:eastAsia="Garamond" w:hAnsi="Garamond" w:cs="Garamond"/>
          <w:i/>
          <w:iCs/>
          <w:color w:val="1B2A4A"/>
          <w:sz w:val="22"/>
          <w:szCs w:val="22"/>
        </w:rPr>
        <w:t>Separation of Branch Authority</w:t>
      </w:r>
    </w:p>
    <w:p w14:paraId="64C4F280" w14:textId="5859EFED" w:rsidR="00CD141D" w:rsidRPr="00CD141D" w:rsidRDefault="00CD141D" w:rsidP="00CD141D">
      <w:pPr>
        <w:spacing w:before="200" w:after="60"/>
        <w:ind w:left="431"/>
        <w:jc w:val="both"/>
      </w:pPr>
      <w:r>
        <w:rPr>
          <w:rFonts w:ascii="Garamond" w:eastAsia="Garamond" w:hAnsi="Garamond" w:cs="Garamond"/>
          <w:color w:val="2A2A2A"/>
          <w:sz w:val="22"/>
          <w:szCs w:val="22"/>
        </w:rPr>
        <w:t xml:space="preserve">No person may exercise the voting or decisional authority of more than one branch of government at the same time; a person holding or acting in an office of one branch may not cast a vote or exercise a decisional power reserved to another branch for so long as they hold or act in that office. This section does not bar a person from holding a seat that carries no exercisable vote during such service, nor from resuming an office or vote upon leaving the position that created the conflict.</w:t>
      </w:r>
    </w:p>
    <w:p w14:paraId="285F4CDF" w14:textId="77777777" w:rsidR="00CD141D" w:rsidRDefault="00CD141D" w:rsidP="00CD141D">
      <w:pPr>
        <w:spacing w:before="200" w:after="60"/>
        <w:ind w:left="431"/>
      </w:pPr>
    </w:p>
    <w:p w14:paraId="0E0AE5FC" w14:textId="77777777" w:rsidR="00CD141D" w:rsidRDefault="00CD141D">
      <w:pPr>
        <w:spacing w:after="120"/>
        <w:ind w:left="431"/>
        <w:jc w:val="both"/>
      </w:pPr>
    </w:p>
    <w:p w14:paraId="4E8DD8F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II — The Dual Executive</w:t>
      </w:r>
    </w:p>
    <w:p w14:paraId="32C93161" w14:textId="77777777" w:rsidR="00AF3D56" w:rsidRDefault="00000000">
      <w:pPr>
        <w:spacing w:before="200" w:after="60"/>
        <w:ind w:left="431"/>
      </w:pPr>
      <w:r>
        <w:rPr>
          <w:rFonts w:ascii="Courier New" w:eastAsia="Courier New" w:hAnsi="Courier New" w:cs="Courier New"/>
          <w:b/>
          <w:bCs/>
          <w:color w:val="2A2A2A"/>
          <w:sz w:val="18"/>
          <w:szCs w:val="18"/>
        </w:rPr>
        <w:t xml:space="preserve">§2.1  </w:t>
      </w:r>
      <w:r>
        <w:rPr>
          <w:rFonts w:ascii="Garamond" w:eastAsia="Garamond" w:hAnsi="Garamond" w:cs="Garamond"/>
          <w:i/>
          <w:iCs/>
          <w:color w:val="1B2A4A"/>
          <w:sz w:val="22"/>
          <w:szCs w:val="22"/>
        </w:rPr>
        <w:t>The Legat Consul — Domain and Term</w:t>
      </w:r>
    </w:p>
    <w:p>
      <w:pPr>
        <w:spacing w:after="120"/>
        <w:ind w:left="431"/>
        <w:jc w:val="both"/>
      </w:pPr>
      <w:r>
        <w:rPr>
          <w:rFonts w:ascii="Garamond" w:eastAsia="Garamond" w:hAnsi="Garamond" w:cs="Garamond"/>
          <w:color w:val="2A2A2A"/>
          <w:sz w:val="22"/>
          <w:szCs w:val="22"/>
        </w:rPr>
        <w:t xml:space="preserve">To hold the office of Legat Consul, a person must have been a citizen for at least 7 years at the time of taking office. Eligibility and disclosure requirements applicable to all federal offices are established in §7.4.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and relations with recognized indigenous nations under Article XVI, including recognition determinations under §16.4; and appointments within the Legat Consul’s domain. Where the domain of a proposed action is disputed, the Council of Ministers under §2.14 is the first forum; pending resolution, each executive continues only those functions clearly within their established domain; the specific action giving rise to the dispute is suspended. Either executive may petition the SC under its original jurisdiction in §4.5 for domain determination. During active military operations, the Legat Consul's domain governs operational decisions. The Legat Consul serves a single non-renewable term of six years. No person who has served an elected term as Legat Consul may again hold the office of Legat Consul or exercise its authority; the bar is a lifetime bar. Service as a successor under §2.9 does not constitute an elected term for this purpose. Upon expiration of the term, all authority transfers immediately to the incoming Legat Consul. The outgoing Legat Consul retains no access to classified information, government systems, or official functions beyond the time of transfer.</w:t>
      </w:r>
    </w:p>
    <w:p w14:paraId="7D29BD50" w14:textId="77777777" w:rsidR="00AF3D56" w:rsidRDefault="00000000">
      <w:pPr>
        <w:spacing w:before="200" w:after="60"/>
        <w:ind w:left="431"/>
      </w:pPr>
      <w:r>
        <w:rPr>
          <w:rFonts w:ascii="Courier New" w:eastAsia="Courier New" w:hAnsi="Courier New" w:cs="Courier New"/>
          <w:b/>
          <w:bCs/>
          <w:color w:val="2A2A2A"/>
          <w:sz w:val="18"/>
          <w:szCs w:val="18"/>
        </w:rPr>
        <w:t xml:space="preserve">§2.2  </w:t>
      </w:r>
      <w:r>
        <w:rPr>
          <w:rFonts w:ascii="Garamond" w:eastAsia="Garamond" w:hAnsi="Garamond" w:cs="Garamond"/>
          <w:i/>
          <w:iCs/>
          <w:color w:val="1B2A4A"/>
          <w:sz w:val="22"/>
          <w:szCs w:val="22"/>
        </w:rPr>
        <w:t>Military Authorization Framework</w:t>
      </w:r>
    </w:p>
    <w:p w14:paraId="4550A584" w14:textId="77777777" w:rsidR="00AF3D56" w:rsidRDefault="00000000">
      <w:pPr>
        <w:spacing w:after="120"/>
        <w:ind w:left="431"/>
        <w:jc w:val="both"/>
      </w:pPr>
      <w:r>
        <w:rPr>
          <w:rFonts w:ascii="Garamond" w:eastAsia="Garamond" w:hAnsi="Garamond" w:cs="Garamond"/>
          <w:color w:val="2A2A2A"/>
          <w:sz w:val="22"/>
          <w:szCs w:val="22"/>
        </w:rPr>
        <w:t>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is governed by §14.2. All military operations must state and be consistent with an authorized purpose under §14.1.</w:t>
      </w:r>
    </w:p>
    <w:p w14:paraId="41EA91BE" w14:textId="77777777" w:rsidR="00AF3D56" w:rsidRDefault="00000000">
      <w:pPr>
        <w:spacing w:before="200" w:after="60"/>
        <w:ind w:left="431"/>
      </w:pPr>
      <w:r>
        <w:rPr>
          <w:rFonts w:ascii="Courier New" w:eastAsia="Courier New" w:hAnsi="Courier New" w:cs="Courier New"/>
          <w:b/>
          <w:bCs/>
          <w:color w:val="2A2A2A"/>
          <w:sz w:val="18"/>
          <w:szCs w:val="18"/>
        </w:rPr>
        <w:t xml:space="preserve">§2.3  </w:t>
      </w:r>
      <w:r>
        <w:rPr>
          <w:rFonts w:ascii="Garamond" w:eastAsia="Garamond" w:hAnsi="Garamond" w:cs="Garamond"/>
          <w:i/>
          <w:iCs/>
          <w:color w:val="1B2A4A"/>
          <w:sz w:val="22"/>
          <w:szCs w:val="22"/>
        </w:rPr>
        <w:t>Consular Intelligence and Veto</w:t>
      </w:r>
    </w:p>
    <w:p w14:paraId="5EE6093A" w14:textId="77777777" w:rsidR="00AF3D56" w:rsidRDefault="00000000">
      <w:pPr>
        <w:spacing w:after="120"/>
        <w:ind w:left="431"/>
        <w:jc w:val="both"/>
      </w:pPr>
      <w:r>
        <w:rPr>
          <w:rFonts w:ascii="Garamond" w:eastAsia="Garamond" w:hAnsi="Garamond" w:cs="Garamond"/>
          <w:color w:val="2A2A2A"/>
          <w:sz w:val="22"/>
          <w:szCs w:val="22"/>
        </w:rPr>
        <w:t>The Legat Consul directs foreign intelligence. No intelligence operation may be conducted against Republic citizens within Republic territory on the Legat Consul's authority; such operations require independent judicial authorization.</w:t>
      </w:r>
    </w:p>
    <w:p w14:paraId="39FCE2CB" w14:textId="77777777" w:rsidR="00AF3D56" w:rsidRDefault="00000000">
      <w:pPr>
        <w:spacing w:before="200" w:after="60"/>
        <w:ind w:left="431"/>
      </w:pPr>
      <w:r>
        <w:rPr>
          <w:rFonts w:ascii="Courier New" w:eastAsia="Courier New" w:hAnsi="Courier New" w:cs="Courier New"/>
          <w:b/>
          <w:bCs/>
          <w:color w:val="2A2A2A"/>
          <w:sz w:val="18"/>
          <w:szCs w:val="18"/>
        </w:rPr>
        <w:t xml:space="preserve">§2.3.a  </w:t>
      </w:r>
      <w:r>
        <w:rPr>
          <w:rFonts w:ascii="Garamond" w:eastAsia="Garamond" w:hAnsi="Garamond" w:cs="Garamond"/>
          <w:i/>
          <w:iCs/>
          <w:color w:val="1B2A4A"/>
          <w:sz w:val="22"/>
          <w:szCs w:val="22"/>
        </w:rPr>
        <w:t>Legat Consul Legislative Veto</w:t>
      </w:r>
    </w:p>
    <w:p w14:paraId="35954EBA" w14:textId="77777777" w:rsidR="00AF3D56" w:rsidRDefault="00000000">
      <w:pPr>
        <w:spacing w:after="120"/>
        <w:ind w:left="431"/>
        <w:jc w:val="both"/>
      </w:pPr>
      <w:r>
        <w:rPr>
          <w:rFonts w:ascii="Garamond" w:eastAsia="Garamond" w:hAnsi="Garamond" w:cs="Garamond"/>
          <w:color w:val="2A2A2A"/>
          <w:sz w:val="22"/>
          <w:szCs w:val="22"/>
        </w:rPr>
        <w:t>The Legat Consul may veto legislation that raises a genuine constitutional concern within the Legat Consul’s security domain — military operations, intelligence, treaty obligations, or border security — by returning the bill within 10 business days of final passage with a written statement of grounds, published to the NRS. A general or speculative security connection is insufficient. If the Legat Consul neither acts nor objects within 10 business days of final passage, the bill is enacted by operation of law. The Legat Consul’s veto may be used only once on any bill; a bill reintroduced and passed by both chambers in a subsequent session proceeds without Legat Consul interference. Under §9.1, either Speaker may request an EM assessment of the domain question. The Senate may override by 2/3 at any time during that session; where no override occurs, the bill lapses for that session.</w:t>
      </w:r>
    </w:p>
    <w:p w14:paraId="3BFA0C43" w14:textId="77777777" w:rsidR="00AF3D56" w:rsidRDefault="00000000">
      <w:pPr>
        <w:spacing w:before="200" w:after="60"/>
        <w:ind w:left="431"/>
      </w:pPr>
      <w:r>
        <w:rPr>
          <w:rFonts w:ascii="Courier New" w:eastAsia="Courier New" w:hAnsi="Courier New" w:cs="Courier New"/>
          <w:b/>
          <w:bCs/>
          <w:color w:val="2A2A2A"/>
          <w:sz w:val="18"/>
          <w:szCs w:val="18"/>
        </w:rPr>
        <w:t xml:space="preserve">§2.4  </w:t>
      </w:r>
      <w:r>
        <w:rPr>
          <w:rFonts w:ascii="Garamond" w:eastAsia="Garamond" w:hAnsi="Garamond" w:cs="Garamond"/>
          <w:i/>
          <w:iCs/>
          <w:color w:val="1B2A4A"/>
          <w:sz w:val="22"/>
          <w:szCs w:val="22"/>
        </w:rPr>
        <w:t>Legat Consul International Agreements</w:t>
      </w:r>
    </w:p>
    <w:p w14:paraId="02B54641" w14:textId="77777777" w:rsidR="00AF3D56" w:rsidRDefault="00000000">
      <w:pPr>
        <w:spacing w:after="120"/>
        <w:ind w:left="431"/>
        <w:jc w:val="both"/>
      </w:pPr>
      <w:r>
        <w:rPr>
          <w:rFonts w:ascii="Garamond" w:eastAsia="Garamond" w:hAnsi="Garamond" w:cs="Garamond"/>
          <w:color w:val="2A2A2A"/>
          <w:sz w:val="22"/>
          <w:szCs w:val="22"/>
        </w:rPr>
        <w:t xml:space="preserve">The Legat Consul negotiates and concludes treaties and trade agreements. Treaties are subject to ratification under §3.6. Trade agreements are subject to legislative approval under §3.6. During negotiation of any trade agreement, the Legat Consul must consult the Civic Consul on its domestic implications; the Civic Consul's response is published to the NRS. The Legat Consul nominates senior domain officers — Director of Intelligence, Director of Foreign Affairs, Director of Defense — from a pool of qualified </w:t>
        <w:lastRenderedPageBreak/>
        <w:t>candidates maintained by the Elections Panel under §9.8. The Legislature defines qualifications and confirmation procedures for each office by statute; acting appointments may be made pending confirmation for the period and under the conditions the Legislature defines. A domain officer is a person appointed by the Legat Consul to exercise a portion of the Legat Consul's constitutional domain authority and confirmed by the Senate; persons employed in the civil service or military under a domain officer's direction are not domain officers. The Senate may remove a domain officer by majority of full seated membership; the grounds are stated and published to the NRS. The Legat Consul may dismiss a domain officer at any time, published to the NRS.</w:t>
      </w:r>
    </w:p>
    <w:p w14:paraId="7F54CBE7" w14:textId="77777777" w:rsidR="00AF3D56" w:rsidRDefault="00000000">
      <w:pPr>
        <w:spacing w:before="200" w:after="60"/>
        <w:ind w:left="431"/>
      </w:pPr>
      <w:r>
        <w:rPr>
          <w:rFonts w:ascii="Courier New" w:eastAsia="Courier New" w:hAnsi="Courier New" w:cs="Courier New"/>
          <w:b/>
          <w:bCs/>
          <w:color w:val="2A2A2A"/>
          <w:sz w:val="18"/>
          <w:szCs w:val="18"/>
        </w:rPr>
        <w:t xml:space="preserve">§2.5  </w:t>
      </w:r>
      <w:r>
        <w:rPr>
          <w:rFonts w:ascii="Garamond" w:eastAsia="Garamond" w:hAnsi="Garamond" w:cs="Garamond"/>
          <w:i/>
          <w:iCs/>
          <w:color w:val="1B2A4A"/>
          <w:sz w:val="22"/>
          <w:szCs w:val="22"/>
        </w:rPr>
        <w:t>The Civic Consul — Domain and Term</w:t>
      </w:r>
    </w:p>
    <w:p>
      <w:pPr>
        <w:spacing w:after="120"/>
        <w:ind w:left="431"/>
        <w:jc w:val="both"/>
      </w:pPr>
      <w:r>
        <w:rPr>
          <w:rFonts w:ascii="Garamond" w:eastAsia="Garamond" w:hAnsi="Garamond" w:cs="Garamond"/>
          <w:color w:val="2A2A2A"/>
          <w:sz w:val="22"/>
          <w:szCs w:val="22"/>
        </w:rPr>
        <w:t xml:space="preserve">(1) The Civic Consul holds residual executive authority over all functions not enumerated to the Legat Consul. To hold the office of Civic Consul, a person must be a serving member of the Assembly at the time of election as required by §2.6. Eligibility and disclosure requirements applicable to all federal offices are established in §7.4. No other eligibility requirement applies. The Civic Consul serves at the confidence of the Assembly, subject to removal under §2.6.</w:t>
      </w:r>
    </w:p>
    <w:p>
      <w:pPr>
        <w:spacing w:after="120"/>
        <w:ind w:left="431"/>
        <w:jc w:val="both"/>
      </w:pPr>
      <w:r>
        <w:rPr>
          <w:rFonts w:ascii="Garamond" w:eastAsia="Garamond" w:hAnsi="Garamond" w:cs="Garamond"/>
          <w:color w:val="2A2A2A"/>
          <w:sz w:val="22"/>
          <w:szCs w:val="22"/>
        </w:rPr>
        <w:t xml:space="preserve">(2) No person may serve more than 8 years as Civic Consul across all periods of service; the limit is a lifetime maximum. Service in an acting capacity does not count toward this limit. A person who leaves the office of Civic Consul may not serve again as Civic Consul until one full Assembly electoral cycle has passed since they left the office; during that interval they may hold an Assembly seat but may not be elected or designated Civic Consul.</w:t>
      </w:r>
    </w:p>
    <w:p>
      <w:pPr>
        <w:spacing w:after="120"/>
        <w:ind w:left="431"/>
        <w:jc w:val="both"/>
      </w:pPr>
      <w:r>
        <w:rPr>
          <w:rFonts w:ascii="Garamond" w:eastAsia="Garamond" w:hAnsi="Garamond" w:cs="Garamond"/>
          <w:color w:val="2A2A2A"/>
          <w:sz w:val="22"/>
          <w:szCs w:val="22"/>
        </w:rPr>
        <w:t xml:space="preserve">(3) The Civic Consul's domestic authority includes:</w:t>
      </w:r>
    </w:p>
    <w:p>
      <w:pPr>
        <w:spacing w:after="120"/>
        <w:ind w:left="431"/>
        <w:jc w:val="both"/>
      </w:pPr>
      <w:r>
        <w:rPr>
          <w:rFonts w:ascii="Garamond" w:eastAsia="Garamond" w:hAnsi="Garamond" w:cs="Garamond"/>
          <w:color w:val="2A2A2A"/>
          <w:sz w:val="22"/>
          <w:szCs w:val="22"/>
        </w:rPr>
        <w:t xml:space="preserve">— all domestic policy and regulatory frameworks;</w:t>
      </w:r>
    </w:p>
    <w:p>
      <w:pPr>
        <w:spacing w:after="120"/>
        <w:ind w:left="431"/>
        <w:jc w:val="both"/>
      </w:pPr>
      <w:r>
        <w:rPr>
          <w:rFonts w:ascii="Garamond" w:eastAsia="Garamond" w:hAnsi="Garamond" w:cs="Garamond"/>
          <w:color w:val="2A2A2A"/>
          <w:sz w:val="22"/>
          <w:szCs w:val="22"/>
        </w:rPr>
        <w:t xml:space="preserve">— preparation of a proposed budget for the civic domain, submitted to the Assembly under §12.2;</w:t>
      </w:r>
    </w:p>
    <w:p>
      <w:pPr>
        <w:spacing w:after="120"/>
        <w:ind w:left="431"/>
        <w:jc w:val="both"/>
      </w:pPr>
      <w:r>
        <w:rPr>
          <w:rFonts w:ascii="Garamond" w:eastAsia="Garamond" w:hAnsi="Garamond" w:cs="Garamond"/>
          <w:color w:val="2A2A2A"/>
          <w:sz w:val="22"/>
          <w:szCs w:val="22"/>
        </w:rPr>
        <w:t xml:space="preserve">— the civil service;</w:t>
      </w:r>
    </w:p>
    <w:p>
      <w:pPr>
        <w:spacing w:after="120"/>
        <w:ind w:left="431"/>
        <w:jc w:val="both"/>
      </w:pPr>
      <w:r>
        <w:rPr>
          <w:rFonts w:ascii="Garamond" w:eastAsia="Garamond" w:hAnsi="Garamond" w:cs="Garamond"/>
          <w:color w:val="2A2A2A"/>
          <w:sz w:val="22"/>
          <w:szCs w:val="22"/>
        </w:rPr>
        <w:t xml:space="preserve">— and administration of the social state under Article XII.</w:t>
      </w:r>
    </w:p>
    <w:p>
      <w:pPr>
        <w:spacing w:after="120"/>
        <w:ind w:left="431"/>
        <w:jc w:val="both"/>
      </w:pPr>
      <w:r>
        <w:rPr>
          <w:rFonts w:ascii="Garamond" w:eastAsia="Garamond" w:hAnsi="Garamond" w:cs="Garamond"/>
          <w:color w:val="2A2A2A"/>
          <w:sz w:val="22"/>
          <w:szCs w:val="22"/>
        </w:rPr>
        <w:t xml:space="preserve">(4) The Civic Consul may declare a domestic emergency in response to natural disaster, public health crisis, or infrastructure failure, subject to the constraints of Article I and renewable by Assembly approval at intervals defined by statute; in the absence of a statutory interval, the constitutional default is 30 days. The Legat Consul has no role in domestic emergencies.</w:t>
      </w:r>
    </w:p>
    <w:p>
      <w:pPr>
        <w:spacing w:after="120"/>
        <w:ind w:left="431"/>
        <w:jc w:val="both"/>
      </w:pPr>
      <w:r>
        <w:rPr>
          <w:rFonts w:ascii="Garamond" w:eastAsia="Garamond" w:hAnsi="Garamond" w:cs="Garamond"/>
          <w:color w:val="2A2A2A"/>
          <w:sz w:val="22"/>
          <w:szCs w:val="22"/>
        </w:rPr>
        <w:t xml:space="preserve">(5) The Civic Consul has the right to be informed on matters within the Legat Consul's domain that bear on domestic interests or create domestic fiscal obligations. No classification or domain assertion may be used to withhold such information from the Civic Consul. The Legat Consul shall consult the Civic Consul on treaty and compact negotiations with recognized indigenous nations where their terms bear on domestic interests; the Civic Consul's response is advisory.</w:t>
      </w:r>
    </w:p>
    <w:p>
      <w:pPr>
        <w:spacing w:after="120"/>
        <w:ind w:left="431"/>
        <w:jc w:val="both"/>
      </w:pPr>
      <w:r>
        <w:rPr>
          <w:rFonts w:ascii="Garamond" w:eastAsia="Garamond" w:hAnsi="Garamond" w:cs="Garamond"/>
          <w:color w:val="2A2A2A"/>
          <w:sz w:val="22"/>
          <w:szCs w:val="22"/>
        </w:rPr>
        <w:t xml:space="preserve">(6) Where the Civic Consul is temporarily unable to exercise authority as determined under §2.16, acting authority vests by constitutional operation in accordance with the following order: (i) the Assembly Speaker; (ii) persons holding offices designated by statute for this purpose, in the order so established; (iii) the most senior Assembly member by continuous service; where two or more members have equal continuous service, the tiebreaker is determined by statute. A person in the order of succession may decline under §2.16(4). The person last in the order may not decline. While serving in an acting executive capacity under this subsection, the acting officer may not exercise any legislative function; the officer retains their Assembly seat and any Assembly office held, and the Assembly provides for the exercise of those functions during that period under its internal procedures. Acting service neither extends nor suspends the officer's electoral mandate; where the acting officer ceases to be a member of the Assembly, acting authority passes by constitutional operation to the next person in the order of succession then qualified. Acting status ends when the Civic Consul's incapacity ends under §2.16(3) or a new Civic Consul is elected under §2.6; the acting officer's legislative functions resume at that moment.</w:t>
      </w:r>
    </w:p>
    <w:p>
      <w:pPr>
        <w:spacing w:after="120"/>
        <w:ind w:left="431"/>
        <w:jc w:val="both"/>
      </w:pPr>
      <w:r>
        <w:rPr>
          <w:rFonts w:ascii="Garamond" w:eastAsia="Garamond" w:hAnsi="Garamond" w:cs="Garamond"/>
          <w:color w:val="2A2A2A"/>
          <w:sz w:val="22"/>
          <w:szCs w:val="22"/>
        </w:rPr>
        <w:t xml:space="preserve">(7) The Civic Consul appoints ministers to lead the departments of the civic domain; ministerial portfolios are defined by statute. Ministers serve at the pleasure of the Civic Consul and require no confirmation; appointments and dismissals are published to the NRS. A minister's service ends when the Civic Consul leaves office; ministers continue in a caretaker capacity, limited to maintaining existing policy, until the incoming Civic Consul's ministers are appointed.</w:t>
      </w:r>
    </w:p>
    <w:p w14:paraId="16EAE3DB" w14:textId="77777777" w:rsidR="00AF3D56" w:rsidRDefault="00000000">
      <w:pPr>
        <w:spacing w:before="200" w:after="60"/>
        <w:ind w:left="431"/>
      </w:pPr>
      <w:r>
        <w:rPr>
          <w:rFonts w:ascii="Courier New" w:eastAsia="Courier New" w:hAnsi="Courier New" w:cs="Courier New"/>
          <w:b/>
          <w:bCs/>
          <w:color w:val="2A2A2A"/>
          <w:sz w:val="18"/>
          <w:szCs w:val="18"/>
        </w:rPr>
        <w:t xml:space="preserve">§2.6  </w:t>
      </w:r>
      <w:r>
        <w:rPr>
          <w:rFonts w:ascii="Garamond" w:eastAsia="Garamond" w:hAnsi="Garamond" w:cs="Garamond"/>
          <w:i/>
          <w:iCs/>
          <w:color w:val="1B2A4A"/>
          <w:sz w:val="22"/>
          <w:szCs w:val="22"/>
        </w:rPr>
        <w:t>Constructive Vote of No Confidence</w:t>
      </w:r>
    </w:p>
    <w:p>
      <w:pPr>
        <w:spacing w:after="120"/>
        <w:ind w:left="431"/>
        <w:jc w:val="both"/>
      </w:pPr>
      <w:r>
        <w:rPr>
          <w:rFonts w:ascii="Garamond" w:eastAsia="Garamond" w:hAnsi="Garamond" w:cs="Garamond"/>
          <w:color w:val="2A2A2A"/>
          <w:sz w:val="22"/>
          <w:szCs w:val="22"/>
        </w:rPr>
        <w:t xml:space="preserve">(1) 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Grounds for the vote are published to the NRS; the vote is a political act and is not subject to judicial review.</w:t>
      </w:r>
    </w:p>
    <w:p>
      <w:pPr>
        <w:spacing w:after="120"/>
        <w:ind w:left="431"/>
        <w:jc w:val="both"/>
      </w:pPr>
      <w:r>
        <w:rPr>
          <w:rFonts w:ascii="Garamond" w:eastAsia="Garamond" w:hAnsi="Garamond" w:cs="Garamond"/>
          <w:color w:val="2A2A2A"/>
          <w:sz w:val="22"/>
          <w:szCs w:val="22"/>
        </w:rPr>
        <w:t xml:space="preserve">(2) A person must be a serving member of the Assembly to be elected Civic Consul. On election as Civic Consul the person vacates their Assembly seat, which is filled under §3.2 as a mid-term vacancy; that Assembly term is deemed fully served by the departing member for purposes of the consecutive-term limit under §3.2.</w:t>
      </w:r>
    </w:p>
    <w:p>
      <w:pPr>
        <w:spacing w:after="120"/>
        <w:ind w:left="431"/>
        <w:jc w:val="both"/>
      </w:pPr>
      <w:r>
        <w:rPr>
          <w:rFonts w:ascii="Garamond" w:eastAsia="Garamond" w:hAnsi="Garamond" w:cs="Garamond"/>
          <w:color w:val="2A2A2A"/>
          <w:sz w:val="22"/>
          <w:szCs w:val="22"/>
        </w:rPr>
        <w:t xml:space="preserve">(3) While in office the Civic Consul holds the ceremonial seat of the office of Civic Consul, which carries the right to sit, speak, and be held to account in the Assembly but carries no vote; the Civic Consul exercises no legislative vote while in office, consistent with §1.23. The ceremonial seat is not counted in the full seated membership of the Assembly for quorum or any voting threshold.</w:t>
      </w:r>
    </w:p>
    <w:p>
      <w:pPr>
        <w:spacing w:after="120"/>
        <w:ind w:left="431"/>
        <w:jc w:val="both"/>
      </w:pPr>
      <w:r>
        <w:rPr>
          <w:rFonts w:ascii="Garamond" w:eastAsia="Garamond" w:hAnsi="Garamond" w:cs="Garamond"/>
          <w:color w:val="2A2A2A"/>
          <w:sz w:val="22"/>
          <w:szCs w:val="22"/>
        </w:rPr>
        <w:t xml:space="preserve">(4) This section governs a person elected or installed to the office of Civic Consul; the Assembly Speaker serving as Acting Civic Consul under §2.5 or §2.6.a retains their own Assembly seat and does not vacate it.</w:t>
      </w:r>
    </w:p>
    <w:p>
      <w:pPr>
        <w:spacing w:after="120"/>
        <w:ind w:left="431"/>
        <w:jc w:val="both"/>
      </w:pPr>
      <w:r>
        <w:rPr>
          <w:rFonts w:ascii="Garamond" w:eastAsia="Garamond" w:hAnsi="Garamond" w:cs="Garamond"/>
          <w:color w:val="2A2A2A"/>
          <w:sz w:val="22"/>
          <w:szCs w:val="22"/>
        </w:rPr>
        <w:t xml:space="preserve">(5) The Civic Consul serves until removed under this section, until the expiration of the consecutive-service limit under §2.5, by resignation, or through the pathways of §3.10.</w:t>
      </w:r>
    </w:p>
    <w:p>
      <w:pPr>
        <w:spacing w:after="120"/>
        <w:ind w:left="431"/>
        <w:jc w:val="both"/>
      </w:pPr>
      <w:r>
        <w:rPr>
          <w:rFonts w:ascii="Garamond" w:eastAsia="Garamond" w:hAnsi="Garamond" w:cs="Garamond"/>
          <w:color w:val="2A2A2A"/>
          <w:sz w:val="22"/>
          <w:szCs w:val="22"/>
        </w:rPr>
        <w:t xml:space="preserve">(6) A person who leaves the office of Civic Consul holds no Assembly seat by virtue of having been Civic Consul; the seat vacated on taking office remains filled under §3.2. A former Civic Consul may run in an election for an Assembly seat, may hold any other constitutional office for which they meet the eligibility requirements, and may seek the office of Civic Consul again subject to the cooling-off period under §2.5.</w:t>
      </w:r>
    </w:p>
    <w:p w14:paraId="0016C56E" w14:textId="77777777" w:rsidR="00AF3D56" w:rsidRDefault="00000000">
      <w:pPr>
        <w:spacing w:before="200" w:after="60"/>
        <w:ind w:left="431"/>
      </w:pPr>
      <w:r>
        <w:rPr>
          <w:rFonts w:ascii="Courier New" w:eastAsia="Courier New" w:hAnsi="Courier New" w:cs="Courier New"/>
          <w:b/>
          <w:bCs/>
          <w:color w:val="2A2A2A"/>
          <w:sz w:val="18"/>
          <w:szCs w:val="18"/>
        </w:rPr>
        <w:t xml:space="preserve">§2.6.a  </w:t>
      </w:r>
      <w:r>
        <w:rPr>
          <w:rFonts w:ascii="Garamond" w:eastAsia="Garamond" w:hAnsi="Garamond" w:cs="Garamond"/>
          <w:i/>
          <w:iCs/>
          <w:color w:val="1B2A4A"/>
          <w:sz w:val="22"/>
          <w:szCs w:val="22"/>
        </w:rPr>
        <w:t>Government Formation</w:t>
      </w:r>
    </w:p>
    <w:p>
      <w:pPr>
        <w:spacing w:after="120"/>
        <w:ind w:left="431"/>
        <w:jc w:val="both"/>
      </w:pPr>
      <w:r>
        <w:rPr>
          <w:rFonts w:ascii="Garamond" w:eastAsia="Garamond" w:hAnsi="Garamond" w:cs="Garamond"/>
          <w:color w:val="2A2A2A"/>
          <w:sz w:val="22"/>
          <w:szCs w:val="22"/>
        </w:rPr>
        <w:t xml:space="preserve">(1) The Assembly elects the Civic Consul by absolute majority within the period defined by statute following any general election or vacancy; where no statutory period has been established, the constitutional default is 21 days.</w:t>
      </w:r>
    </w:p>
    <w:p>
      <w:pPr>
        <w:spacing w:after="120"/>
        <w:ind w:left="431"/>
        <w:jc w:val="both"/>
      </w:pPr>
      <w:r>
        <w:rPr>
          <w:rFonts w:ascii="Garamond" w:eastAsia="Garamond" w:hAnsi="Garamond" w:cs="Garamond"/>
          <w:color w:val="2A2A2A"/>
          <w:sz w:val="22"/>
          <w:szCs w:val="22"/>
        </w:rPr>
        <w:t xml:space="preserve">(2) If the Assembly does not elect a Civic Consul within that period, the acting role attaches automatically to the sitting Assembly Speaker, who serves as Acting Civic Consul by constitutional operation with authority limited to maintaining existing policy, and retains their Assembly seat. Where there is no sitting Speaker, the most senior Assembly member by continuous service serves in the acting role instead; where two or more members have equal continuous service, the tiebreaker is determined by statute. The acting service is published to the NRS. The Acting Civic Consul is not subject to removal under §2.6.</w:t>
      </w:r>
    </w:p>
    <w:p>
      <w:pPr>
        <w:spacing w:after="120"/>
        <w:ind w:left="431"/>
        <w:jc w:val="both"/>
      </w:pPr>
      <w:r>
        <w:rPr>
          <w:rFonts w:ascii="Garamond" w:eastAsia="Garamond" w:hAnsi="Garamond" w:cs="Garamond"/>
          <w:color w:val="2A2A2A"/>
          <w:sz w:val="22"/>
          <w:szCs w:val="22"/>
        </w:rPr>
        <w:t xml:space="preserve">(3) Bills passed during the Acting Civic Consul's service are presented to the Acting Civic Consul. The Acting Civic Consul may not exercise the suspensive veto under §2.7 but may, within 10 business days of final passage, publish a written pause notice to the NRS staying enactment. Upon such notice, the Speaker shall schedule the bill for recall by the Assembly; the Assembly may withdraw the bill by simple majority within the pause period. A bill not so withdrawn is enacted by operation of law at the close of the 10-business-day period. Where the Acting Civic Consul issues no pause notice within 10 business days of final passage, the bill is enacted by operation of law. The pause may not be used on the annual budget, bills implementing a constitutional obligation, or emergency legislation.</w:t>
      </w:r>
    </w:p>
    <w:p>
      <w:pPr>
        <w:spacing w:after="120"/>
        <w:ind w:left="431"/>
        <w:jc w:val="both"/>
      </w:pPr>
      <w:r>
        <w:rPr>
          <w:rFonts w:ascii="Garamond" w:eastAsia="Garamond" w:hAnsi="Garamond" w:cs="Garamond"/>
          <w:color w:val="2A2A2A"/>
          <w:sz w:val="22"/>
          <w:szCs w:val="22"/>
        </w:rPr>
        <w:t xml:space="preserve">(4) The Acting Civic Consul administers a nominating ballot of the Assembly to identify candidates for a national election. This administration is purely procedural and confers no discretion over the ballot's conduct or result. The ballot requires no quorum and produces its result regardless of participation. The candidates receiving the most votes advance, being no fewer than two and no more than four; where a tie would cause more than four candidates to advance, the tie is resolved in favor of the candidate with greater continuous service, with any remaining tie determined by statute. Where only one member receives votes, that member advances alone and is submitted to the national vote for ratification. Only members otherwise qualified for the office of Civic Consul under §2.5 and §7.4 may advance.</w:t>
      </w:r>
    </w:p>
    <w:p>
      <w:pPr>
        <w:spacing w:after="120"/>
        <w:ind w:left="431"/>
        <w:jc w:val="both"/>
      </w:pPr>
      <w:r>
        <w:rPr>
          <w:rFonts w:ascii="Garamond" w:eastAsia="Garamond" w:hAnsi="Garamond" w:cs="Garamond"/>
          <w:color w:val="2A2A2A"/>
          <w:sz w:val="22"/>
          <w:szCs w:val="22"/>
        </w:rPr>
        <w:t xml:space="preserve">(5) The Elections Panel administers a national ranked-choice election among the advancing candidates, to be held within the period defined by statute, with a constitutional default of 45 days and an absolute maximum of 90 days from the close of the nominating ballot. The Elections Panel may extend the period beyond the default only for cause published to the NRS, and in no case beyond 90 days. Where a single candidate stands for ratification, the national vote is a simple yes-or-no question. Should an advancing candidate become ineligible before the vote, the election proceeds among those who remain qualified.</w:t>
      </w:r>
    </w:p>
    <w:p>
      <w:pPr>
        <w:spacing w:after="120"/>
        <w:ind w:left="431"/>
        <w:jc w:val="both"/>
      </w:pPr>
      <w:r>
        <w:rPr>
          <w:rFonts w:ascii="Garamond" w:eastAsia="Garamond" w:hAnsi="Garamond" w:cs="Garamond"/>
          <w:color w:val="2A2A2A"/>
          <w:sz w:val="22"/>
          <w:szCs w:val="22"/>
        </w:rPr>
        <w:t xml:space="preserve">(6) The candidate winning the national election, whether by ranked-choice tabulation or by ratification, becomes Civic Consul with full authority, vacates their Assembly seat under §2.6, and is subject to removal only under §2.6. The Acting Civic Consul's service ends upon that installation.</w:t>
      </w:r>
    </w:p>
    <w:p>
      <w:pPr>
        <w:spacing w:after="120"/>
        <w:ind w:left="431"/>
        <w:jc w:val="both"/>
      </w:pPr>
      <w:r>
        <w:rPr>
          <w:rFonts w:ascii="Garamond" w:eastAsia="Garamond" w:hAnsi="Garamond" w:cs="Garamond"/>
          <w:color w:val="2A2A2A"/>
          <w:sz w:val="22"/>
          <w:szCs w:val="22"/>
        </w:rPr>
        <w:t xml:space="preserve">(7) At any time before the national election begins, the Assembly may elect a Civic Consul by absolute majority, which terminates the fallback and returns the office to the ordinary process. Once the national election has begun, it proceeds to conclusion.</w:t>
      </w:r>
    </w:p>
    <w:p w14:paraId="26201912" w14:textId="77777777" w:rsidR="00AF3D56" w:rsidRDefault="00000000">
      <w:pPr>
        <w:spacing w:before="200" w:after="60"/>
        <w:ind w:left="431"/>
      </w:pPr>
      <w:r>
        <w:rPr>
          <w:rFonts w:ascii="Courier New" w:eastAsia="Courier New" w:hAnsi="Courier New" w:cs="Courier New"/>
          <w:b/>
          <w:bCs/>
          <w:color w:val="2A2A2A"/>
          <w:sz w:val="18"/>
          <w:szCs w:val="18"/>
        </w:rPr>
        <w:t xml:space="preserve">§2.7  </w:t>
      </w:r>
      <w:r>
        <w:rPr>
          <w:rFonts w:ascii="Garamond" w:eastAsia="Garamond" w:hAnsi="Garamond" w:cs="Garamond"/>
          <w:i/>
          <w:iCs/>
          <w:color w:val="1B2A4A"/>
          <w:sz w:val="22"/>
          <w:szCs w:val="22"/>
        </w:rPr>
        <w:t>Civic Consul Legislative Instruments</w:t>
      </w:r>
    </w:p>
    <w:p w14:paraId="386E8560" w14:textId="77777777" w:rsidR="00AF3D56" w:rsidRDefault="00000000">
      <w:pPr>
        <w:spacing w:after="120"/>
        <w:ind w:left="431"/>
        <w:jc w:val="both"/>
      </w:pPr>
      <w:r>
        <w:rPr>
          <w:rFonts w:ascii="Garamond" w:eastAsia="Garamond" w:hAnsi="Garamond" w:cs="Garamond"/>
          <w:color w:val="2A2A2A"/>
          <w:sz w:val="22"/>
          <w:szCs w:val="22"/>
        </w:rPr>
        <w:t>The Civic Consul may withhold assent by returning a bill within 10 business days of final passage with written grounds published to the NRS; the bill is tabled for one month regardless of any change in CC office. The Senate may override by 2/3 during that month; failing override, the bill returns to the Legislature and must pass both chambers again before returning to the Civic Consul, who may not exercise the suspensive veto on that bill again, including where that bill lapses and is reintroduced in a subsequent session. The Civic Consul may also issue a fiscal notice — a written NRS statement that a bill would cause or materially worsen a structural deficit — at any point within the 10-business-day review window; a fiscal notice does not block enactment but entitles the Assembly Speaker to recall the bill for reconsideration within the remaining window; both instruments may be used on the same bill. Where the Civic Consul neither returns the bill nor issues a fiscal notice within 10 business days of final passage, the bill is enacted by operation of law. The suspensive veto may not be used on the annual budget, bills implementing a constitutional obligation, or emergency legislation. Both executives review concurrently from final passage.</w:t>
      </w:r>
    </w:p>
    <w:p w14:paraId="02FF8045" w14:textId="77777777" w:rsidR="00AF3D56" w:rsidRDefault="00000000">
      <w:pPr>
        <w:spacing w:before="200" w:after="60"/>
        <w:ind w:left="431"/>
      </w:pPr>
      <w:r>
        <w:rPr>
          <w:rFonts w:ascii="Courier New" w:eastAsia="Courier New" w:hAnsi="Courier New" w:cs="Courier New"/>
          <w:b/>
          <w:bCs/>
          <w:color w:val="2A2A2A"/>
          <w:sz w:val="18"/>
          <w:szCs w:val="18"/>
        </w:rPr>
        <w:t xml:space="preserve">§2.8  </w:t>
      </w:r>
      <w:r>
        <w:rPr>
          <w:rFonts w:ascii="Garamond" w:eastAsia="Garamond" w:hAnsi="Garamond" w:cs="Garamond"/>
          <w:i/>
          <w:iCs/>
          <w:color w:val="1B2A4A"/>
          <w:sz w:val="22"/>
          <w:szCs w:val="22"/>
        </w:rPr>
        <w:t>Duty of Refusal</w:t>
      </w:r>
    </w:p>
    <w:p w14:paraId="1EE87E68" w14:textId="77777777" w:rsidR="00AF3D56" w:rsidRDefault="00000000">
      <w:pPr>
        <w:spacing w:after="120"/>
        <w:ind w:left="431"/>
        <w:jc w:val="both"/>
      </w:pPr>
      <w:r>
        <w:rPr>
          <w:rFonts w:ascii="Garamond" w:eastAsia="Garamond" w:hAnsi="Garamond" w:cs="Garamond"/>
          <w:color w:val="2A2A2A"/>
          <w:sz w:val="22"/>
          <w:szCs w:val="22"/>
        </w:rPr>
        <w:t>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14:paraId="58461D1F" w14:textId="77777777" w:rsidR="00AF3D56" w:rsidRDefault="00000000">
      <w:pPr>
        <w:spacing w:before="200" w:after="60"/>
        <w:ind w:left="431"/>
      </w:pPr>
      <w:r>
        <w:rPr>
          <w:rFonts w:ascii="Courier New" w:eastAsia="Courier New" w:hAnsi="Courier New" w:cs="Courier New"/>
          <w:b/>
          <w:bCs/>
          <w:color w:val="2A2A2A"/>
          <w:sz w:val="18"/>
          <w:szCs w:val="18"/>
        </w:rPr>
        <w:t xml:space="preserve">§2.9  </w:t>
      </w:r>
      <w:r>
        <w:rPr>
          <w:rFonts w:ascii="Garamond" w:eastAsia="Garamond" w:hAnsi="Garamond" w:cs="Garamond"/>
          <w:i/>
          <w:iCs/>
          <w:color w:val="1B2A4A"/>
          <w:sz w:val="22"/>
          <w:szCs w:val="22"/>
        </w:rPr>
        <w:t>Legat Consul Succession and Incapacity</w:t>
      </w:r>
    </w:p>
    <w:p>
      <w:pPr>
        <w:spacing w:after="120"/>
        <w:ind w:left="431"/>
        <w:jc w:val="both"/>
      </w:pPr>
      <w:r>
        <w:rPr>
          <w:rFonts w:ascii="Garamond" w:eastAsia="Garamond" w:hAnsi="Garamond" w:cs="Garamond"/>
          <w:color w:val="2A2A2A"/>
          <w:sz w:val="22"/>
          <w:szCs w:val="22"/>
        </w:rPr>
        <w:t xml:space="preserve">(1) Full succession activates on the Legat Consul's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w:t>
      </w:r>
    </w:p>
    <w:p>
      <w:pPr>
        <w:spacing w:after="120"/>
        <w:ind w:left="431"/>
        <w:jc w:val="both"/>
      </w:pPr>
      <w:r>
        <w:rPr>
          <w:rFonts w:ascii="Garamond" w:eastAsia="Garamond" w:hAnsi="Garamond" w:cs="Garamond"/>
          <w:color w:val="2A2A2A"/>
          <w:sz w:val="22"/>
          <w:szCs w:val="22"/>
        </w:rPr>
        <w:t xml:space="preserve">(2) Full succession vacates the successor's Senate seat, which is filled through the ordinary vacancy process. Where the Senate Speaker is simultaneously unable to serve, the most senior Senator by continuous Senate service holds the office from that moment; where two or more Senators have equal continuous service, the oldest by age holds the office.</w:t>
      </w:r>
    </w:p>
    <w:p>
      <w:pPr>
        <w:spacing w:after="120"/>
        <w:ind w:left="431"/>
        <w:jc w:val="both"/>
      </w:pPr>
      <w:r>
        <w:rPr>
          <w:rFonts w:ascii="Garamond" w:eastAsia="Garamond" w:hAnsi="Garamond" w:cs="Garamond"/>
          <w:color w:val="2A2A2A"/>
          <w:sz w:val="22"/>
          <w:szCs w:val="22"/>
        </w:rPr>
        <w:t xml:space="preserve">(3) The Legislature shall by statute establish an order of succession for the Legat Consul's temporary incapacity under §2.9(6)(ii) and for full succession beyond the constitutional floor under §2.9(2). Until such statute is enacted, the constitutional order under §2.9(6)(i) and (iii) applies.</w:t>
      </w:r>
    </w:p>
    <w:p>
      <w:pPr>
        <w:spacing w:after="120"/>
        <w:ind w:left="431"/>
        <w:jc w:val="both"/>
      </w:pPr>
      <w:r>
        <w:rPr>
          <w:rFonts w:ascii="Garamond" w:eastAsia="Garamond" w:hAnsi="Garamond" w:cs="Garamond"/>
          <w:color w:val="2A2A2A"/>
          <w:sz w:val="22"/>
          <w:szCs w:val="22"/>
        </w:rPr>
        <w:t xml:space="preserve">(4) Upon NRS publication of any triggering event, the military chain of command recognizes the constitutional transfer immediately; any order issued in the name of the prior Legat Consul after that moment is constitutionally void.</w:t>
      </w:r>
    </w:p>
    <w:p>
      <w:pPr>
        <w:spacing w:after="120"/>
        <w:ind w:left="431"/>
        <w:jc w:val="both"/>
      </w:pPr>
      <w:r>
        <w:rPr>
          <w:rFonts w:ascii="Garamond" w:eastAsia="Garamond" w:hAnsi="Garamond" w:cs="Garamond"/>
          <w:color w:val="2A2A2A"/>
          <w:sz w:val="22"/>
          <w:szCs w:val="22"/>
        </w:rPr>
        <w:t xml:space="preserve">(5) A successor serves the remainder of the current Legat Consul's term; a successor who serves any portion of a predecessor's term must sit out one full term before standing for election as Legat Consul; after the cooling-off period the former successor may stand for and serve a full elected term.</w:t>
      </w:r>
    </w:p>
    <w:p>
      <w:pPr>
        <w:spacing w:after="120"/>
        <w:ind w:left="431"/>
        <w:jc w:val="both"/>
      </w:pPr>
      <w:r>
        <w:rPr>
          <w:rFonts w:ascii="Garamond" w:eastAsia="Garamond" w:hAnsi="Garamond" w:cs="Garamond"/>
          <w:color w:val="2A2A2A"/>
          <w:sz w:val="22"/>
          <w:szCs w:val="22"/>
        </w:rPr>
        <w:t xml:space="preserve">(6) Where the Legat Consul is temporarily unable to exercise authority as determined under §2.16, acting authority vests by constitutional operation in accordance with the following order: (i) the Senate Speaker; (ii) persons holding offices designated by statute for this purpose, in the order so established; (iii) the most senior Senator by continuous Senate service; where two or more Senators have equal continuous service, the oldest by age holds the office. A person in the order of succession may decline under §2.16(4). The person last in the order may not decline. While serving in an acting executive capacity under this subsection, the acting officer may not exercise any legislative function; the officer retains their Senate seat and any Senate office held, and the Senate provides for the exercise of those functions during that period under its internal procedures. Acting service neither extends nor suspends the officer's electoral mandate; where the acting officer ceases to be a Senator, acting authority passes by constitutional operation to the next person in the order of succession then qualified. Acting authority ends when the Legat Consul's incapacity ends under §2.16(3).</w:t>
      </w:r>
    </w:p>
    <w:p w14:paraId="3EAD3FC4" w14:textId="77777777" w:rsidR="00AF3D56" w:rsidRDefault="00000000">
      <w:pPr>
        <w:spacing w:before="200" w:after="60"/>
        <w:ind w:left="431"/>
      </w:pPr>
      <w:r>
        <w:rPr>
          <w:rFonts w:ascii="Courier New" w:eastAsia="Courier New" w:hAnsi="Courier New" w:cs="Courier New"/>
          <w:b/>
          <w:bCs/>
          <w:color w:val="2A2A2A"/>
          <w:sz w:val="18"/>
          <w:szCs w:val="18"/>
        </w:rPr>
        <w:t xml:space="preserve">§2.10  </w:t>
      </w:r>
      <w:r>
        <w:rPr>
          <w:rFonts w:ascii="Garamond" w:eastAsia="Garamond" w:hAnsi="Garamond" w:cs="Garamond"/>
          <w:i/>
          <w:iCs/>
          <w:color w:val="1B2A4A"/>
          <w:sz w:val="22"/>
          <w:szCs w:val="22"/>
        </w:rPr>
        <w:t>Executive Transparency</w:t>
      </w:r>
    </w:p>
    <w:p w14:paraId="177409D6" w14:textId="77777777" w:rsidR="00AF3D56" w:rsidRDefault="00000000">
      <w:pPr>
        <w:spacing w:after="120"/>
        <w:ind w:left="431"/>
        <w:jc w:val="both"/>
      </w:pPr>
      <w:r>
        <w:rPr>
          <w:rFonts w:ascii="Garamond" w:eastAsia="Garamond" w:hAnsi="Garamond" w:cs="Garamond"/>
          <w:color w:val="2A2A2A"/>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w:t>
        <w:lastRenderedPageBreak/>
        <w:t>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w:t>
      </w:r>
    </w:p>
    <w:p w14:paraId="59AA2318" w14:textId="77777777" w:rsidR="00AF3D56" w:rsidRDefault="00000000">
      <w:pPr>
        <w:spacing w:before="200" w:after="60"/>
        <w:ind w:left="431"/>
      </w:pPr>
      <w:r>
        <w:rPr>
          <w:rFonts w:ascii="Courier New" w:eastAsia="Courier New" w:hAnsi="Courier New" w:cs="Courier New"/>
          <w:b/>
          <w:bCs/>
          <w:color w:val="2A2A2A"/>
          <w:sz w:val="18"/>
          <w:szCs w:val="18"/>
        </w:rPr>
        <w:t xml:space="preserve">§2.11  </w:t>
      </w:r>
      <w:r>
        <w:rPr>
          <w:rFonts w:ascii="Garamond" w:eastAsia="Garamond" w:hAnsi="Garamond" w:cs="Garamond"/>
          <w:i/>
          <w:iCs/>
          <w:color w:val="1B2A4A"/>
          <w:sz w:val="22"/>
          <w:szCs w:val="22"/>
        </w:rPr>
        <w:t>Emergency Governance</w:t>
      </w:r>
    </w:p>
    <w:p w14:paraId="6F112D14" w14:textId="77777777" w:rsidR="00AF3D56" w:rsidRDefault="00000000">
      <w:pPr>
        <w:spacing w:after="120"/>
        <w:ind w:left="431"/>
        <w:jc w:val="both"/>
      </w:pPr>
      <w:r>
        <w:rPr>
          <w:rFonts w:ascii="Garamond" w:eastAsia="Garamond" w:hAnsi="Garamond" w:cs="Garamond"/>
          <w:color w:val="2A2A2A"/>
          <w:sz w:val="22"/>
          <w:szCs w:val="22"/>
        </w:rPr>
        <w:t>Where the Assembly is unable to function for an extended period — as defined by statute; in the absence of a statutory definition, the constitutional floor is 30 consecutive days during which the Assembly cannot achieve quorum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14:paraId="00FB3E8C" w14:textId="77777777" w:rsidR="00AF3D56" w:rsidRDefault="00000000">
      <w:pPr>
        <w:spacing w:before="200" w:after="60"/>
        <w:ind w:left="431"/>
      </w:pPr>
      <w:r>
        <w:rPr>
          <w:rFonts w:ascii="Courier New" w:eastAsia="Courier New" w:hAnsi="Courier New" w:cs="Courier New"/>
          <w:b/>
          <w:bCs/>
          <w:color w:val="2A2A2A"/>
          <w:sz w:val="18"/>
          <w:szCs w:val="18"/>
        </w:rPr>
        <w:t xml:space="preserve">§2.12  </w:t>
      </w:r>
      <w:r>
        <w:rPr>
          <w:rFonts w:ascii="Garamond" w:eastAsia="Garamond" w:hAnsi="Garamond" w:cs="Garamond"/>
          <w:i/>
          <w:iCs/>
          <w:color w:val="1B2A4A"/>
          <w:sz w:val="22"/>
          <w:szCs w:val="22"/>
        </w:rPr>
        <w:t>Clemency</w:t>
      </w:r>
    </w:p>
    <w:p w14:paraId="419B3216" w14:textId="77777777" w:rsidR="00AF3D56" w:rsidRDefault="00000000">
      <w:pPr>
        <w:spacing w:after="120"/>
        <w:ind w:left="431"/>
        <w:jc w:val="both"/>
      </w:pPr>
      <w:r>
        <w:rPr>
          <w:rFonts w:ascii="Garamond" w:eastAsia="Garamond" w:hAnsi="Garamond" w:cs="Garamond"/>
          <w:color w:val="2A2A2A"/>
          <w:sz w:val="22"/>
          <w:szCs w:val="22"/>
        </w:rPr>
        <w:t>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grant, and declination is published permanently to the NRS. Group amnesty requires legislative action; no executive may grant group amnesty.</w:t>
      </w:r>
    </w:p>
    <w:p w14:paraId="79DD5CCB" w14:textId="77777777" w:rsidR="00AF3D56" w:rsidRDefault="00000000">
      <w:pPr>
        <w:spacing w:before="200" w:after="60"/>
        <w:ind w:left="431"/>
      </w:pPr>
      <w:r>
        <w:rPr>
          <w:rFonts w:ascii="Courier New" w:eastAsia="Courier New" w:hAnsi="Courier New" w:cs="Courier New"/>
          <w:b/>
          <w:bCs/>
          <w:color w:val="2A2A2A"/>
          <w:sz w:val="18"/>
          <w:szCs w:val="18"/>
        </w:rPr>
        <w:t xml:space="preserve">§2.13  </w:t>
      </w:r>
      <w:r>
        <w:rPr>
          <w:rFonts w:ascii="Garamond" w:eastAsia="Garamond" w:hAnsi="Garamond" w:cs="Garamond"/>
          <w:i/>
          <w:iCs/>
          <w:color w:val="1B2A4A"/>
          <w:sz w:val="22"/>
          <w:szCs w:val="22"/>
        </w:rPr>
        <w:t>Consular Removal</w:t>
      </w:r>
    </w:p>
    <w:p w14:paraId="3C3DC524" w14:textId="77777777" w:rsidR="00AF3D56" w:rsidRDefault="00000000">
      <w:pPr>
        <w:spacing w:after="120"/>
        <w:ind w:left="431"/>
        <w:jc w:val="both"/>
      </w:pPr>
      <w:r>
        <w:rPr>
          <w:rFonts w:ascii="Garamond" w:eastAsia="Garamond" w:hAnsi="Garamond" w:cs="Garamond"/>
          <w:color w:val="2A2A2A"/>
          <w:sz w:val="22"/>
          <w:szCs w:val="22"/>
        </w:rPr>
        <w:t>The Legat Consul may be removed on two independent tracks. Under the legislative track, removal requires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§7.3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14:paraId="28C0D769" w14:textId="77777777" w:rsidR="00AF3D56" w:rsidRDefault="00000000">
      <w:pPr>
        <w:spacing w:before="200" w:after="60"/>
        <w:ind w:left="431"/>
      </w:pPr>
      <w:r>
        <w:rPr>
          <w:rFonts w:ascii="Courier New" w:eastAsia="Courier New" w:hAnsi="Courier New" w:cs="Courier New"/>
          <w:b/>
          <w:bCs/>
          <w:color w:val="2A2A2A"/>
          <w:sz w:val="18"/>
          <w:szCs w:val="18"/>
        </w:rPr>
        <w:t xml:space="preserve">§2.14  </w:t>
      </w:r>
      <w:r>
        <w:rPr>
          <w:rFonts w:ascii="Garamond" w:eastAsia="Garamond" w:hAnsi="Garamond" w:cs="Garamond"/>
          <w:i/>
          <w:iCs/>
          <w:color w:val="1B2A4A"/>
          <w:sz w:val="22"/>
          <w:szCs w:val="22"/>
        </w:rPr>
        <w:t>Council of Ministers</w:t>
      </w:r>
    </w:p>
    <w:p w14:paraId="0914AF1D" w14:textId="77777777" w:rsidR="00AF3D56" w:rsidRDefault="00000000">
      <w:pPr>
        <w:spacing w:after="120"/>
        <w:ind w:left="431"/>
        <w:jc w:val="both"/>
      </w:pPr>
      <w:r>
        <w:rPr>
          <w:rFonts w:ascii="Garamond" w:eastAsia="Garamond" w:hAnsi="Garamond" w:cs="Garamond"/>
          <w:color w:val="2A2A2A"/>
          <w:sz w:val="22"/>
          <w:szCs w:val="22"/>
        </w:rPr>
        <w:t>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w:t>
      </w:r>
    </w:p>
    <w:p w14:paraId="798EA873" w14:textId="77777777" w:rsidR="00AF3D56" w:rsidRDefault="00000000">
      <w:pPr>
        <w:spacing w:before="200" w:after="60"/>
        <w:ind w:left="431"/>
      </w:pPr>
      <w:r>
        <w:rPr>
          <w:rFonts w:ascii="Courier New" w:eastAsia="Courier New" w:hAnsi="Courier New" w:cs="Courier New"/>
          <w:b/>
          <w:bCs/>
          <w:color w:val="2A2A2A"/>
          <w:sz w:val="18"/>
          <w:szCs w:val="18"/>
        </w:rPr>
        <w:t xml:space="preserve">§2.14.a  </w:t>
      </w:r>
      <w:r>
        <w:rPr>
          <w:rFonts w:ascii="Garamond" w:eastAsia="Garamond" w:hAnsi="Garamond" w:cs="Garamond"/>
          <w:i/>
          <w:iCs/>
          <w:color w:val="1B2A4A"/>
          <w:sz w:val="22"/>
          <w:szCs w:val="22"/>
        </w:rPr>
        <w:t>Cross-Domain Emergency Lead</w:t>
      </w:r>
    </w:p>
    <w:p w14:paraId="70E13777" w14:textId="77777777" w:rsidR="00AF3D56" w:rsidRDefault="00000000">
      <w:pPr>
        <w:spacing w:after="120"/>
        <w:ind w:left="431"/>
        <w:jc w:val="both"/>
      </w:pPr>
      <w:r>
        <w:rPr>
          <w:rFonts w:ascii="Garamond" w:eastAsia="Garamond" w:hAnsi="Garamond" w:cs="Garamond"/>
          <w:color w:val="2A2A2A"/>
          <w:sz w:val="22"/>
          <w:szCs w:val="22"/>
        </w:rPr>
        <w:lastRenderedPageBreak/>
        <w:t>In a cross-domain emergency requiring unified operational authority, either executive may propose a temporary operational lead designation. Concurrence of both executives makes it effective and is published to the NRS. Where the executives cannot agree, either may petition the SC for expedited resolution under §4.5. A lead designation assigns operational coordination only and does not affect either executive’s constitutional domain authority.</w:t>
      </w:r>
    </w:p>
    <w:p w14:paraId="798EA873" w14:textId="77777777" w:rsidR="00AF3D56" w:rsidRDefault="00000000">
      <w:pPr>
        <w:spacing w:before="200" w:after="60"/>
        <w:ind w:left="431"/>
      </w:pPr>
      <w:r>
        <w:rPr>
          <w:rFonts w:ascii="Courier New" w:eastAsia="Courier New" w:hAnsi="Courier New" w:cs="Courier New"/>
          <w:b/>
          <w:bCs/>
          <w:color w:val="2A2A2A"/>
          <w:sz w:val="18"/>
          <w:szCs w:val="18"/>
        </w:rPr>
        <w:t xml:space="preserve">§2.14.b  </w:t>
      </w:r>
      <w:r>
        <w:rPr>
          <w:rFonts w:ascii="Garamond" w:eastAsia="Garamond" w:hAnsi="Garamond" w:cs="Garamond"/>
          <w:i/>
          <w:iCs/>
          <w:color w:val="1B2A4A"/>
          <w:sz w:val="22"/>
          <w:szCs w:val="22"/>
        </w:rPr>
        <w:t>Cross-Domain Assistance</w:t>
      </w:r>
    </w:p>
    <w:p w14:paraId="70E13777" w14:textId="77777777" w:rsidR="00AF3D56" w:rsidRDefault="00000000">
      <w:pPr>
        <w:spacing w:after="120"/>
        <w:ind w:left="431"/>
        <w:jc w:val="both"/>
      </w:pPr>
      <w:r>
        <w:rPr>
          <w:rFonts w:ascii="Garamond" w:eastAsia="Garamond" w:hAnsi="Garamond" w:cs="Garamond"/>
          <w:color w:val="2A2A2A"/>
          <w:sz w:val="22"/>
          <w:szCs w:val="22"/>
        </w:rPr>
        <w:t xml:space="preserve">Either Consul may formally request that the other exercise specified authority within the other's domain in support of a need arising in the requesting Consul's domain. The request states the need, scope, and duration and is published to the NRS; the responding Consul determines whether and how to act within their own domain and publishes the response to the NRS. Neither Consul may compel the other. A request may specify a duration not to exceed 90 days; assistance may be renewed only by a fresh request and response, each published to the NRS. This section may provide only capability used in support of persons — including logistics, transport, materiel, technical, medical, disaster, and search-and-rescue capability. It may not provide capability used to compel, detain, or direct persons, to surveil, monitor, or collect intelligence on persons within the Republic, or to commandeer civilian resources; any such capability is available to the requesting Consul only under §1.19 or other express constitutional authority. Capability provided under this section operates under the responding Consul's command as to means and the requesting Consul's direction as to purpose and limits, and remains subject in full to Article I. A foreign invasion or comparable threat engaging both domains is governed by §2.14.a. A dispute arising under this section is resolved through the mechanism in §2.14.a.</w:t>
      </w:r>
    </w:p>
    <w:p w14:paraId="0B19BB75" w14:textId="77777777" w:rsidR="00AF3D56" w:rsidRDefault="00000000">
      <w:pPr>
        <w:spacing w:before="200" w:after="60"/>
        <w:ind w:left="431"/>
      </w:pPr>
      <w:r>
        <w:rPr>
          <w:rFonts w:ascii="Courier New" w:eastAsia="Courier New" w:hAnsi="Courier New" w:cs="Courier New"/>
          <w:b/>
          <w:bCs/>
          <w:color w:val="2A2A2A"/>
          <w:sz w:val="18"/>
          <w:szCs w:val="18"/>
        </w:rPr>
        <w:t xml:space="preserve">§2.15  </w:t>
      </w:r>
      <w:r>
        <w:rPr>
          <w:rFonts w:ascii="Garamond" w:eastAsia="Garamond" w:hAnsi="Garamond" w:cs="Garamond"/>
          <w:i/>
          <w:iCs/>
          <w:color w:val="1B2A4A"/>
          <w:sz w:val="22"/>
          <w:szCs w:val="22"/>
        </w:rPr>
        <w:t>Federal Prosecution</w:t>
      </w:r>
    </w:p>
    <w:p w14:paraId="75392848" w14:textId="77777777" w:rsidR="00AF3D56" w:rsidRDefault="00000000">
      <w:pPr>
        <w:spacing w:after="120"/>
        <w:ind w:left="431"/>
        <w:jc w:val="both"/>
      </w:pPr>
      <w:r>
        <w:rPr>
          <w:rFonts w:ascii="Garamond" w:eastAsia="Garamond" w:hAnsi="Garamond" w:cs="Garamond"/>
          <w:color w:val="2A2A2A"/>
          <w:sz w:val="22"/>
          <w:szCs w:val="22"/>
        </w:rPr>
        <w:t>The Civic Consul is responsible for the enforcement of federal law and sets general prosecution policy. The Legislature shall by statute establish a Federal Prosecution Service independent in the exercise of individual prosecutorial decisions. The Civic Consul may issue directions to the Service on general prosecution policy. Any direction concerning a specific prosecution must be in writing and published to the NRS simultaneously with issuance. The Legislature may not reduce the Service’s appropriation below the prior year’s level without a 2/3 vote of both chambers.</w:t>
      </w:r>
    </w:p>
    <w:p w14:paraId="0B19BB75" w14:textId="77777777" w:rsidR="00AF3D56" w:rsidRDefault="00000000">
      <w:pPr>
        <w:spacing w:before="200" w:after="60"/>
        <w:ind w:left="431"/>
      </w:pPr>
      <w:r>
        <w:rPr>
          <w:rFonts w:ascii="Courier New" w:eastAsia="Courier New" w:hAnsi="Courier New" w:cs="Courier New"/>
          <w:b/>
          <w:bCs/>
          <w:color w:val="2A2A2A"/>
          <w:sz w:val="18"/>
          <w:szCs w:val="18"/>
        </w:rPr>
        <w:t xml:space="preserve">§2.16  </w:t>
      </w:r>
      <w:r>
        <w:rPr>
          <w:rFonts w:ascii="Garamond" w:eastAsia="Garamond" w:hAnsi="Garamond" w:cs="Garamond"/>
          <w:i/>
          <w:iCs/>
          <w:color w:val="1B2A4A"/>
          <w:sz w:val="22"/>
          <w:szCs w:val="22"/>
        </w:rPr>
        <w:t>Executive Incapacity</w:t>
      </w:r>
    </w:p>
    <w:p>
      <w:pPr>
        <w:spacing w:after="120"/>
        <w:ind w:left="431"/>
        <w:jc w:val="both"/>
      </w:pPr>
      <w:r>
        <w:rPr>
          <w:rFonts w:ascii="Garamond" w:eastAsia="Garamond" w:hAnsi="Garamond" w:cs="Garamond"/>
          <w:color w:val="2A2A2A"/>
          <w:sz w:val="22"/>
          <w:szCs w:val="22"/>
        </w:rPr>
        <w:t xml:space="preserve">(1) A Consul is temporarily unable to exercise authority when either of the following is published to the National Record System:</w:t>
      </w:r>
    </w:p>
    <w:p>
      <w:pPr>
        <w:spacing w:after="120"/>
        <w:ind w:left="720"/>
        <w:jc w:val="both"/>
      </w:pPr>
      <w:r>
        <w:rPr>
          <w:rFonts w:ascii="Garamond" w:eastAsia="Garamond" w:hAnsi="Garamond" w:cs="Garamond"/>
          <w:color w:val="2A2A2A"/>
          <w:sz w:val="22"/>
          <w:szCs w:val="22"/>
        </w:rPr>
        <w:t xml:space="preserve">(a) a declaration of incapacity by the Consul; or</w:t>
      </w:r>
    </w:p>
    <w:p>
      <w:pPr>
        <w:spacing w:after="120"/>
        <w:ind w:left="720"/>
        <w:jc w:val="both"/>
      </w:pPr>
      <w:r>
        <w:rPr>
          <w:rFonts w:ascii="Garamond" w:eastAsia="Garamond" w:hAnsi="Garamond" w:cs="Garamond"/>
          <w:color w:val="2A2A2A"/>
          <w:sz w:val="22"/>
          <w:szCs w:val="22"/>
        </w:rPr>
        <w:t xml:space="preserve">(b) a determination of incapacity by the Council of Ministers under subsection (2).</w:t>
      </w:r>
    </w:p>
    <w:p>
      <w:pPr>
        <w:spacing w:after="120"/>
        <w:ind w:left="431"/>
        <w:jc w:val="both"/>
      </w:pPr>
      <w:r>
        <w:rPr>
          <w:rFonts w:ascii="Garamond" w:eastAsia="Garamond" w:hAnsi="Garamond" w:cs="Garamond"/>
          <w:color w:val="2A2A2A"/>
          <w:sz w:val="22"/>
          <w:szCs w:val="22"/>
        </w:rPr>
        <w:t xml:space="preserve">(2) Council of Ministers determination:</w:t>
      </w:r>
    </w:p>
    <w:p>
      <w:pPr>
        <w:spacing w:after="120"/>
        <w:ind w:left="720"/>
        <w:jc w:val="both"/>
      </w:pPr>
      <w:r>
        <w:rPr>
          <w:rFonts w:ascii="Garamond" w:eastAsia="Garamond" w:hAnsi="Garamond" w:cs="Garamond"/>
          <w:color w:val="2A2A2A"/>
          <w:sz w:val="22"/>
          <w:szCs w:val="22"/>
        </w:rPr>
        <w:t xml:space="preserve">(a) The Council may, by majority of members then in office provided no fewer than five are in office, determine that a Consul is temporarily unable to exercise authority. This function is a constitutional function of the Council and is not an exercise of executive authority.</w:t>
      </w:r>
    </w:p>
    <w:p>
      <w:pPr>
        <w:spacing w:after="120"/>
        <w:ind w:left="720"/>
        <w:jc w:val="both"/>
      </w:pPr>
      <w:r>
        <w:rPr>
          <w:rFonts w:ascii="Garamond" w:eastAsia="Garamond" w:hAnsi="Garamond" w:cs="Garamond"/>
          <w:color w:val="2A2A2A"/>
          <w:sz w:val="22"/>
          <w:szCs w:val="22"/>
        </w:rPr>
        <w:t xml:space="preserve">(b) The determination is published to the NRS; upon publication, acting authority vests in accordance with the applicable succession provision.</w:t>
      </w:r>
    </w:p>
    <w:p>
      <w:pPr>
        <w:spacing w:after="120"/>
        <w:ind w:left="431"/>
        <w:jc w:val="both"/>
      </w:pPr>
      <w:r>
        <w:rPr>
          <w:rFonts w:ascii="Garamond" w:eastAsia="Garamond" w:hAnsi="Garamond" w:cs="Garamond"/>
          <w:color w:val="2A2A2A"/>
          <w:sz w:val="22"/>
          <w:szCs w:val="22"/>
        </w:rPr>
        <w:t xml:space="preserve">(3) Restoration:</w:t>
      </w:r>
    </w:p>
    <w:p>
      <w:pPr>
        <w:spacing w:after="120"/>
        <w:ind w:left="720"/>
        <w:jc w:val="both"/>
      </w:pPr>
      <w:r>
        <w:rPr>
          <w:rFonts w:ascii="Garamond" w:eastAsia="Garamond" w:hAnsi="Garamond" w:cs="Garamond"/>
          <w:color w:val="2A2A2A"/>
          <w:sz w:val="22"/>
          <w:szCs w:val="22"/>
        </w:rPr>
        <w:t xml:space="preserve">(a) An incapacity under this section ends when the Consul publishes a restoration declaration to the NRS. The Consul transmits the declaration to the Speaker of each chamber, to the other Consul, and to the officer then holding acting authority; full authority returns to the Consul 24 hours after publication.</w:t>
      </w:r>
    </w:p>
    <w:p>
      <w:pPr>
        <w:spacing w:after="120"/>
        <w:ind w:left="720"/>
        <w:jc w:val="both"/>
      </w:pPr>
      <w:r>
        <w:rPr>
          <w:rFonts w:ascii="Garamond" w:eastAsia="Garamond" w:hAnsi="Garamond" w:cs="Garamond"/>
          <w:color w:val="2A2A2A"/>
          <w:sz w:val="22"/>
          <w:szCs w:val="22"/>
        </w:rPr>
        <w:t xml:space="preserve">(b) Where the Council determines incapacity on the same or substantially similar grounds within 90 days of a restoration declaration, the Consul may not end that incapacity by restoration declaration alone; the incapacity ends only when the Consul's accountability chamber — the Assembly for the Civic Consul, the Senate for the Legat Consul — so resolves by absolute majority of its full seated membership.</w:t>
      </w:r>
    </w:p>
    <w:p>
      <w:pPr>
        <w:spacing w:after="120"/>
        <w:ind w:left="431"/>
        <w:jc w:val="both"/>
      </w:pPr>
      <w:r>
        <w:rPr>
          <w:rFonts w:ascii="Garamond" w:eastAsia="Garamond" w:hAnsi="Garamond" w:cs="Garamond"/>
          <w:color w:val="2A2A2A"/>
          <w:sz w:val="22"/>
          <w:szCs w:val="22"/>
        </w:rPr>
        <w:t xml:space="preserve">(4) Declination:</w:t>
      </w:r>
    </w:p>
    <w:p>
      <w:pPr>
        <w:spacing w:after="120"/>
        <w:ind w:left="720"/>
        <w:jc w:val="both"/>
      </w:pPr>
      <w:r>
        <w:rPr>
          <w:rFonts w:ascii="Garamond" w:eastAsia="Garamond" w:hAnsi="Garamond" w:cs="Garamond"/>
          <w:color w:val="2A2A2A"/>
          <w:sz w:val="22"/>
          <w:szCs w:val="22"/>
        </w:rPr>
        <w:t xml:space="preserve">(a) A person upon whom acting executive authority would fall under §2.5(6) or §2.9(6) may decline by publishing a declination to the NRS within 48 hours of the incapacity publication.</w:t>
      </w:r>
    </w:p>
    <w:p>
      <w:pPr>
        <w:spacing w:after="120"/>
        <w:ind w:left="720"/>
        <w:jc w:val="both"/>
      </w:pPr>
      <w:r>
        <w:rPr>
          <w:rFonts w:ascii="Garamond" w:eastAsia="Garamond" w:hAnsi="Garamond" w:cs="Garamond"/>
          <w:color w:val="2A2A2A"/>
          <w:sz w:val="22"/>
          <w:szCs w:val="22"/>
        </w:rPr>
        <w:t xml:space="preserve">(b) Upon publication of the declination, acting authority passes by constitutional operation to the next person in the applicable order of succession.</w:t>
      </w:r>
    </w:p>
    <w:p>
      <w:pPr>
        <w:spacing w:after="120"/>
        <w:ind w:left="720"/>
        <w:jc w:val="both"/>
      </w:pPr>
      <w:r>
        <w:rPr>
          <w:rFonts w:ascii="Garamond" w:eastAsia="Garamond" w:hAnsi="Garamond" w:cs="Garamond"/>
          <w:color w:val="2A2A2A"/>
          <w:sz w:val="22"/>
          <w:szCs w:val="22"/>
        </w:rPr>
        <w:t xml:space="preserve">(c) A declination is irrevocable and does not prejudice the person's eligibility for any future succession event. A person who does not publish a declination within 48 hours is deemed to have accepted.</w:t>
      </w:r>
    </w:p>
    <w:p>
      <w:pPr>
        <w:spacing w:after="120"/>
        <w:ind w:left="720"/>
        <w:jc w:val="both"/>
      </w:pPr>
      <w:r>
        <w:rPr>
          <w:rFonts w:ascii="Garamond" w:eastAsia="Garamond" w:hAnsi="Garamond" w:cs="Garamond"/>
          <w:color w:val="2A2A2A"/>
          <w:sz w:val="22"/>
          <w:szCs w:val="22"/>
        </w:rPr>
        <w:t xml:space="preserve">(d) The person last in the order of succession may not decline.</w:t>
      </w:r>
    </w:p>
    <w:p>
      <w:pPr>
        <w:spacing w:after="120"/>
        <w:ind w:left="431"/>
        <w:jc w:val="both"/>
      </w:pPr>
      <w:r>
        <w:rPr>
          <w:rFonts w:ascii="Garamond" w:eastAsia="Garamond" w:hAnsi="Garamond" w:cs="Garamond"/>
          <w:color w:val="2A2A2A"/>
          <w:sz w:val="22"/>
          <w:szCs w:val="22"/>
        </w:rPr>
        <w:t xml:space="preserve">(5) Duration. An incapacity under this section that has continued for 90 days ends by constitutional operation unless, before expiry, a removal process under §2.6 or §2.13 has been initiated against the Consul, in which case the incapacity continues until that process concludes.</w:t>
      </w:r>
    </w:p>
    <w:p w14:paraId="2CCB358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III — The Legislature</w:t>
      </w:r>
    </w:p>
    <w:p w14:paraId="0AD0B6E3" w14:textId="77777777" w:rsidR="00AF3D56" w:rsidRDefault="00000000">
      <w:pPr>
        <w:spacing w:before="200" w:after="60"/>
        <w:ind w:left="431"/>
      </w:pPr>
      <w:r>
        <w:rPr>
          <w:rFonts w:ascii="Courier New" w:eastAsia="Courier New" w:hAnsi="Courier New" w:cs="Courier New"/>
          <w:b/>
          <w:bCs/>
          <w:color w:val="2A2A2A"/>
          <w:sz w:val="18"/>
          <w:szCs w:val="18"/>
        </w:rPr>
        <w:t xml:space="preserve">§3.1  </w:t>
      </w:r>
      <w:r>
        <w:rPr>
          <w:rFonts w:ascii="Garamond" w:eastAsia="Garamond" w:hAnsi="Garamond" w:cs="Garamond"/>
          <w:i/>
          <w:iCs/>
          <w:color w:val="1B2A4A"/>
          <w:sz w:val="22"/>
          <w:szCs w:val="22"/>
        </w:rPr>
        <w:t>The Legislature</w:t>
      </w:r>
    </w:p>
    <w:p w14:paraId="0404E335" w14:textId="77777777" w:rsidR="00AF3D56" w:rsidRDefault="00000000">
      <w:pPr>
        <w:spacing w:after="120"/>
        <w:ind w:left="431"/>
        <w:jc w:val="both"/>
      </w:pPr>
      <w:r>
        <w:rPr>
          <w:rFonts w:ascii="Garamond" w:eastAsia="Garamond" w:hAnsi="Garamond" w:cs="Garamond"/>
          <w:color w:val="2A2A2A"/>
          <w:sz w:val="22"/>
          <w:szCs w:val="22"/>
        </w:rPr>
        <w:t>The Legislature comprises two chambers: the Assembly and the Senate. All legislation originates in the Assembly. The Senate reviews, may amend within the subject matter of the bill, and must act on every Assembly-passed bill within the period defined by statute, not to exceed 90 days — inaction triggers automatic deemed approval. In the absence of a statutory period, the Senate must act within 90 days of receipt. The Senate may, by majority of full seated membership, extend the review period for any bill by one additional period not to exceed 30 days, with stated cause published to the NRS; no further extension is available and deemed approval applies at expiry. Neither chamber may indefinitely delay business assigned to it by this constitution.</w:t>
      </w:r>
    </w:p>
    <w:p w14:paraId="4A8D1955" w14:textId="77777777" w:rsidR="00AF3D56" w:rsidRDefault="00000000">
      <w:pPr>
        <w:spacing w:before="200" w:after="60"/>
        <w:ind w:left="431"/>
      </w:pPr>
      <w:r>
        <w:rPr>
          <w:rFonts w:ascii="Courier New" w:eastAsia="Courier New" w:hAnsi="Courier New" w:cs="Courier New"/>
          <w:b/>
          <w:bCs/>
          <w:color w:val="2A2A2A"/>
          <w:sz w:val="18"/>
          <w:szCs w:val="18"/>
        </w:rPr>
        <w:t xml:space="preserve">§3.2  </w:t>
      </w:r>
      <w:r>
        <w:rPr>
          <w:rFonts w:ascii="Garamond" w:eastAsia="Garamond" w:hAnsi="Garamond" w:cs="Garamond"/>
          <w:i/>
          <w:iCs/>
          <w:color w:val="1B2A4A"/>
          <w:sz w:val="22"/>
          <w:szCs w:val="22"/>
        </w:rPr>
        <w:t>The Assembly</w:t>
      </w:r>
    </w:p>
    <w:p>
      <w:pPr>
        <w:spacing w:after="120"/>
        <w:ind w:left="431"/>
        <w:jc w:val="both"/>
      </w:pPr>
      <w:r>
        <w:rPr>
          <w:rFonts w:ascii="Garamond" w:eastAsia="Garamond" w:hAnsi="Garamond" w:cs="Garamond"/>
          <w:color w:val="2A2A2A"/>
          <w:sz w:val="22"/>
          <w:szCs w:val="22"/>
        </w:rPr>
        <w:t xml:space="preserve">(1) 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w:t>
      </w:r>
    </w:p>
    <w:p>
      <w:pPr>
        <w:spacing w:after="120"/>
        <w:ind w:left="431"/>
        <w:jc w:val="both"/>
      </w:pPr>
      <w:r>
        <w:rPr>
          <w:rFonts w:ascii="Garamond" w:eastAsia="Garamond" w:hAnsi="Garamond" w:cs="Garamond"/>
          <w:color w:val="2A2A2A"/>
          <w:sz w:val="22"/>
          <w:szCs w:val="22"/>
        </w:rPr>
        <w:t xml:space="preserve">(2) The census, conducted every ten years by a statutory independent agency, is the basis for reapportionment. The LM audits the census and allocation process.</w:t>
      </w:r>
    </w:p>
    <w:p>
      <w:pPr>
        <w:spacing w:after="120"/>
        <w:ind w:left="431"/>
        <w:jc w:val="both"/>
      </w:pPr>
      <w:r>
        <w:rPr>
          <w:rFonts w:ascii="Garamond" w:eastAsia="Garamond" w:hAnsi="Garamond" w:cs="Garamond"/>
          <w:color w:val="2A2A2A"/>
          <w:sz w:val="22"/>
          <w:szCs w:val="22"/>
        </w:rPr>
        <w:t xml:space="preserve">(3) The Assembly selects a Speaker from its own members by a method it establishes, provided the Speaker holds the support of a majority of full seated membership; the Speakership is a standing office, and its holder serves as Acting Civic Consul under §2.5 and §2.6.a. Quorum is a majority of full seated membership. The Assembly establishes its own internal procedures.</w:t>
      </w:r>
    </w:p>
    <w:p>
      <w:pPr>
        <w:spacing w:after="120"/>
        <w:ind w:left="431"/>
        <w:jc w:val="both"/>
      </w:pPr>
      <w:r>
        <w:rPr>
          <w:rFonts w:ascii="Garamond" w:eastAsia="Garamond" w:hAnsi="Garamond" w:cs="Garamond"/>
          <w:color w:val="2A2A2A"/>
          <w:sz w:val="22"/>
          <w:szCs w:val="22"/>
        </w:rPr>
        <w:t xml:space="preserve">(4) Members serve two-year terms. No member may serve more than six consecutive terms without sitting out one full electoral cycle; no cumulative lifetime restriction applies after the cooling-off period.</w:t>
      </w:r>
    </w:p>
    <w:p>
      <w:pPr>
        <w:spacing w:after="120"/>
        <w:ind w:left="431"/>
        <w:jc w:val="both"/>
      </w:pPr>
      <w:r>
        <w:rPr>
          <w:rFonts w:ascii="Garamond" w:eastAsia="Garamond" w:hAnsi="Garamond" w:cs="Garamond"/>
          <w:color w:val="2A2A2A"/>
          <w:sz w:val="22"/>
          <w:szCs w:val="22"/>
        </w:rPr>
        <w:t xml:space="preserve">(5) Any Assembly member who resigns, is expelled, or is removed by state recall at any point during a term shall be deemed to have served that full term for purposes of the consecutive-term limit.</w:t>
      </w:r>
    </w:p>
    <w:p>
      <w:pPr>
        <w:spacing w:after="120"/>
        <w:ind w:left="431"/>
        <w:jc w:val="both"/>
      </w:pPr>
      <w:r>
        <w:rPr>
          <w:rFonts w:ascii="Garamond" w:eastAsia="Garamond" w:hAnsi="Garamond" w:cs="Garamond"/>
          <w:color w:val="2A2A2A"/>
          <w:sz w:val="22"/>
          <w:szCs w:val="22"/>
        </w:rPr>
        <w:t xml:space="preserve">(6) Mid-term vacancies in Assembly seats are filled by special election administered by the Elections Panel; the Legislature establishes timing and procedures by statute, ensuring no seat remains vacant within the period defined by statute, not to exceed 90 days. The Assembly may expel a member by 2/3 vote of full seated membership; expulsion is published to the NRS and is effective immediately.</w:t>
      </w:r>
    </w:p>
    <w:p>
      <w:pPr>
        <w:spacing w:after="120"/>
        <w:ind w:left="431"/>
        <w:jc w:val="both"/>
      </w:pPr>
      <w:r>
        <w:rPr>
          <w:rFonts w:ascii="Garamond" w:eastAsia="Garamond" w:hAnsi="Garamond" w:cs="Garamond"/>
          <w:color w:val="2A2A2A"/>
          <w:sz w:val="22"/>
          <w:szCs w:val="22"/>
        </w:rPr>
        <w:t xml:space="preserve">(7) A State may establish by law a recall mechanism for its Assembly members; any such mechanism must operate as a political process, not a judicial proceeding, must not violate this Constitution, and must place the final recall decision with the State legislature or the State's eligible voters; no recall may proceed on the decision of an executive officer, administrative body, or court alone; where an Assembly member is recalled the seat is treated as vacant under this Constitution.</w:t>
      </w:r>
    </w:p>
    <w:p w14:paraId="1AD02533" w14:textId="77777777" w:rsidR="00AF3D56" w:rsidRDefault="00000000">
      <w:pPr>
        <w:spacing w:before="200" w:after="60"/>
        <w:ind w:left="431"/>
      </w:pPr>
      <w:r>
        <w:rPr>
          <w:rFonts w:ascii="Courier New" w:eastAsia="Courier New" w:hAnsi="Courier New" w:cs="Courier New"/>
          <w:b/>
          <w:bCs/>
          <w:color w:val="2A2A2A"/>
          <w:sz w:val="18"/>
          <w:szCs w:val="18"/>
        </w:rPr>
        <w:t xml:space="preserve">§3.3  </w:t>
      </w:r>
      <w:r>
        <w:rPr>
          <w:rFonts w:ascii="Garamond" w:eastAsia="Garamond" w:hAnsi="Garamond" w:cs="Garamond"/>
          <w:i/>
          <w:iCs/>
          <w:color w:val="1B2A4A"/>
          <w:sz w:val="22"/>
          <w:szCs w:val="22"/>
        </w:rPr>
        <w:t>Electoral Districts</w:t>
      </w:r>
    </w:p>
    <w:p w14:paraId="3E2FD7C4" w14:textId="77777777" w:rsidR="00AF3D56" w:rsidRDefault="00000000">
      <w:pPr>
        <w:spacing w:after="120"/>
        <w:ind w:left="431"/>
        <w:jc w:val="both"/>
      </w:pPr>
      <w:r>
        <w:rPr>
          <w:rFonts w:ascii="Garamond" w:eastAsia="Garamond" w:hAnsi="Garamond" w:cs="Garamond"/>
          <w:color w:val="2A2A2A"/>
          <w:sz w:val="22"/>
          <w:szCs w:val="22"/>
        </w:rPr>
        <w:t>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primary criteria.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14:paraId="4C75438F" w14:textId="77777777" w:rsidR="00AF3D56" w:rsidRDefault="00000000">
      <w:pPr>
        <w:spacing w:before="200" w:after="60"/>
        <w:ind w:left="431"/>
      </w:pPr>
      <w:r>
        <w:rPr>
          <w:rFonts w:ascii="Courier New" w:eastAsia="Courier New" w:hAnsi="Courier New" w:cs="Courier New"/>
          <w:b/>
          <w:bCs/>
          <w:color w:val="2A2A2A"/>
          <w:sz w:val="18"/>
          <w:szCs w:val="18"/>
        </w:rPr>
        <w:t xml:space="preserve">§3.4  </w:t>
      </w:r>
      <w:r>
        <w:rPr>
          <w:rFonts w:ascii="Garamond" w:eastAsia="Garamond" w:hAnsi="Garamond" w:cs="Garamond"/>
          <w:i/>
          <w:iCs/>
          <w:color w:val="1B2A4A"/>
          <w:sz w:val="22"/>
          <w:szCs w:val="22"/>
        </w:rPr>
        <w:t>Legislative Standards</w:t>
      </w:r>
    </w:p>
    <w:p w14:paraId="49AD981F" w14:textId="77777777" w:rsidR="00AF3D56" w:rsidRDefault="00000000">
      <w:pPr>
        <w:spacing w:after="120"/>
        <w:ind w:left="431"/>
        <w:jc w:val="both"/>
      </w:pPr>
      <w:r>
        <w:rPr>
          <w:rFonts w:ascii="Garamond" w:eastAsia="Garamond" w:hAnsi="Garamond" w:cs="Garamond"/>
          <w:color w:val="2A2A2A"/>
          <w:sz w:val="22"/>
          <w:szCs w:val="22"/>
        </w:rPr>
        <w:t xml:space="preserve">Every bill must address a single, clearly defined subject. Any member or approval body in the legislative process may request an LM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The Legislature must establish a joint ethics committee with authority to </w:t>
        <w:lastRenderedPageBreak/>
        <w:t>sanction and refer members; removal requires 2/3 of the relevant chamber; under §9.1, the chamber may request an LM assessment to inform the proceeding.</w:t>
      </w:r>
    </w:p>
    <w:p w14:paraId="23B1A891" w14:textId="77777777" w:rsidR="00AF3D56" w:rsidRDefault="00000000">
      <w:pPr>
        <w:spacing w:before="200" w:after="60"/>
        <w:ind w:left="431"/>
      </w:pPr>
      <w:r>
        <w:rPr>
          <w:rFonts w:ascii="Courier New" w:eastAsia="Courier New" w:hAnsi="Courier New" w:cs="Courier New"/>
          <w:b/>
          <w:bCs/>
          <w:color w:val="2A2A2A"/>
          <w:sz w:val="18"/>
          <w:szCs w:val="18"/>
        </w:rPr>
        <w:t xml:space="preserve">§3.5  </w:t>
      </w:r>
      <w:r>
        <w:rPr>
          <w:rFonts w:ascii="Garamond" w:eastAsia="Garamond" w:hAnsi="Garamond" w:cs="Garamond"/>
          <w:i/>
          <w:iCs/>
          <w:color w:val="1B2A4A"/>
          <w:sz w:val="22"/>
          <w:szCs w:val="22"/>
        </w:rPr>
        <w:t>The Senate</w:t>
      </w:r>
    </w:p>
    <w:p>
      <w:pPr>
        <w:spacing w:after="120"/>
        <w:ind w:left="431"/>
        <w:jc w:val="both"/>
      </w:pPr>
      <w:r>
        <w:rPr>
          <w:rFonts w:ascii="Garamond" w:eastAsia="Garamond" w:hAnsi="Garamond" w:cs="Garamond"/>
          <w:color w:val="2A2A2A"/>
          <w:sz w:val="22"/>
          <w:szCs w:val="22"/>
        </w:rPr>
        <w:t xml:space="preserve">(1) The Senate comprises two senators per State regardless of population, elected for six-year staggered terms.</w:t>
      </w:r>
    </w:p>
    <w:p>
      <w:pPr>
        <w:spacing w:after="120"/>
        <w:ind w:left="431"/>
        <w:jc w:val="both"/>
      </w:pPr>
      <w:r>
        <w:rPr>
          <w:rFonts w:ascii="Garamond" w:eastAsia="Garamond" w:hAnsi="Garamond" w:cs="Garamond"/>
          <w:color w:val="2A2A2A"/>
          <w:sz w:val="22"/>
          <w:szCs w:val="22"/>
        </w:rPr>
        <w:t xml:space="preserve">(2)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w:t>
      </w:r>
    </w:p>
    <w:p>
      <w:pPr>
        <w:spacing w:after="120"/>
        <w:ind w:left="431"/>
        <w:jc w:val="both"/>
      </w:pPr>
      <w:r>
        <w:rPr>
          <w:rFonts w:ascii="Garamond" w:eastAsia="Garamond" w:hAnsi="Garamond" w:cs="Garamond"/>
          <w:color w:val="2A2A2A"/>
          <w:sz w:val="22"/>
          <w:szCs w:val="22"/>
        </w:rPr>
        <w:t xml:space="preserve">(3) No senator may serve more than two consecutive terms without sitting out one full term; no cumulative lifetime restriction applies after the cooling-off period.</w:t>
      </w:r>
    </w:p>
    <w:p>
      <w:pPr>
        <w:spacing w:after="120"/>
        <w:ind w:left="431"/>
        <w:jc w:val="both"/>
      </w:pPr>
      <w:r>
        <w:rPr>
          <w:rFonts w:ascii="Garamond" w:eastAsia="Garamond" w:hAnsi="Garamond" w:cs="Garamond"/>
          <w:color w:val="2A2A2A"/>
          <w:sz w:val="22"/>
          <w:szCs w:val="22"/>
        </w:rPr>
        <w:t xml:space="preserve">(4) Any senator who resigns, is expelled, or is removed by state recall at any point during a term shall be deemed to have served that full term for purposes of the consecutive-term limit.</w:t>
      </w:r>
    </w:p>
    <w:p>
      <w:pPr>
        <w:spacing w:after="120"/>
        <w:ind w:left="431"/>
        <w:jc w:val="both"/>
      </w:pPr>
      <w:r>
        <w:rPr>
          <w:rFonts w:ascii="Garamond" w:eastAsia="Garamond" w:hAnsi="Garamond" w:cs="Garamond"/>
          <w:color w:val="2A2A2A"/>
          <w:sz w:val="22"/>
          <w:szCs w:val="22"/>
        </w:rPr>
        <w:t xml:space="preserve">(5) The Senate Speaker is elected by senators and may not serve more than two consecutive full Senate terms as Speaker without sitting out one full Senate term.</w:t>
      </w:r>
    </w:p>
    <w:p>
      <w:pPr>
        <w:spacing w:after="120"/>
        <w:ind w:left="431"/>
        <w:jc w:val="both"/>
      </w:pPr>
      <w:r>
        <w:rPr>
          <w:rFonts w:ascii="Garamond" w:eastAsia="Garamond" w:hAnsi="Garamond" w:cs="Garamond"/>
          <w:color w:val="2A2A2A"/>
          <w:sz w:val="22"/>
          <w:szCs w:val="22"/>
        </w:rPr>
        <w:t xml:space="preserve">(6) The Senate defines its own internal procedures. The Senate may expel a member by 2/3 vote of full seated membership; expulsion is published to the NRS and is effective immediately.</w:t>
      </w:r>
    </w:p>
    <w:p>
      <w:pPr>
        <w:spacing w:after="120"/>
        <w:ind w:left="431"/>
        <w:jc w:val="both"/>
      </w:pPr>
      <w:r>
        <w:rPr>
          <w:rFonts w:ascii="Garamond" w:eastAsia="Garamond" w:hAnsi="Garamond" w:cs="Garamond"/>
          <w:color w:val="2A2A2A"/>
          <w:sz w:val="22"/>
          <w:szCs w:val="22"/>
        </w:rPr>
        <w:t xml:space="preserve">(7) A State may establish by law a recall mechanism for its senators; any such mechanism must operate as a political process, not a judicial proceeding, must not violate this Constitution, and must place the final recall decision with the State legislature or the State's eligible voters; no recall may proceed on the decision of an executive officer, administrative body, or court alone; where a senator is recalled the seat is treated as vacant under this Constitution.</w:t>
      </w:r>
    </w:p>
    <w:p>
      <w:pPr>
        <w:spacing w:after="120"/>
        <w:ind w:left="431"/>
        <w:jc w:val="both"/>
      </w:pPr>
      <w:r>
        <w:rPr>
          <w:rFonts w:ascii="Garamond" w:eastAsia="Garamond" w:hAnsi="Garamond" w:cs="Garamond"/>
          <w:color w:val="2A2A2A"/>
          <w:sz w:val="22"/>
          <w:szCs w:val="22"/>
        </w:rPr>
        <w:t xml:space="preserve">(8) The Senate holds exclusive authority over:</w:t>
      </w:r>
    </w:p>
    <w:p>
      <w:pPr>
        <w:spacing w:after="120"/>
        <w:ind w:left="720"/>
        <w:jc w:val="both"/>
      </w:pPr>
      <w:r>
        <w:rPr>
          <w:rFonts w:ascii="Garamond" w:eastAsia="Garamond" w:hAnsi="Garamond" w:cs="Garamond"/>
          <w:color w:val="2A2A2A"/>
          <w:sz w:val="22"/>
          <w:szCs w:val="22"/>
        </w:rPr>
        <w:t xml:space="preserve">— judicial confirmation;</w:t>
      </w:r>
    </w:p>
    <w:p>
      <w:pPr>
        <w:spacing w:after="120"/>
        <w:ind w:left="720"/>
        <w:jc w:val="both"/>
      </w:pPr>
      <w:r>
        <w:rPr>
          <w:rFonts w:ascii="Garamond" w:eastAsia="Garamond" w:hAnsi="Garamond" w:cs="Garamond"/>
          <w:color w:val="2A2A2A"/>
          <w:sz w:val="22"/>
          <w:szCs w:val="22"/>
        </w:rPr>
        <w:t xml:space="preserve">— treaty ratification by 2/3 of full seated membership;</w:t>
      </w:r>
    </w:p>
    <w:p>
      <w:pPr>
        <w:spacing w:after="120"/>
        <w:ind w:left="720"/>
        <w:jc w:val="both"/>
      </w:pPr>
      <w:r>
        <w:rPr>
          <w:rFonts w:ascii="Garamond" w:eastAsia="Garamond" w:hAnsi="Garamond" w:cs="Garamond"/>
          <w:color w:val="2A2A2A"/>
          <w:sz w:val="22"/>
          <w:szCs w:val="22"/>
        </w:rPr>
        <w:t xml:space="preserve">— and, in the absence of a functioning Elections Panel, administration of the consular election.</w:t>
      </w:r>
    </w:p>
    <w:p>
      <w:pPr>
        <w:spacing w:after="120"/>
        <w:ind w:left="431"/>
        <w:jc w:val="both"/>
      </w:pPr>
      <w:r>
        <w:rPr>
          <w:rFonts w:ascii="Garamond" w:eastAsia="Garamond" w:hAnsi="Garamond" w:cs="Garamond"/>
          <w:color w:val="2A2A2A"/>
          <w:sz w:val="22"/>
          <w:szCs w:val="22"/>
        </w:rPr>
        <w:t xml:space="preserve">(9) The Senate may not initiate legislation; all bills originate in the Assembly.</w:t>
      </w:r>
    </w:p>
    <w:p w14:paraId="1D954380" w14:textId="77777777" w:rsidR="00AF3D56" w:rsidRDefault="00000000">
      <w:pPr>
        <w:spacing w:before="200" w:after="60"/>
        <w:ind w:left="431"/>
      </w:pPr>
      <w:r>
        <w:rPr>
          <w:rFonts w:ascii="Courier New" w:eastAsia="Courier New" w:hAnsi="Courier New" w:cs="Courier New"/>
          <w:b/>
          <w:bCs/>
          <w:color w:val="2A2A2A"/>
          <w:sz w:val="18"/>
          <w:szCs w:val="18"/>
        </w:rPr>
        <w:t xml:space="preserve">§3.6  </w:t>
      </w:r>
      <w:r>
        <w:rPr>
          <w:rFonts w:ascii="Garamond" w:eastAsia="Garamond" w:hAnsi="Garamond" w:cs="Garamond"/>
          <w:i/>
          <w:iCs/>
          <w:color w:val="1B2A4A"/>
          <w:sz w:val="22"/>
          <w:szCs w:val="22"/>
        </w:rPr>
        <w:t>Treaty and Trade Agreement Ratification</w:t>
      </w:r>
    </w:p>
    <w:p w14:paraId="024B57DA" w14:textId="77777777" w:rsidR="00AF3D56" w:rsidRDefault="00000000">
      <w:pPr>
        <w:spacing w:after="120"/>
        <w:ind w:left="431"/>
        <w:jc w:val="both"/>
      </w:pPr>
      <w:r>
        <w:rPr>
          <w:rFonts w:ascii="Garamond" w:eastAsia="Garamond" w:hAnsi="Garamond" w:cs="Garamond"/>
          <w:color w:val="2A2A2A"/>
          <w:sz w:val="22"/>
          <w:szCs w:val="22"/>
        </w:rPr>
        <w:t>Treaty and compact agreement ratification requires 2/3 of the full seated Senate. Trade agreements concluded by the Legat Consul take effect upon approval by simple majority of both chambers; neither chamber may amend the terms of a concluded agreement.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The Senate must affirm withdrawal by 2/3 of its full seated membership within the period defined by statute, not to exceed 90 days; where the Senate does not affirm within that period, the notice is void and the Legat Consul must resubmit. Indigenous treaties under Article XVI may not be unilaterally withdrawn.</w:t>
      </w:r>
    </w:p>
    <w:p w14:paraId="1F75EB36" w14:textId="77777777" w:rsidR="00AF3D56" w:rsidRDefault="00000000">
      <w:pPr>
        <w:spacing w:before="200" w:after="60"/>
        <w:ind w:left="431"/>
      </w:pPr>
      <w:r>
        <w:rPr>
          <w:rFonts w:ascii="Courier New" w:eastAsia="Courier New" w:hAnsi="Courier New" w:cs="Courier New"/>
          <w:b/>
          <w:bCs/>
          <w:color w:val="2A2A2A"/>
          <w:sz w:val="18"/>
          <w:szCs w:val="18"/>
        </w:rPr>
        <w:t xml:space="preserve">§3.6.a  </w:t>
      </w:r>
      <w:r>
        <w:rPr>
          <w:rFonts w:ascii="Garamond" w:eastAsia="Garamond" w:hAnsi="Garamond" w:cs="Garamond"/>
          <w:i/>
          <w:iCs/>
          <w:color w:val="1B2A4A"/>
          <w:sz w:val="22"/>
          <w:szCs w:val="22"/>
        </w:rPr>
        <w:t>Classification and Dispute Resolution</w:t>
      </w:r>
    </w:p>
    <w:p w14:paraId="09CD461F" w14:textId="77777777" w:rsidR="00AF3D56" w:rsidRDefault="00000000">
      <w:pPr>
        <w:spacing w:after="120"/>
        <w:ind w:left="431"/>
        <w:jc w:val="both"/>
      </w:pPr>
      <w:r>
        <w:rPr>
          <w:rFonts w:ascii="Garamond" w:eastAsia="Garamond" w:hAnsi="Garamond" w:cs="Garamond"/>
          <w:color w:val="2A2A2A"/>
          <w:sz w:val="22"/>
          <w:szCs w:val="22"/>
        </w:rPr>
        <w:t>Where the Senate disputes the Legat Consul's classification of an international instrument as a trade agreement, the instrument is treated as a treaty pending resolution. Either party may seek expedited judicial determination of the classification; the applicable court and process are defined by statute.</w:t>
      </w:r>
    </w:p>
    <w:p w14:paraId="2307D307" w14:textId="77777777" w:rsidR="00AF3D56" w:rsidRDefault="00000000">
      <w:pPr>
        <w:spacing w:before="200" w:after="60"/>
        <w:ind w:left="431"/>
      </w:pPr>
      <w:r>
        <w:rPr>
          <w:rFonts w:ascii="Courier New" w:eastAsia="Courier New" w:hAnsi="Courier New" w:cs="Courier New"/>
          <w:b/>
          <w:bCs/>
          <w:color w:val="2A2A2A"/>
          <w:sz w:val="18"/>
          <w:szCs w:val="18"/>
        </w:rPr>
        <w:t xml:space="preserve">§3.7  </w:t>
      </w:r>
      <w:r>
        <w:rPr>
          <w:rFonts w:ascii="Garamond" w:eastAsia="Garamond" w:hAnsi="Garamond" w:cs="Garamond"/>
          <w:i/>
          <w:iCs/>
          <w:color w:val="1B2A4A"/>
          <w:sz w:val="22"/>
          <w:szCs w:val="22"/>
        </w:rPr>
        <w:t>Legislative Process and Passage</w:t>
      </w:r>
    </w:p>
    <w:p w14:paraId="7E377D1E" w14:textId="77777777" w:rsidR="00AF3D56" w:rsidRDefault="00000000">
      <w:pPr>
        <w:spacing w:after="120"/>
        <w:ind w:left="431"/>
        <w:jc w:val="both"/>
      </w:pPr>
      <w:r>
        <w:rPr>
          <w:rFonts w:ascii="Garamond" w:eastAsia="Garamond" w:hAnsi="Garamond" w:cs="Garamond"/>
          <w:color w:val="2A2A2A"/>
          <w:sz w:val="22"/>
          <w:szCs w:val="22"/>
        </w:rPr>
        <w:t>Bills pass by absolute majority of the full seated membership of both chambers. Higher thresholds apply to constitutional amendments, veto overrides, removal proceedings, and other matters specified in this constitution; where a higher threshold is specified for a vote of a single chamber, it applies to the full seated membership of that chamber.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non-fulfillment directly impairs the exercise of a right guaranteed in Article I, affected parties may bring direct constitutional claims.</w:t>
      </w:r>
    </w:p>
    <w:p w14:paraId="31C7F657"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§3.8  </w:t>
      </w:r>
      <w:r>
        <w:rPr>
          <w:rFonts w:ascii="Garamond" w:eastAsia="Garamond" w:hAnsi="Garamond" w:cs="Garamond"/>
          <w:i/>
          <w:iCs/>
          <w:color w:val="1B2A4A"/>
          <w:sz w:val="22"/>
          <w:szCs w:val="22"/>
        </w:rPr>
        <w:t>Legislative Oversight</w:t>
      </w:r>
    </w:p>
    <w:p w14:paraId="45413DAD" w14:textId="77777777" w:rsidR="0088569E" w:rsidRDefault="00000000" w:rsidP="0088569E">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consistent with §1.22; it does not extend to criminal conduct.</w:t>
      </w:r>
    </w:p>
    <w:p w14:paraId="07D07263" w14:textId="0CB2DFD2" w:rsidR="00AF3D56" w:rsidRDefault="00000000" w:rsidP="0088569E">
      <w:pPr>
        <w:spacing w:after="120"/>
        <w:ind w:left="431"/>
        <w:jc w:val="both"/>
      </w:pPr>
      <w:r>
        <w:rPr>
          <w:rFonts w:ascii="Courier New" w:eastAsia="Courier New" w:hAnsi="Courier New" w:cs="Courier New"/>
          <w:b/>
          <w:bCs/>
          <w:color w:val="2A2A2A"/>
          <w:sz w:val="18"/>
          <w:szCs w:val="18"/>
        </w:rPr>
        <w:t xml:space="preserve">§3.9  </w:t>
      </w:r>
      <w:r>
        <w:rPr>
          <w:rFonts w:ascii="Garamond" w:eastAsia="Garamond" w:hAnsi="Garamond" w:cs="Garamond"/>
          <w:i/>
          <w:iCs/>
          <w:color w:val="1B2A4A"/>
          <w:sz w:val="22"/>
          <w:szCs w:val="22"/>
        </w:rPr>
        <w:t>Independent Statutory Agencies</w:t>
      </w:r>
    </w:p>
    <w:p w14:paraId="62C10486" w14:textId="77777777" w:rsidR="00AF3D56" w:rsidRDefault="00000000">
      <w:pPr>
        <w:spacing w:after="120"/>
        <w:ind w:left="431"/>
        <w:jc w:val="both"/>
      </w:pPr>
      <w:r>
        <w:rPr>
          <w:rFonts w:ascii="Garamond" w:eastAsia="Garamond" w:hAnsi="Garamond" w:cs="Garamond"/>
          <w:color w:val="2A2A2A"/>
          <w:sz w:val="22"/>
          <w:szCs w:val="22"/>
        </w:rPr>
        <w:t>The Legislature may establish independent agencies operating outside the authority of both executives. Where this Constitution assigns a function to an independent agency, the Legislature must establish it. Directors of constitutionally mandated independent agencies serve fixed terms defined by statute and are removable for cause only; cause must relate to conduct, competence, or a disqualifying offense under §3.12 and may not include policy disagreement with the Legislature or either executive. The appointment process and oversight mechanism for each agency are established by statute in a manner consistent with this independence protection. Qualification standards established by statute for appointment to a constitutionally mandated independent agency must be facially neutral and may not be designed to exclude otherwise qualified candidates on the basis of policy view, party affiliation, or prior public criticism of the Legislature or either executive.</w:t>
      </w:r>
    </w:p>
    <w:p w14:paraId="21D76A3D" w14:textId="77777777" w:rsidR="00AF3D56" w:rsidRDefault="00000000">
      <w:pPr>
        <w:spacing w:before="200" w:after="60"/>
        <w:ind w:left="431"/>
      </w:pPr>
      <w:r>
        <w:rPr>
          <w:rFonts w:ascii="Courier New" w:eastAsia="Courier New" w:hAnsi="Courier New" w:cs="Courier New"/>
          <w:b/>
          <w:bCs/>
          <w:color w:val="2A2A2A"/>
          <w:sz w:val="18"/>
          <w:szCs w:val="18"/>
        </w:rPr>
        <w:t xml:space="preserve">§3.10  </w:t>
      </w:r>
      <w:r>
        <w:rPr>
          <w:rFonts w:ascii="Garamond" w:eastAsia="Garamond" w:hAnsi="Garamond" w:cs="Garamond"/>
          <w:i/>
          <w:iCs/>
          <w:color w:val="1B2A4A"/>
          <w:sz w:val="22"/>
          <w:szCs w:val="22"/>
        </w:rPr>
        <w:t>Removal Pathways</w:t>
      </w:r>
    </w:p>
    <w:p w:rsidR="00AF3D56" w:rsidRDefault="00000000">
      <w:pPr>
        <w:spacing w:after="120"/>
        <w:ind w:left="431"/>
        <w:jc w:val="both"/>
      </w:pPr>
      <w:r>
        <w:rPr>
          <w:rFonts w:ascii="Garamond" w:eastAsia="Garamond" w:hAnsi="Garamond" w:cs="Garamond"/>
          <w:color w:val="2A2A2A"/>
          <w:sz w:val="22"/>
          <w:szCs w:val="22"/>
        </w:rPr>
        <w:t>Removal of constitutional officers proceeds exclusively as this Constitution provides: the Legat Consul under §2.13; the Civic Consul under §2.6; Supreme Court justices under §4.3.a; inferior court judges under §4.2; members of the Legislature by their own chamber under §3.2 or §3.5, or by State recall as recognized there; Legat Consul domain officers by the Senate under §2.4; ministers at the pleasure of the Civic Consul under §2.5; and constitutionally confirmed independent officers under §9.9. Criminal liability remains separately pursuable. No removal mechanism not provided for in this Constitution may be created by statute.</w:t>
      </w:r>
    </w:p>
    <w:p w14:paraId="643CB309" w14:textId="77777777" w:rsidR="00AF3D56" w:rsidRDefault="00000000">
      <w:pPr>
        <w:spacing w:before="200" w:after="60"/>
        <w:ind w:left="431"/>
      </w:pPr>
      <w:r>
        <w:rPr>
          <w:rFonts w:ascii="Courier New" w:eastAsia="Courier New" w:hAnsi="Courier New" w:cs="Courier New"/>
          <w:b/>
          <w:bCs/>
          <w:color w:val="2A2A2A"/>
          <w:sz w:val="18"/>
          <w:szCs w:val="18"/>
        </w:rPr>
        <w:t xml:space="preserve">§3.11  </w:t>
      </w:r>
      <w:r>
        <w:rPr>
          <w:rFonts w:ascii="Garamond" w:eastAsia="Garamond" w:hAnsi="Garamond" w:cs="Garamond"/>
          <w:i/>
          <w:iCs/>
          <w:color w:val="1B2A4A"/>
          <w:sz w:val="22"/>
          <w:szCs w:val="22"/>
        </w:rPr>
        <w:t>Inviolability of Electoral Mandates</w:t>
      </w:r>
    </w:p>
    <w:p w14:paraId="07AD5516" w14:textId="77777777" w:rsidR="00AF3D56" w:rsidRDefault="00000000">
      <w:pPr>
        <w:spacing w:after="120"/>
        <w:ind w:left="431"/>
        <w:jc w:val="both"/>
      </w:pPr>
      <w:r>
        <w:rPr>
          <w:rFonts w:ascii="Garamond" w:eastAsia="Garamond" w:hAnsi="Garamond" w:cs="Garamond"/>
          <w:color w:val="2A2A2A"/>
          <w:sz w:val="22"/>
          <w:szCs w:val="22"/>
        </w:rPr>
        <w:t>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§3.2 or §3.5; and removal under the provisions enumerated in §3.10. Any mechanism enabling the people themselves to shorten an elected mandate not already provided in this Constitution requires a constitutional amendment under Article XVII and may not be established by ordinary statute. Expulsion, recall, and removal under any provision of this Constitution are civil and political processes; they do not constitute criminal or civil legal proceedings and do not protect the removed officer from criminal prosecution or civil liability for underlying conduct.</w:t>
      </w:r>
    </w:p>
    <w:p w14:paraId="1FA5E74A" w14:textId="77777777" w:rsidR="00AF3D56" w:rsidRDefault="00000000">
      <w:pPr>
        <w:spacing w:before="200" w:after="60"/>
        <w:ind w:left="431"/>
      </w:pPr>
      <w:r>
        <w:rPr>
          <w:rFonts w:ascii="Courier New" w:eastAsia="Courier New" w:hAnsi="Courier New" w:cs="Courier New"/>
          <w:b/>
          <w:bCs/>
          <w:color w:val="2A2A2A"/>
          <w:sz w:val="18"/>
          <w:szCs w:val="18"/>
        </w:rPr>
        <w:t xml:space="preserve">§3.12  </w:t>
      </w:r>
      <w:r>
        <w:rPr>
          <w:rFonts w:ascii="Garamond" w:eastAsia="Garamond" w:hAnsi="Garamond" w:cs="Garamond"/>
          <w:i/>
          <w:iCs/>
          <w:color w:val="1B2A4A"/>
          <w:sz w:val="22"/>
          <w:szCs w:val="22"/>
        </w:rPr>
        <w:t>Disqualifying Offense</w:t>
      </w:r>
    </w:p>
    <w:p w14:paraId="3AA6C17F" w14:textId="77777777" w:rsidR="00AF3D56" w:rsidRDefault="00000000">
      <w:pPr>
        <w:spacing w:after="120"/>
        <w:ind w:left="431"/>
        <w:jc w:val="both"/>
      </w:pPr>
      <w:r>
        <w:rPr>
          <w:rFonts w:ascii="Garamond" w:eastAsia="Garamond" w:hAnsi="Garamond" w:cs="Garamond"/>
          <w:color w:val="2A2A2A"/>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disqualifying offense is a ground for the removal of a person already holding office under the provisions that reference it; it does not govern eligibility to seek or hold federal office, which is governed exclusively by §7.4. A pardon granted under §2.12 does not clear the offense's status as a disqualifying offense unless the pardoning instrument expressly states that this status is cleared and the EM publishes to the NRS that the pardoning instrument expressly so states. Where a conviction is </w:t>
        <w:lastRenderedPageBreak/>
        <w:t>under appeal at the time a relevant constitutional determination is made, the conviction stands for constitutional purposes unless and until it is reversed by a court of competent jurisdiction.</w:t>
      </w:r>
    </w:p>
    <w:p w14:paraId="2A5A0725" w14:textId="77777777" w:rsidR="00AF3D56" w:rsidRDefault="00000000">
      <w:pPr>
        <w:spacing w:before="200" w:after="60"/>
        <w:ind w:left="431"/>
      </w:pPr>
      <w:r>
        <w:rPr>
          <w:rFonts w:ascii="Courier New" w:eastAsia="Courier New" w:hAnsi="Courier New" w:cs="Courier New"/>
          <w:b/>
          <w:bCs/>
          <w:color w:val="2A2A2A"/>
          <w:sz w:val="18"/>
          <w:szCs w:val="18"/>
        </w:rPr>
        <w:t xml:space="preserve">§3.13  </w:t>
      </w:r>
      <w:r>
        <w:rPr>
          <w:rFonts w:ascii="Garamond" w:eastAsia="Garamond" w:hAnsi="Garamond" w:cs="Garamond"/>
          <w:i/>
          <w:iCs/>
          <w:color w:val="1B2A4A"/>
          <w:sz w:val="22"/>
          <w:szCs w:val="22"/>
        </w:rPr>
        <w:t>Continuity of Constitutionally Mandated Offices</w:t>
      </w:r>
    </w:p>
    <w:p w14:paraId="5AD0E065" w14:textId="77777777" w:rsidR="00AF3D56" w:rsidRDefault="00000000">
      <w:pPr>
        <w:spacing w:after="120"/>
        <w:ind w:left="431"/>
        <w:jc w:val="both"/>
      </w:pPr>
      <w:r>
        <w:rPr>
          <w:rFonts w:ascii="Garamond" w:eastAsia="Garamond" w:hAnsi="Garamond" w:cs="Garamond"/>
          <w:color w:val="2A2A2A"/>
          <w:sz w:val="22"/>
          <w:szCs w:val="22"/>
        </w:rPr>
        <w:t>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14:paraId="1A3D673F" w14:textId="77777777" w:rsidR="00AF3D56" w:rsidRDefault="00000000">
      <w:pPr>
        <w:spacing w:before="200" w:after="60"/>
        <w:ind w:left="431"/>
      </w:pPr>
      <w:r>
        <w:rPr>
          <w:rFonts w:ascii="Courier New" w:eastAsia="Courier New" w:hAnsi="Courier New" w:cs="Courier New"/>
          <w:b/>
          <w:bCs/>
          <w:color w:val="2A2A2A"/>
          <w:sz w:val="18"/>
          <w:szCs w:val="18"/>
        </w:rPr>
        <w:t xml:space="preserve">§3.14  </w:t>
      </w:r>
      <w:r>
        <w:rPr>
          <w:rFonts w:ascii="Garamond" w:eastAsia="Garamond" w:hAnsi="Garamond" w:cs="Garamond"/>
          <w:i/>
          <w:iCs/>
          <w:color w:val="1B2A4A"/>
          <w:sz w:val="22"/>
          <w:szCs w:val="22"/>
        </w:rPr>
        <w:t>Federal Legislative Competence</w:t>
      </w:r>
    </w:p>
    <w:p w14:paraId="40AEAC96" w14:textId="77777777" w:rsidR="00AF3D56" w:rsidRDefault="00000000">
      <w:pPr>
        <w:spacing w:after="120"/>
        <w:ind w:left="431"/>
        <w:jc w:val="both"/>
      </w:pPr>
      <w:r>
        <w:rPr>
          <w:rFonts w:ascii="Garamond" w:eastAsia="Garamond" w:hAnsi="Garamond" w:cs="Garamond"/>
          <w:color w:val="2A2A2A"/>
          <w:sz w:val="22"/>
          <w:szCs w:val="22"/>
        </w:rPr>
        <w:t>The Legislature holds general authority to legislate for the peace, order, and good governance of the Republic. It may not enact legislation that destroys the capacity of States to govern themselves as self-governing communities. Where federal law and State law conflict, federal law prevails to the extent of the conflict. The Legislature may set minimum standards that States must meet but may not direct State institutions as instruments of federal administration. Where this Constitution directs that a function, standard, procedure, or framework be established, defined, or regulated, that obligation is fulfilled by statute unless this Constitution specifies otherwise. No executive or administrative act may substitute for legislation where this Constitution requires statutory action.</w:t>
      </w:r>
    </w:p>
    <w:p w14:paraId="081FC206" w14:textId="77777777" w:rsidR="00AF3D56" w:rsidRDefault="00000000">
      <w:pPr>
        <w:spacing w:before="200" w:after="60"/>
        <w:ind w:left="431"/>
      </w:pPr>
      <w:r>
        <w:rPr>
          <w:rFonts w:ascii="Courier New" w:eastAsia="Courier New" w:hAnsi="Courier New" w:cs="Courier New"/>
          <w:b/>
          <w:bCs/>
          <w:color w:val="2A2A2A"/>
          <w:sz w:val="18"/>
          <w:szCs w:val="18"/>
        </w:rPr>
        <w:t xml:space="preserve">§3.15  </w:t>
      </w:r>
      <w:r>
        <w:rPr>
          <w:rFonts w:ascii="Garamond" w:eastAsia="Garamond" w:hAnsi="Garamond" w:cs="Garamond"/>
          <w:i/>
          <w:iCs/>
          <w:color w:val="1B2A4A"/>
          <w:sz w:val="22"/>
          <w:szCs w:val="22"/>
        </w:rPr>
        <w:t>Delegation of Authority</w:t>
      </w:r>
    </w:p>
    <w:p w14:paraId="45631741" w14:textId="77777777" w:rsidR="00AF3D56" w:rsidRDefault="00000000">
      <w:pPr>
        <w:spacing w:after="120"/>
        <w:ind w:left="431"/>
        <w:jc w:val="both"/>
      </w:pPr>
      <w:r>
        <w:rPr>
          <w:rFonts w:ascii="Garamond" w:eastAsia="Garamond" w:hAnsi="Garamond" w:cs="Garamond"/>
          <w:color w:val="2A2A2A"/>
          <w:sz w:val="22"/>
          <w:szCs w:val="22"/>
        </w:rPr>
        <w:t>The Legislature may by statute delegate defined authorities within its legislative competence to the Legat Consul, the Civic Consul, or independent agencies established under §3.9. Any delegation must specify the exact scope of authority delegated, the conditions on its exercise, and a maximum duration not to exceed the term of the Legislature that enacted it. The Legislature may rescind any delegation by simple majority of both chambers at any time; no recipient of delegated authority may obstruct or condition rescission. No delegation creates a permanent transfer of legislative competence. Every exercise of delegated authority is published to the NRS with attribution to both the legislative grant and the recipient's act. The EM audits the exercise of all delegated executive authority annually and publishes findings to the NRS.</w:t>
      </w:r>
    </w:p>
    <w:p w14:paraId="057FDF80"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IV — The Judicial Architecture</w:t>
      </w:r>
    </w:p>
    <w:p w14:paraId="15ADDE89" w14:textId="77777777" w:rsidR="00AF3D56" w:rsidRDefault="00000000">
      <w:pPr>
        <w:spacing w:before="200" w:after="60"/>
        <w:ind w:left="431"/>
      </w:pPr>
      <w:r>
        <w:rPr>
          <w:rFonts w:ascii="Courier New" w:eastAsia="Courier New" w:hAnsi="Courier New" w:cs="Courier New"/>
          <w:b/>
          <w:bCs/>
          <w:color w:val="2A2A2A"/>
          <w:sz w:val="18"/>
          <w:szCs w:val="18"/>
        </w:rPr>
        <w:t xml:space="preserve">§4.1  </w:t>
      </w:r>
      <w:r>
        <w:rPr>
          <w:rFonts w:ascii="Garamond" w:eastAsia="Garamond" w:hAnsi="Garamond" w:cs="Garamond"/>
          <w:i/>
          <w:iCs/>
          <w:color w:val="1B2A4A"/>
          <w:sz w:val="22"/>
          <w:szCs w:val="22"/>
        </w:rPr>
        <w:t>Court Structure</w:t>
      </w:r>
    </w:p>
    <w:p w14:paraId="4A3EE79D" w14:textId="77777777" w:rsidR="00AF3D56" w:rsidRDefault="00000000">
      <w:pPr>
        <w:spacing w:after="120"/>
        <w:ind w:left="431"/>
        <w:jc w:val="both"/>
      </w:pPr>
      <w:r>
        <w:rPr>
          <w:rFonts w:ascii="Garamond" w:eastAsia="Garamond" w:hAnsi="Garamond" w:cs="Garamond"/>
          <w:color w:val="2A2A2A"/>
          <w:sz w:val="22"/>
          <w:szCs w:val="22"/>
        </w:rPr>
        <w:t>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14:paraId="6A485490" w14:textId="77777777" w:rsidR="00AF3D56" w:rsidRDefault="00000000">
      <w:pPr>
        <w:spacing w:before="200" w:after="60"/>
        <w:ind w:left="431"/>
      </w:pPr>
      <w:r>
        <w:rPr>
          <w:rFonts w:ascii="Courier New" w:eastAsia="Courier New" w:hAnsi="Courier New" w:cs="Courier New"/>
          <w:b/>
          <w:bCs/>
          <w:color w:val="2A2A2A"/>
          <w:sz w:val="18"/>
          <w:szCs w:val="18"/>
        </w:rPr>
        <w:t xml:space="preserve">§4.2  </w:t>
      </w:r>
      <w:r>
        <w:rPr>
          <w:rFonts w:ascii="Garamond" w:eastAsia="Garamond" w:hAnsi="Garamond" w:cs="Garamond"/>
          <w:i/>
          <w:iCs/>
          <w:color w:val="1B2A4A"/>
          <w:sz w:val="22"/>
          <w:szCs w:val="22"/>
        </w:rPr>
        <w:t>Judicial Appointments and Independence</w:t>
      </w:r>
    </w:p>
    <w:p>
      <w:pPr>
        <w:spacing w:after="120"/>
        <w:ind w:left="431"/>
        <w:jc w:val="both"/>
      </w:pPr>
      <w:r>
        <w:rPr>
          <w:rFonts w:ascii="Garamond" w:eastAsia="Garamond" w:hAnsi="Garamond" w:cs="Garamond"/>
          <w:color w:val="2A2A2A"/>
          <w:sz w:val="22"/>
          <w:szCs w:val="22"/>
        </w:rPr>
        <w:t xml:space="preserve">(1) Any citizen meeting the eligibility criteria established in §9.4.a may apply to the Elections Panel to enter the Judicial Pool; the JM's ongoing audit encompasses the Judicial Pool. Exceptions to pool eligibility — including persons currently holding government positions, those with disqualifying financial interests, and those removed from a court within a recent period — are defined by statute.</w:t>
      </w:r>
    </w:p>
    <w:p>
      <w:pPr>
        <w:spacing w:after="120"/>
        <w:ind w:left="431"/>
        <w:jc w:val="both"/>
      </w:pPr>
      <w:r>
        <w:rPr>
          <w:rFonts w:ascii="Garamond" w:eastAsia="Garamond" w:hAnsi="Garamond" w:cs="Garamond"/>
          <w:color w:val="2A2A2A"/>
          <w:sz w:val="22"/>
          <w:szCs w:val="22"/>
        </w:rPr>
        <w:t xml:space="preserve">(2) The Civic Consul nominates inferior court judges from the Judicial Pool maintained by the Elections Panel under §9.8. The Civic Consul must nominate within the period defined by statute following a vacancy, not to exceed 90 days where no statutory period has been defined. The Senate confirms by 2/3.</w:t>
      </w:r>
    </w:p>
    <w:p>
      <w:pPr>
        <w:spacing w:after="120"/>
        <w:ind w:left="431"/>
        <w:jc w:val="both"/>
      </w:pPr>
      <w:r>
        <w:rPr>
          <w:rFonts w:ascii="Garamond" w:eastAsia="Garamond" w:hAnsi="Garamond" w:cs="Garamond"/>
          <w:color w:val="2A2A2A"/>
          <w:sz w:val="22"/>
          <w:szCs w:val="22"/>
        </w:rPr>
        <w:t xml:space="preserve">(3)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w:t>
      </w:r>
    </w:p>
    <w:p>
      <w:pPr>
        <w:spacing w:after="120"/>
        <w:ind w:left="431"/>
        <w:jc w:val="both"/>
      </w:pPr>
      <w:r>
        <w:rPr>
          <w:rFonts w:ascii="Garamond" w:eastAsia="Garamond" w:hAnsi="Garamond" w:cs="Garamond"/>
          <w:color w:val="2A2A2A"/>
          <w:sz w:val="22"/>
          <w:szCs w:val="22"/>
        </w:rPr>
        <w:t xml:space="preserve">(4) Judicial removal occurs through three tracks:</w:t>
      </w:r>
    </w:p>
    <w:p>
      <w:pPr>
        <w:spacing w:after="120"/>
        <w:ind w:left="720"/>
        <w:jc w:val="both"/>
      </w:pPr>
      <w:r>
        <w:rPr>
          <w:rFonts w:ascii="Garamond" w:eastAsia="Garamond" w:hAnsi="Garamond" w:cs="Garamond"/>
          <w:color w:val="2A2A2A"/>
          <w:sz w:val="22"/>
          <w:szCs w:val="22"/>
        </w:rPr>
        <w:t xml:space="preserve">— legislative removal by 2/3 of both chambers on grounds of constitutional breach or demonstrated incapacity; under §9.1, either chamber may request an EM assessment to inform the proceeding;</w:t>
      </w:r>
    </w:p>
    <w:p>
      <w:pPr>
        <w:spacing w:after="120"/>
        <w:ind w:left="720"/>
        <w:jc w:val="both"/>
      </w:pPr>
      <w:r>
        <w:rPr>
          <w:rFonts w:ascii="Garamond" w:eastAsia="Garamond" w:hAnsi="Garamond" w:cs="Garamond"/>
          <w:color w:val="2A2A2A"/>
          <w:sz w:val="22"/>
          <w:szCs w:val="22"/>
        </w:rPr>
        <w:t xml:space="preserve">— judicial discipline through a process established by statute under SC oversight;</w:t>
      </w:r>
    </w:p>
    <w:p>
      <w:pPr>
        <w:spacing w:after="120"/>
        <w:ind w:left="720"/>
        <w:jc w:val="both"/>
      </w:pPr>
      <w:r>
        <w:rPr>
          <w:rFonts w:ascii="Garamond" w:eastAsia="Garamond" w:hAnsi="Garamond" w:cs="Garamond"/>
          <w:color w:val="2A2A2A"/>
          <w:sz w:val="22"/>
          <w:szCs w:val="22"/>
        </w:rPr>
        <w:t xml:space="preserve">— or criminal conviction for a disqualifying offense.</w:t>
      </w:r>
    </w:p>
    <w:p>
      <w:pPr>
        <w:spacing w:after="120"/>
        <w:ind w:left="431"/>
        <w:jc w:val="both"/>
      </w:pPr>
      <w:r>
        <w:rPr>
          <w:rFonts w:ascii="Garamond" w:eastAsia="Garamond" w:hAnsi="Garamond" w:cs="Garamond"/>
          <w:color w:val="2A2A2A"/>
          <w:sz w:val="22"/>
          <w:szCs w:val="22"/>
        </w:rPr>
        <w:t xml:space="preserve">(5) No public official may direct, threaten, or seek to influence a judge's decision in any pending matter. Judicial compensation may not be reduced during a judge's term.</w:t>
      </w:r>
    </w:p>
    <w:p w14:paraId="1CA47B11" w14:textId="77777777" w:rsidR="00AF3D56" w:rsidRDefault="00000000">
      <w:pPr>
        <w:spacing w:before="200" w:after="60"/>
        <w:ind w:left="431"/>
      </w:pPr>
      <w:r>
        <w:rPr>
          <w:rFonts w:ascii="Courier New" w:eastAsia="Courier New" w:hAnsi="Courier New" w:cs="Courier New"/>
          <w:b/>
          <w:bCs/>
          <w:color w:val="2A2A2A"/>
          <w:sz w:val="18"/>
          <w:szCs w:val="18"/>
        </w:rPr>
        <w:t xml:space="preserve">§4.3  </w:t>
      </w:r>
      <w:r>
        <w:rPr>
          <w:rFonts w:ascii="Garamond" w:eastAsia="Garamond" w:hAnsi="Garamond" w:cs="Garamond"/>
          <w:i/>
          <w:iCs/>
          <w:color w:val="1B2A4A"/>
          <w:sz w:val="22"/>
          <w:szCs w:val="22"/>
        </w:rPr>
        <w:t>The Supreme Court</w:t>
      </w:r>
    </w:p>
    <w:p w14:paraId="6D120E92" w14:textId="77777777" w:rsidR="00AF3D56" w:rsidRDefault="00000000">
      <w:pPr>
        <w:spacing w:after="120"/>
        <w:ind w:left="431"/>
        <w:jc w:val="both"/>
      </w:pPr>
      <w:r>
        <w:rPr>
          <w:rFonts w:ascii="Garamond" w:eastAsia="Garamond" w:hAnsi="Garamond" w:cs="Garamond"/>
          <w:color w:val="2A2A2A"/>
          <w:sz w:val="22"/>
          <w:szCs w:val="22"/>
        </w:rPr>
        <w:t>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 A majority of the SC's seated justices — including any Temporary Associate Justices — constitutes quorum for ordinary decisions. Constitutional questions require a minimum of five justices regardless of total seated membership.</w:t>
      </w:r>
    </w:p>
    <w:p w14:paraId="68C5D73F" w14:textId="77777777" w:rsidR="00AF3D56" w:rsidRDefault="00000000">
      <w:pPr>
        <w:spacing w:before="200" w:after="60"/>
        <w:ind w:left="431"/>
      </w:pPr>
      <w:r>
        <w:rPr>
          <w:rFonts w:ascii="Courier New" w:eastAsia="Courier New" w:hAnsi="Courier New" w:cs="Courier New"/>
          <w:b/>
          <w:bCs/>
          <w:color w:val="2A2A2A"/>
          <w:sz w:val="18"/>
          <w:szCs w:val="18"/>
        </w:rPr>
        <w:t xml:space="preserve">§4.3.a  </w:t>
      </w:r>
      <w:r>
        <w:rPr>
          <w:rFonts w:ascii="Garamond" w:eastAsia="Garamond" w:hAnsi="Garamond" w:cs="Garamond"/>
          <w:i/>
          <w:iCs/>
          <w:color w:val="1B2A4A"/>
          <w:sz w:val="22"/>
          <w:szCs w:val="22"/>
        </w:rPr>
        <w:t>Supreme Court Justice Removal</w:t>
      </w:r>
    </w:p>
    <w:p w14:paraId="08DF6E6C" w14:textId="77777777" w:rsidR="00AF3D56" w:rsidRDefault="00000000">
      <w:pPr>
        <w:spacing w:after="120"/>
        <w:ind w:left="431"/>
        <w:jc w:val="both"/>
      </w:pPr>
      <w:r>
        <w:rPr>
          <w:rFonts w:ascii="Garamond" w:eastAsia="Garamond" w:hAnsi="Garamond" w:cs="Garamond"/>
          <w:color w:val="2A2A2A"/>
          <w:sz w:val="22"/>
          <w:szCs w:val="22"/>
        </w:rPr>
        <w:t xml:space="preserve">A Supreme Court justice may be removed only for cause. Three grounds constitute sufficient cause: constitutional breach in the exercise of judicial authority, as assessed by the EM under §9.1 or as determined by the removing chambers;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under §4.5; the SC must rule within 48 hours of petition. Judicial disagreement — however profound — does not constitute grounds for removal; the independence </w:t>
        <w:lastRenderedPageBreak/>
        <w:t>of SC judicial judgment is absolute and may not itself be invoked as grounds for removal. Upon removal, the most senior Appellate Court judge auto-designates as Temporary Associate Justice under §4.4 until the vacancy is filled.</w:t>
      </w:r>
    </w:p>
    <w:p w14:paraId="7E9BD33D" w14:textId="77777777" w:rsidR="00AF3D56" w:rsidRDefault="00000000">
      <w:pPr>
        <w:spacing w:before="200" w:after="60"/>
        <w:ind w:left="431"/>
      </w:pPr>
      <w:r>
        <w:rPr>
          <w:rFonts w:ascii="Courier New" w:eastAsia="Courier New" w:hAnsi="Courier New" w:cs="Courier New"/>
          <w:b/>
          <w:bCs/>
          <w:color w:val="2A2A2A"/>
          <w:sz w:val="18"/>
          <w:szCs w:val="18"/>
        </w:rPr>
        <w:t xml:space="preserve">§4.4  </w:t>
      </w:r>
      <w:r>
        <w:rPr>
          <w:rFonts w:ascii="Garamond" w:eastAsia="Garamond" w:hAnsi="Garamond" w:cs="Garamond"/>
          <w:i/>
          <w:iCs/>
          <w:color w:val="1B2A4A"/>
          <w:sz w:val="22"/>
          <w:szCs w:val="22"/>
        </w:rPr>
        <w:t>Supreme Court Selection</w:t>
      </w:r>
    </w:p>
    <w:p>
      <w:pPr>
        <w:spacing w:after="120"/>
        <w:ind w:left="431"/>
        <w:jc w:val="both"/>
      </w:pPr>
      <w:r>
        <w:rPr>
          <w:rFonts w:ascii="Garamond" w:eastAsia="Garamond" w:hAnsi="Garamond" w:cs="Garamond"/>
          <w:color w:val="2A2A2A"/>
          <w:sz w:val="22"/>
          <w:szCs w:val="22"/>
        </w:rPr>
        <w:t xml:space="preserve">(1) SC justices are nominated by the Civic Consul from the Judicial Pool maintained by the Elections Panel under §9.8 — any pool member meeting the statutory qualifications for Supreme Court appointment is eligible for SC nomination.</w:t>
      </w:r>
    </w:p>
    <w:p>
      <w:pPr>
        <w:spacing w:after="120"/>
        <w:ind w:left="431"/>
        <w:jc w:val="both"/>
      </w:pPr>
      <w:r>
        <w:rPr>
          <w:rFonts w:ascii="Garamond" w:eastAsia="Garamond" w:hAnsi="Garamond" w:cs="Garamond"/>
          <w:color w:val="2A2A2A"/>
          <w:sz w:val="22"/>
          <w:szCs w:val="22"/>
        </w:rPr>
        <w:t xml:space="preserve">(2) The Civic Consul nominates within the period defined by statute following a vacancy (not to exceed 90 days for anticipated vacancies, 60 days for unanticipated vacancies).</w:t>
      </w:r>
    </w:p>
    <w:p>
      <w:pPr>
        <w:spacing w:after="120"/>
        <w:ind w:left="431"/>
        <w:jc w:val="both"/>
      </w:pPr>
      <w:r>
        <w:rPr>
          <w:rFonts w:ascii="Garamond" w:eastAsia="Garamond" w:hAnsi="Garamond" w:cs="Garamond"/>
          <w:color w:val="2A2A2A"/>
          <w:sz w:val="22"/>
          <w:szCs w:val="22"/>
        </w:rPr>
        <w:t xml:space="preserve">(3) The Senate must vote within the period defined by statute following nomination (not to exceed 120 days); the JM's ongoing audit of the Judicial Pool is available on the NRS and the Senate may consider any published JM findings on the nominee; no deemed confirmation applies, but failure to vote within that period is a constitutional compliance breach.</w:t>
      </w:r>
    </w:p>
    <w:p>
      <w:pPr>
        <w:spacing w:after="120"/>
        <w:ind w:left="431"/>
        <w:jc w:val="both"/>
      </w:pPr>
      <w:r>
        <w:rPr>
          <w:rFonts w:ascii="Garamond" w:eastAsia="Garamond" w:hAnsi="Garamond" w:cs="Garamond"/>
          <w:color w:val="2A2A2A"/>
          <w:sz w:val="22"/>
          <w:szCs w:val="22"/>
        </w:rPr>
        <w:t xml:space="preserve">(4) If the Senate declines, the Civic Consul nominates again within the period defined by statute. Where the Civic Consul fails to nominate within 30 days after the expiry of the applicable nomination period, the Senate may select a nominee directly from the Judicial Pool by 2/3 vote of full seated membership; a Senate selection under this provision requires no further Civic Consul nomination and proceeds directly to confirmation.</w:t>
      </w:r>
    </w:p>
    <w:p>
      <w:pPr>
        <w:spacing w:after="120"/>
        <w:ind w:left="431"/>
        <w:jc w:val="both"/>
      </w:pPr>
      <w:r>
        <w:rPr>
          <w:rFonts w:ascii="Garamond" w:eastAsia="Garamond" w:hAnsi="Garamond" w:cs="Garamond"/>
          <w:color w:val="2A2A2A"/>
          <w:sz w:val="22"/>
          <w:szCs w:val="22"/>
        </w:rPr>
        <w:t xml:space="preserve">(5) The confirmed justice serves a single non-renewable 12-year term from the date of confirmation. A mid-term replacement serves only the remainder of the original term.</w:t>
      </w:r>
    </w:p>
    <w:p>
      <w:pPr>
        <w:spacing w:after="120"/>
        <w:ind w:left="431"/>
        <w:jc w:val="both"/>
      </w:pPr>
      <w:r>
        <w:rPr>
          <w:rFonts w:ascii="Garamond" w:eastAsia="Garamond" w:hAnsi="Garamond" w:cs="Garamond"/>
          <w:color w:val="2A2A2A"/>
          <w:sz w:val="22"/>
          <w:szCs w:val="22"/>
        </w:rPr>
        <w:t xml:space="preserve">(6) At founding, the nine initial justices are confirmed simultaneously and assigned to their three classes by public lot.</w:t>
      </w:r>
    </w:p>
    <w:p>
      <w:pPr>
        <w:spacing w:after="120"/>
        <w:ind w:left="431"/>
        <w:jc w:val="both"/>
      </w:pPr>
      <w:r>
        <w:rPr>
          <w:rFonts w:ascii="Garamond" w:eastAsia="Garamond" w:hAnsi="Garamond" w:cs="Garamond"/>
          <w:color w:val="2A2A2A"/>
          <w:sz w:val="22"/>
          <w:szCs w:val="22"/>
        </w:rPr>
        <w:t xml:space="preserve">(7) Upon any SC vacancy, the most senior Appellate Court judge by continuous service is automatically designated Temporary Associate Justice within 5 days — without nomination or confirmation — holding full voting rights until the vacancy is filled; where two or more Appellate Court judges have equal continuous service, the oldest by age is designated. The Civic Consul may not nominate a serving Temporary Associate Justice for the seat they are temporarily filling through the ordinary appointment process under this section; this bar does not affect placement on a public confirmation ballot under §4.4.a.</w:t>
      </w:r>
    </w:p>
    <w:p w14:paraId="18E5DFD5" w14:textId="77777777" w:rsidR="00AF3D56" w:rsidRDefault="00000000">
      <w:pPr>
        <w:spacing w:before="200" w:after="60"/>
        <w:ind w:left="431"/>
      </w:pPr>
      <w:r>
        <w:rPr>
          <w:rFonts w:ascii="Courier New" w:eastAsia="Courier New" w:hAnsi="Courier New" w:cs="Courier New"/>
          <w:b/>
          <w:bCs/>
          <w:color w:val="2A2A2A"/>
          <w:sz w:val="18"/>
          <w:szCs w:val="18"/>
        </w:rPr>
        <w:t xml:space="preserve">§4.4.a  </w:t>
      </w:r>
      <w:r>
        <w:rPr>
          <w:rFonts w:ascii="Garamond" w:eastAsia="Garamond" w:hAnsi="Garamond" w:cs="Garamond"/>
          <w:i/>
          <w:iCs/>
          <w:color w:val="1B2A4A"/>
          <w:sz w:val="22"/>
          <w:szCs w:val="22"/>
        </w:rPr>
        <w:t>Senate Bypass — Public Confirmation</w:t>
      </w:r>
    </w:p>
    <w:p>
      <w:pPr>
        <w:spacing w:after="120"/>
        <w:ind w:left="431"/>
        <w:jc w:val="both"/>
      </w:pPr>
      <w:r>
        <w:rPr>
          <w:rFonts w:ascii="Garamond" w:eastAsia="Garamond" w:hAnsi="Garamond" w:cs="Garamond"/>
          <w:color w:val="2A2A2A"/>
          <w:sz w:val="22"/>
          <w:szCs w:val="22"/>
        </w:rPr>
        <w:t xml:space="preserve">Where the Senate has failed to vote on a nomination within the period required under §4.4, the Civic Consul may — with 2/3 Assembly consent — place the serving Temporary Associate Justice on the next federal electoral period ballot for public confirmation. Confirmation requires 60% of votes cast under §7.3;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Judicial Pool nominee before the public vote is certified ends the bypass immediately. The Temporary Associate Justice may advocate for their own confirmation once placed on the ballot under this section. A public confirmation vote under this section is not an election; §8.1's electoral finance framework does not apply. Rules governing advocacy conduct, contributions, and disclosure during a public confirmation vote are defined by statute, which must maintain the foreign contribution prohibition and disclosure requirements consistent with the principles of §8.1.</w:t>
      </w:r>
    </w:p>
    <w:p w14:paraId="3DEA753D" w14:textId="77777777" w:rsidR="00AF3D56" w:rsidRDefault="00000000">
      <w:pPr>
        <w:spacing w:before="200" w:after="60"/>
        <w:ind w:left="431"/>
      </w:pPr>
      <w:r>
        <w:rPr>
          <w:rFonts w:ascii="Courier New" w:eastAsia="Courier New" w:hAnsi="Courier New" w:cs="Courier New"/>
          <w:b/>
          <w:bCs/>
          <w:color w:val="2A2A2A"/>
          <w:sz w:val="18"/>
          <w:szCs w:val="18"/>
        </w:rPr>
        <w:t xml:space="preserve">§4.5  </w:t>
      </w:r>
      <w:r>
        <w:rPr>
          <w:rFonts w:ascii="Garamond" w:eastAsia="Garamond" w:hAnsi="Garamond" w:cs="Garamond"/>
          <w:i/>
          <w:iCs/>
          <w:color w:val="1B2A4A"/>
          <w:sz w:val="22"/>
          <w:szCs w:val="22"/>
        </w:rPr>
        <w:t>Judicial Review and Scope</w:t>
      </w:r>
    </w:p>
    <w:p>
      <w:pPr>
        <w:spacing w:after="120"/>
        <w:ind w:left="431"/>
        <w:jc w:val="both"/>
      </w:pPr>
      <w:r>
        <w:rPr>
          <w:rFonts w:ascii="Garamond" w:eastAsia="Garamond" w:hAnsi="Garamond" w:cs="Garamond"/>
          <w:color w:val="2A2A2A"/>
          <w:sz w:val="22"/>
          <w:szCs w:val="22"/>
        </w:rPr>
        <w:t xml:space="preserve">(1) 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w:t>
      </w:r>
    </w:p>
    <w:p>
      <w:pPr>
        <w:spacing w:after="120"/>
        <w:ind w:left="431"/>
        <w:jc w:val="both"/>
      </w:pPr>
      <w:r>
        <w:rPr>
          <w:rFonts w:ascii="Garamond" w:eastAsia="Garamond" w:hAnsi="Garamond" w:cs="Garamond"/>
          <w:color w:val="2A2A2A"/>
          <w:sz w:val="22"/>
          <w:szCs w:val="22"/>
        </w:rPr>
        <w:t xml:space="preserve">(2) Courts decide constitutional questions, not policy questions — Where a statute is ambiguous, courts apply the interpretation most consistent with this constitution. Courts may not rewrite clear statutory language.</w:t>
      </w:r>
    </w:p>
    <w:p>
      <w:pPr>
        <w:spacing w:after="120"/>
        <w:ind w:left="431"/>
        <w:jc w:val="both"/>
      </w:pPr>
      <w:r>
        <w:rPr>
          <w:rFonts w:ascii="Garamond" w:eastAsia="Garamond" w:hAnsi="Garamond" w:cs="Garamond"/>
          <w:color w:val="2A2A2A"/>
          <w:sz w:val="22"/>
          <w:szCs w:val="22"/>
        </w:rPr>
        <w:t xml:space="preserve">(3) Monitor findings published to the NRS are admissible and must be given due consideration; where a court's conclusions differ from a prior finding, the court must address the inconsistency in its written decision.</w:t>
      </w:r>
    </w:p>
    <w:p>
      <w:pPr>
        <w:spacing w:after="120"/>
        <w:ind w:left="431"/>
        <w:jc w:val="both"/>
      </w:pPr>
      <w:r>
        <w:rPr>
          <w:rFonts w:ascii="Garamond" w:eastAsia="Garamond" w:hAnsi="Garamond" w:cs="Garamond"/>
          <w:color w:val="2A2A2A"/>
          <w:sz w:val="22"/>
          <w:szCs w:val="22"/>
        </w:rPr>
        <w:t xml:space="preserve">(4) Any person with a concrete, articulable legal injury has the right to seek relief from a court of competent jurisdiction; the Legislature may not structure the judicial system in a manner that leaves any category of legal injury without a forum for relief.</w:t>
      </w:r>
    </w:p>
    <w:p>
      <w:pPr>
        <w:spacing w:after="120"/>
        <w:ind w:left="431"/>
        <w:jc w:val="both"/>
      </w:pPr>
      <w:r>
        <w:rPr>
          <w:rFonts w:ascii="Garamond" w:eastAsia="Garamond" w:hAnsi="Garamond" w:cs="Garamond"/>
          <w:color w:val="2A2A2A"/>
          <w:sz w:val="22"/>
          <w:szCs w:val="22"/>
        </w:rPr>
        <w:t xml:space="preserve">(5) The SC has original jurisdiction over:</w:t>
      </w:r>
    </w:p>
    <w:p>
      <w:pPr>
        <w:spacing w:after="120"/>
        <w:ind w:left="720"/>
        <w:jc w:val="both"/>
      </w:pPr>
      <w:r>
        <w:rPr>
          <w:rFonts w:ascii="Garamond" w:eastAsia="Garamond" w:hAnsi="Garamond" w:cs="Garamond"/>
          <w:color w:val="2A2A2A"/>
          <w:sz w:val="22"/>
          <w:szCs w:val="22"/>
        </w:rPr>
        <w:t xml:space="preserve">— constitutional disputes between States, between a State and the federal government, and constitutional challenges to federal statutes;</w:t>
      </w:r>
    </w:p>
    <w:p>
      <w:pPr>
        <w:spacing w:after="120"/>
        <w:ind w:left="720"/>
        <w:jc w:val="both"/>
      </w:pPr>
      <w:r>
        <w:rPr>
          <w:rFonts w:ascii="Garamond" w:eastAsia="Garamond" w:hAnsi="Garamond" w:cs="Garamond"/>
          <w:color w:val="2A2A2A"/>
          <w:sz w:val="22"/>
          <w:szCs w:val="22"/>
        </w:rPr>
        <w:t xml:space="preserve">— disputes between the Legat Consul and Civic Consul concerning their respective constitutional domains under §2.1;</w:t>
      </w:r>
    </w:p>
    <w:p>
      <w:pPr>
        <w:spacing w:after="120"/>
        <w:ind w:left="720"/>
        <w:jc w:val="both"/>
      </w:pPr>
      <w:r>
        <w:rPr>
          <w:rFonts w:ascii="Garamond" w:eastAsia="Garamond" w:hAnsi="Garamond" w:cs="Garamond"/>
          <w:color w:val="2A2A2A"/>
          <w:sz w:val="22"/>
          <w:szCs w:val="22"/>
        </w:rPr>
        <w:t xml:space="preserve">— constitutional challenges involving constitutionally independent institutions where their independence protections make inferior court review structurally inappropriate;</w:t>
      </w:r>
    </w:p>
    <w:p>
      <w:pPr>
        <w:spacing w:after="120"/>
        <w:ind w:left="720"/>
        <w:jc w:val="both"/>
      </w:pPr>
      <w:r>
        <w:rPr>
          <w:rFonts w:ascii="Garamond" w:eastAsia="Garamond" w:hAnsi="Garamond" w:cs="Garamond"/>
          <w:color w:val="2A2A2A"/>
          <w:sz w:val="22"/>
          <w:szCs w:val="22"/>
        </w:rPr>
        <w:t xml:space="preserve">— emergency rights claims brought directly under §16.2;</w:t>
      </w:r>
    </w:p>
    <w:p>
      <w:pPr>
        <w:spacing w:after="120"/>
        <w:ind w:left="720"/>
        <w:jc w:val="both"/>
      </w:pPr>
      <w:r>
        <w:rPr>
          <w:rFonts w:ascii="Garamond" w:eastAsia="Garamond" w:hAnsi="Garamond" w:cs="Garamond"/>
          <w:color w:val="2A2A2A"/>
          <w:sz w:val="22"/>
          <w:szCs w:val="22"/>
        </w:rPr>
        <w:t xml:space="preserve">— and disputes over the consistency of ratified amendments with entrenched provisions under §17.3.</w:t>
      </w:r>
    </w:p>
    <w:p>
      <w:pPr>
        <w:spacing w:after="120"/>
        <w:ind w:left="431"/>
        <w:jc w:val="both"/>
      </w:pPr>
      <w:r>
        <w:rPr>
          <w:rFonts w:ascii="Garamond" w:eastAsia="Garamond" w:hAnsi="Garamond" w:cs="Garamond"/>
          <w:color w:val="2A2A2A"/>
          <w:sz w:val="22"/>
          <w:szCs w:val="22"/>
        </w:rPr>
        <w:t xml:space="preserve">(6) A four-justice emergency panel drawn by rotation holds jurisdiction over constitutional challenges to immediate defensive military authority under §2.2 during active operations and must rule within the period defined by statute, not to exceed 48 hours. Where the Court has fewer than four seated justices, the emergency panel consists of all seated justices; quorum for emergency panel review is three.</w:t>
      </w:r>
    </w:p>
    <w:p>
      <w:pPr>
        <w:spacing w:after="120"/>
        <w:ind w:left="431"/>
        <w:jc w:val="both"/>
      </w:pPr>
      <w:r>
        <w:rPr>
          <w:rFonts w:ascii="Garamond" w:eastAsia="Garamond" w:hAnsi="Garamond" w:cs="Garamond"/>
          <w:color w:val="2A2A2A"/>
          <w:sz w:val="22"/>
          <w:szCs w:val="22"/>
        </w:rPr>
        <w:t xml:space="preserve">(7) Where conflict between constitutional actors creates a risk of suspension of lawful governance or constitutionally mandated essential services, the constitutional default is continuity at existing scope pending formal resolution. No constitutional actor may use a refusal to certify, approve, or coordinate to achieve the functional suspension of a constitutional obligation. The SC holds expedited jurisdiction over any dispute in which continuity of lawful governance is at immediate risk.</w:t>
      </w:r>
    </w:p>
    <w:p>
      <w:pPr>
        <w:spacing w:after="120"/>
        <w:ind w:left="431"/>
        <w:jc w:val="both"/>
      </w:pPr>
      <w:r>
        <w:rPr>
          <w:rFonts w:ascii="Garamond" w:eastAsia="Garamond" w:hAnsi="Garamond" w:cs="Garamond"/>
          <w:color w:val="2A2A2A"/>
          <w:sz w:val="22"/>
          <w:szCs w:val="22"/>
        </w:rPr>
        <w:t xml:space="preserve">(8) Where this Constitution establishes a deadline for an SC ruling, a majority of seated justices may file an extension request within that period specifying the reason and additional time required, published to the NRS; the maximum extension is defined by statute, not to exceed 30 days per extension. The SC may issue interim protective orders of limited scope in matters within its original jurisdiction where delay would cause irreparable harm pending its full ruling, published to the NRS.</w:t>
      </w:r>
    </w:p>
    <w:p>
      <w:pPr>
        <w:spacing w:after="120"/>
        <w:ind w:left="431"/>
        <w:jc w:val="both"/>
      </w:pPr>
      <w:r>
        <w:rPr>
          <w:rFonts w:ascii="Garamond" w:eastAsia="Garamond" w:hAnsi="Garamond" w:cs="Garamond"/>
          <w:color w:val="2A2A2A"/>
          <w:sz w:val="22"/>
          <w:szCs w:val="22"/>
        </w:rPr>
        <w:t xml:space="preserve">(9) The SC's failure to rule within any constitutionally required period produces no substantive constitutional outcome by operation of that failure; the petitioning party may reinitiate under any procedure applicable to the underlying matter.</w:t>
      </w:r>
    </w:p>
    <w:p w14:paraId="35631E1D" w14:textId="77777777" w:rsidR="00AF3D56" w:rsidRDefault="00000000">
      <w:pPr>
        <w:spacing w:before="200" w:after="60"/>
        <w:ind w:left="431"/>
      </w:pPr>
      <w:r>
        <w:rPr>
          <w:rFonts w:ascii="Courier New" w:eastAsia="Courier New" w:hAnsi="Courier New" w:cs="Courier New"/>
          <w:b/>
          <w:bCs/>
          <w:color w:val="2A2A2A"/>
          <w:sz w:val="18"/>
          <w:szCs w:val="18"/>
        </w:rPr>
        <w:t xml:space="preserve">§4.6  </w:t>
      </w:r>
      <w:r>
        <w:rPr>
          <w:rFonts w:ascii="Garamond" w:eastAsia="Garamond" w:hAnsi="Garamond" w:cs="Garamond"/>
          <w:i/>
          <w:iCs/>
          <w:color w:val="1B2A4A"/>
          <w:sz w:val="22"/>
          <w:szCs w:val="22"/>
        </w:rPr>
        <w:t>Judgment Recognition</w:t>
      </w:r>
    </w:p>
    <w:p w14:paraId="368711DB" w14:textId="77777777" w:rsidR="00AF3D56" w:rsidRDefault="00000000">
      <w:pPr>
        <w:spacing w:after="120"/>
        <w:ind w:left="431"/>
        <w:jc w:val="both"/>
      </w:pPr>
      <w:r>
        <w:rPr>
          <w:rFonts w:ascii="Garamond" w:eastAsia="Garamond" w:hAnsi="Garamond" w:cs="Garamond"/>
          <w:color w:val="2A2A2A"/>
          <w:sz w:val="22"/>
          <w:szCs w:val="22"/>
        </w:rPr>
        <w:t>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14:paraId="76C4D7CC"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 — Citizenship and National Identity</w:t>
      </w:r>
    </w:p>
    <w:p w14:paraId="789793C2" w14:textId="77777777" w:rsidR="00AF3D56" w:rsidRDefault="00000000">
      <w:pPr>
        <w:spacing w:before="200" w:after="60"/>
        <w:ind w:left="431"/>
      </w:pPr>
      <w:r>
        <w:rPr>
          <w:rFonts w:ascii="Courier New" w:eastAsia="Courier New" w:hAnsi="Courier New" w:cs="Courier New"/>
          <w:b/>
          <w:bCs/>
          <w:color w:val="2A2A2A"/>
          <w:sz w:val="18"/>
          <w:szCs w:val="18"/>
        </w:rPr>
        <w:t xml:space="preserve">§5.1  </w:t>
      </w:r>
      <w:r>
        <w:rPr>
          <w:rFonts w:ascii="Garamond" w:eastAsia="Garamond" w:hAnsi="Garamond" w:cs="Garamond"/>
          <w:i/>
          <w:iCs/>
          <w:color w:val="1B2A4A"/>
          <w:sz w:val="22"/>
          <w:szCs w:val="22"/>
        </w:rPr>
        <w:t>Citizenship</w:t>
      </w:r>
    </w:p>
    <w:p w14:paraId="6A0C73D5" w14:textId="77777777" w:rsidR="00AF3D56" w:rsidRDefault="00000000">
      <w:pPr>
        <w:spacing w:after="120"/>
        <w:ind w:left="431"/>
        <w:jc w:val="both"/>
      </w:pPr>
      <w:r>
        <w:rPr>
          <w:rFonts w:ascii="Garamond" w:eastAsia="Garamond" w:hAnsi="Garamond" w:cs="Garamond"/>
          <w:color w:val="2A2A2A"/>
          <w:sz w:val="22"/>
          <w:szCs w:val="22"/>
        </w:rPr>
        <w:t>Citizenship is acquired by birth, by parentage, or by naturalization. A child is automatically a citizen if at least one parent is a citizen or legal resident at birth. Citizens acquire their full citizenship rights, including the right to vote and stand for office, at 18. Citizenship may not be stripped from a natural-born citizen. Where a child born on Republic territory would hold no other citizenship, or would otherwise be stateless regardless of birthplace, citizenship is granted from birth. 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 A child born before a parent acquired legal residency or citizenship, who accompanies that parent to the Republic within a Legislature-defined window, receives derivative status.</w:t>
      </w:r>
    </w:p>
    <w:p w14:paraId="7AC4A40B" w14:textId="77777777" w:rsidR="00AF3D56" w:rsidRDefault="00000000">
      <w:pPr>
        <w:spacing w:before="200" w:after="60"/>
        <w:ind w:left="431"/>
      </w:pPr>
      <w:r>
        <w:rPr>
          <w:rFonts w:ascii="Courier New" w:eastAsia="Courier New" w:hAnsi="Courier New" w:cs="Courier New"/>
          <w:b/>
          <w:bCs/>
          <w:color w:val="2A2A2A"/>
          <w:sz w:val="18"/>
          <w:szCs w:val="18"/>
        </w:rPr>
        <w:t xml:space="preserve">§5.2  </w:t>
      </w:r>
      <w:r>
        <w:rPr>
          <w:rFonts w:ascii="Garamond" w:eastAsia="Garamond" w:hAnsi="Garamond" w:cs="Garamond"/>
          <w:i/>
          <w:iCs/>
          <w:color w:val="1B2A4A"/>
          <w:sz w:val="22"/>
          <w:szCs w:val="22"/>
        </w:rPr>
        <w:t>Legal Resident Rights</w:t>
      </w:r>
    </w:p>
    <w:p w14:paraId="64D628E3" w14:textId="77777777" w:rsidR="00AF3D56" w:rsidRDefault="00000000">
      <w:pPr>
        <w:spacing w:after="120"/>
        <w:ind w:left="431"/>
        <w:jc w:val="both"/>
      </w:pPr>
      <w:r>
        <w:rPr>
          <w:rFonts w:ascii="Garamond" w:eastAsia="Garamond" w:hAnsi="Garamond" w:cs="Garamond"/>
          <w:color w:val="2A2A2A"/>
          <w:sz w:val="22"/>
          <w:szCs w:val="22"/>
        </w:rPr>
        <w:t>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14:paraId="06EB8614" w14:textId="77777777" w:rsidR="00AF3D56" w:rsidRDefault="00000000">
      <w:pPr>
        <w:spacing w:before="200" w:after="60"/>
        <w:ind w:left="431"/>
      </w:pPr>
      <w:r>
        <w:rPr>
          <w:rFonts w:ascii="Courier New" w:eastAsia="Courier New" w:hAnsi="Courier New" w:cs="Courier New"/>
          <w:b/>
          <w:bCs/>
          <w:color w:val="2A2A2A"/>
          <w:sz w:val="18"/>
          <w:szCs w:val="18"/>
        </w:rPr>
        <w:t xml:space="preserve">§5.3  </w:t>
      </w:r>
      <w:r>
        <w:rPr>
          <w:rFonts w:ascii="Garamond" w:eastAsia="Garamond" w:hAnsi="Garamond" w:cs="Garamond"/>
          <w:i/>
          <w:iCs/>
          <w:color w:val="1B2A4A"/>
          <w:sz w:val="22"/>
          <w:szCs w:val="22"/>
        </w:rPr>
        <w:t>Custodial Care of Citizen Children</w:t>
      </w:r>
    </w:p>
    <w:p w14:paraId="1483592D" w14:textId="77777777" w:rsidR="00AF3D56" w:rsidRDefault="00000000">
      <w:pPr>
        <w:spacing w:after="120"/>
        <w:ind w:left="431"/>
        <w:jc w:val="both"/>
      </w:pPr>
      <w:r>
        <w:rPr>
          <w:rFonts w:ascii="Garamond" w:eastAsia="Garamond" w:hAnsi="Garamond" w:cs="Garamond"/>
          <w:color w:val="2A2A2A"/>
          <w:sz w:val="22"/>
          <w:szCs w:val="22"/>
        </w:rPr>
        <w:t>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14:paraId="0E00D7C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 — Immigration and Residency</w:t>
      </w:r>
    </w:p>
    <w:p w14:paraId="51620119" w14:textId="77777777" w:rsidR="00AF3D56" w:rsidRDefault="00000000">
      <w:pPr>
        <w:spacing w:before="200" w:after="60"/>
        <w:ind w:left="431"/>
      </w:pPr>
      <w:r>
        <w:rPr>
          <w:rFonts w:ascii="Courier New" w:eastAsia="Courier New" w:hAnsi="Courier New" w:cs="Courier New"/>
          <w:b/>
          <w:bCs/>
          <w:color w:val="2A2A2A"/>
          <w:sz w:val="18"/>
          <w:szCs w:val="18"/>
        </w:rPr>
        <w:t xml:space="preserve">§6.1  </w:t>
      </w:r>
      <w:r>
        <w:rPr>
          <w:rFonts w:ascii="Garamond" w:eastAsia="Garamond" w:hAnsi="Garamond" w:cs="Garamond"/>
          <w:i/>
          <w:iCs/>
          <w:color w:val="1B2A4A"/>
          <w:sz w:val="22"/>
          <w:szCs w:val="22"/>
        </w:rPr>
        <w:t>The Two-Stage Immigration System</w:t>
      </w:r>
    </w:p>
    <w:p w14:paraId="37D0EAD5" w14:textId="77777777" w:rsidR="00AF3D56" w:rsidRDefault="00000000">
      <w:pPr>
        <w:spacing w:after="120"/>
        <w:ind w:left="431"/>
        <w:jc w:val="both"/>
      </w:pPr>
      <w:r>
        <w:rPr>
          <w:rFonts w:ascii="Garamond" w:eastAsia="Garamond" w:hAnsi="Garamond" w:cs="Garamond"/>
          <w:color w:val="2A2A2A"/>
          <w:sz w:val="22"/>
          <w:szCs w:val="22"/>
        </w:rPr>
        <w:t>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Civic Consul must ministerially issue residency credentials; interference with credential issuance by either executive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14:paraId="64CDC38B" w14:textId="77777777" w:rsidR="00AF3D56" w:rsidRDefault="00000000">
      <w:pPr>
        <w:spacing w:before="200" w:after="60"/>
        <w:ind w:left="431"/>
      </w:pPr>
      <w:r>
        <w:rPr>
          <w:rFonts w:ascii="Courier New" w:eastAsia="Courier New" w:hAnsi="Courier New" w:cs="Courier New"/>
          <w:b/>
          <w:bCs/>
          <w:color w:val="2A2A2A"/>
          <w:sz w:val="18"/>
          <w:szCs w:val="18"/>
        </w:rPr>
        <w:t xml:space="preserve">§6.2  </w:t>
      </w:r>
      <w:r>
        <w:rPr>
          <w:rFonts w:ascii="Garamond" w:eastAsia="Garamond" w:hAnsi="Garamond" w:cs="Garamond"/>
          <w:i/>
          <w:iCs/>
          <w:color w:val="1B2A4A"/>
          <w:sz w:val="22"/>
          <w:szCs w:val="22"/>
        </w:rPr>
        <w:t>Enforcement, Removal, and Appeals</w:t>
      </w:r>
    </w:p>
    <w:p>
      <w:pPr>
        <w:spacing w:after="120"/>
        <w:ind w:left="431"/>
        <w:jc w:val="both"/>
      </w:pPr>
      <w:r>
        <w:rPr>
          <w:rFonts w:ascii="Garamond" w:eastAsia="Garamond" w:hAnsi="Garamond" w:cs="Garamond"/>
          <w:color w:val="2A2A2A"/>
          <w:sz w:val="22"/>
          <w:szCs w:val="22"/>
        </w:rPr>
        <w:t xml:space="preserve">(1) Only the federal government may remove individuals from the Republic. Removal occurs only for violations of laws the Legislature has defined — executive detention without statutory basis is unlawful detention subject to habeas corpus.</w:t>
      </w:r>
    </w:p>
    <w:p>
      <w:pPr>
        <w:spacing w:after="120"/>
        <w:ind w:left="431"/>
        <w:jc w:val="both"/>
      </w:pPr>
      <w:r>
        <w:rPr>
          <w:rFonts w:ascii="Garamond" w:eastAsia="Garamond" w:hAnsi="Garamond" w:cs="Garamond"/>
          <w:color w:val="2A2A2A"/>
          <w:sz w:val="22"/>
          <w:szCs w:val="22"/>
        </w:rPr>
        <w:t xml:space="preserve">(2) Federal certification denials are judicially challengeable on three grounds:</w:t>
      </w:r>
    </w:p>
    <w:p>
      <w:pPr>
        <w:spacing w:after="120"/>
        <w:ind w:left="720"/>
        <w:jc w:val="both"/>
      </w:pPr>
      <w:r>
        <w:rPr>
          <w:rFonts w:ascii="Garamond" w:eastAsia="Garamond" w:hAnsi="Garamond" w:cs="Garamond"/>
          <w:color w:val="2A2A2A"/>
          <w:sz w:val="22"/>
          <w:szCs w:val="22"/>
        </w:rPr>
        <w:t xml:space="preserve">— criterion not established under the federal certification mandate;</w:t>
      </w:r>
    </w:p>
    <w:p>
      <w:pPr>
        <w:spacing w:after="120"/>
        <w:ind w:left="720"/>
        <w:jc w:val="both"/>
      </w:pPr>
      <w:r>
        <w:rPr>
          <w:rFonts w:ascii="Garamond" w:eastAsia="Garamond" w:hAnsi="Garamond" w:cs="Garamond"/>
          <w:color w:val="2A2A2A"/>
          <w:sz w:val="22"/>
          <w:szCs w:val="22"/>
        </w:rPr>
        <w:t xml:space="preserve">— discriminatory grounds contrary to §1.6;</w:t>
      </w:r>
    </w:p>
    <w:p>
      <w:pPr>
        <w:spacing w:after="120"/>
        <w:ind w:left="720"/>
        <w:jc w:val="both"/>
      </w:pPr>
      <w:r>
        <w:rPr>
          <w:rFonts w:ascii="Garamond" w:eastAsia="Garamond" w:hAnsi="Garamond" w:cs="Garamond"/>
          <w:color w:val="2A2A2A"/>
          <w:sz w:val="22"/>
          <w:szCs w:val="22"/>
        </w:rPr>
        <w:t xml:space="preserve">— or procedural violation affecting the outcome.</w:t>
      </w:r>
    </w:p>
    <w:p>
      <w:pPr>
        <w:spacing w:after="120"/>
        <w:ind w:left="431"/>
        <w:jc w:val="both"/>
      </w:pPr>
      <w:r>
        <w:rPr>
          <w:rFonts w:ascii="Garamond" w:eastAsia="Garamond" w:hAnsi="Garamond" w:cs="Garamond"/>
          <w:color w:val="2A2A2A"/>
          <w:sz w:val="22"/>
          <w:szCs w:val="22"/>
        </w:rPr>
        <w:t xml:space="preserve">(3)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w:t>
      </w:r>
    </w:p>
    <w:p>
      <w:pPr>
        <w:spacing w:after="120"/>
        <w:ind w:left="431"/>
        <w:jc w:val="both"/>
      </w:pPr>
      <w:r>
        <w:rPr>
          <w:rFonts w:ascii="Garamond" w:eastAsia="Garamond" w:hAnsi="Garamond" w:cs="Garamond"/>
          <w:color w:val="2A2A2A"/>
          <w:sz w:val="22"/>
          <w:szCs w:val="22"/>
        </w:rPr>
        <w:t xml:space="preserve">(4) Court decisions on State sponsorship challenges brought on §1.6 grounds are published to the NRS; personally identifying information of applicants who are not public figures as defined by statute is protected consistent with §1.8.</w:t>
      </w:r>
    </w:p>
    <w:p>
      <w:pPr>
        <w:spacing w:after="120"/>
        <w:ind w:left="431"/>
        <w:jc w:val="both"/>
      </w:pPr>
      <w:r>
        <w:rPr>
          <w:rFonts w:ascii="Garamond" w:eastAsia="Garamond" w:hAnsi="Garamond" w:cs="Garamond"/>
          <w:color w:val="2A2A2A"/>
          <w:sz w:val="22"/>
          <w:szCs w:val="22"/>
        </w:rPr>
        <w:t xml:space="preserve">(5)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w:t>
      </w:r>
    </w:p>
    <w:p>
      <w:pPr>
        <w:spacing w:after="120"/>
        <w:ind w:left="431"/>
        <w:jc w:val="both"/>
      </w:pPr>
      <w:r>
        <w:rPr>
          <w:rFonts w:ascii="Garamond" w:eastAsia="Garamond" w:hAnsi="Garamond" w:cs="Garamond"/>
          <w:color w:val="2A2A2A"/>
          <w:sz w:val="22"/>
          <w:szCs w:val="22"/>
        </w:rPr>
        <w:t xml:space="preserve">(6) All removal proceedings and challenge proceedings under this section carry the right to legal representation; where an applicant cannot afford representation, counsel is appointed at public expense.</w:t>
      </w:r>
    </w:p>
    <w:p w14:paraId="06C80B34" w14:textId="77777777" w:rsidR="00AF3D56" w:rsidRDefault="00000000">
      <w:pPr>
        <w:spacing w:before="200" w:after="60"/>
        <w:ind w:left="431"/>
      </w:pPr>
      <w:r>
        <w:rPr>
          <w:rFonts w:ascii="Courier New" w:eastAsia="Courier New" w:hAnsi="Courier New" w:cs="Courier New"/>
          <w:b/>
          <w:bCs/>
          <w:color w:val="2A2A2A"/>
          <w:sz w:val="18"/>
          <w:szCs w:val="18"/>
        </w:rPr>
        <w:t xml:space="preserve">§6.3  </w:t>
      </w:r>
      <w:r>
        <w:rPr>
          <w:rFonts w:ascii="Garamond" w:eastAsia="Garamond" w:hAnsi="Garamond" w:cs="Garamond"/>
          <w:i/>
          <w:iCs/>
          <w:color w:val="1B2A4A"/>
          <w:sz w:val="22"/>
          <w:szCs w:val="22"/>
        </w:rPr>
        <w:t>Asylum and Protection</w:t>
      </w:r>
    </w:p>
    <w:p>
      <w:pPr>
        <w:spacing w:after="120"/>
        <w:ind w:left="431"/>
        <w:jc w:val="both"/>
      </w:pPr>
      <w:r>
        <w:rPr>
          <w:rFonts w:ascii="Garamond" w:eastAsia="Garamond" w:hAnsi="Garamond" w:cs="Garamond"/>
          <w:color w:val="2A2A2A"/>
          <w:sz w:val="22"/>
          <w:szCs w:val="22"/>
        </w:rPr>
        <w:t xml:space="preserve">(1) Asylum proceedings operate on a separate constitutional track from the dual-gate system. Any person who files an asylum claim under §1.21 is an Inhabitant from the date of filing — entitled to Article I protections and social state access.</w:t>
      </w:r>
    </w:p>
    <w:p>
      <w:pPr>
        <w:spacing w:after="120"/>
        <w:ind w:left="431"/>
        <w:jc w:val="both"/>
      </w:pPr>
      <w:r>
        <w:rPr>
          <w:rFonts w:ascii="Garamond" w:eastAsia="Garamond" w:hAnsi="Garamond" w:cs="Garamond"/>
          <w:color w:val="2A2A2A"/>
          <w:sz w:val="22"/>
          <w:szCs w:val="22"/>
        </w:rPr>
        <w:t xml:space="preserve">(2) Claims must be determined before any removal order takes effect. A claim filed solely to delay a final removal order may be expedited under procedures the Legislature defines, consistent with the right to a fair hearing.</w:t>
      </w:r>
    </w:p>
    <w:p>
      <w:pPr>
        <w:spacing w:after="120"/>
        <w:ind w:left="431"/>
        <w:jc w:val="both"/>
      </w:pPr>
      <w:r>
        <w:rPr>
          <w:rFonts w:ascii="Garamond" w:eastAsia="Garamond" w:hAnsi="Garamond" w:cs="Garamond"/>
          <w:color w:val="2A2A2A"/>
          <w:sz w:val="22"/>
          <w:szCs w:val="22"/>
        </w:rPr>
        <w:t xml:space="preserve">(3) Where the Asylum Court grants protection, the person receives federal residency credentials by operation of that grant; State sponsorship and federal certification are not required conditions.</w:t>
      </w:r>
    </w:p>
    <w:p>
      <w:pPr>
        <w:spacing w:after="120"/>
        <w:ind w:left="431"/>
        <w:jc w:val="both"/>
      </w:pPr>
      <w:r>
        <w:rPr>
          <w:rFonts w:ascii="Garamond" w:eastAsia="Garamond" w:hAnsi="Garamond" w:cs="Garamond"/>
          <w:color w:val="2A2A2A"/>
          <w:sz w:val="22"/>
          <w:szCs w:val="22"/>
        </w:rPr>
        <w:t xml:space="preserve">(4) The manner of entry does not affect the right to claim asylum or have that claim determined. No penalty arising solely from irregular entry may be imposed on a person whose claim is pending or has been granted.</w:t>
      </w:r>
    </w:p>
    <w:p>
      <w:pPr>
        <w:spacing w:after="120"/>
        <w:ind w:left="431"/>
        <w:jc w:val="both"/>
      </w:pPr>
      <w:r>
        <w:rPr>
          <w:rFonts w:ascii="Garamond" w:eastAsia="Garamond" w:hAnsi="Garamond" w:cs="Garamond"/>
          <w:color w:val="2A2A2A"/>
          <w:sz w:val="22"/>
          <w:szCs w:val="22"/>
        </w:rPr>
        <w:t xml:space="preserve">(5) Asylum proceedings must provide:</w:t>
      </w:r>
    </w:p>
    <w:p>
      <w:pPr>
        <w:spacing w:after="120"/>
        <w:ind w:left="720"/>
        <w:jc w:val="both"/>
      </w:pPr>
      <w:r>
        <w:rPr>
          <w:rFonts w:ascii="Garamond" w:eastAsia="Garamond" w:hAnsi="Garamond" w:cs="Garamond"/>
          <w:color w:val="2A2A2A"/>
          <w:sz w:val="22"/>
          <w:szCs w:val="22"/>
        </w:rPr>
        <w:t xml:space="preserve">— a qualified adjudicator,</w:t>
      </w:r>
    </w:p>
    <w:p>
      <w:pPr>
        <w:spacing w:after="120"/>
        <w:ind w:left="720"/>
        <w:jc w:val="both"/>
      </w:pPr>
      <w:r>
        <w:rPr>
          <w:rFonts w:ascii="Garamond" w:eastAsia="Garamond" w:hAnsi="Garamond" w:cs="Garamond"/>
          <w:color w:val="2A2A2A"/>
          <w:sz w:val="22"/>
          <w:szCs w:val="22"/>
        </w:rPr>
        <w:t xml:space="preserve">— interpreter access,</w:t>
      </w:r>
    </w:p>
    <w:p>
      <w:pPr>
        <w:spacing w:after="120"/>
        <w:ind w:left="720"/>
        <w:jc w:val="both"/>
      </w:pPr>
      <w:r>
        <w:rPr>
          <w:rFonts w:ascii="Garamond" w:eastAsia="Garamond" w:hAnsi="Garamond" w:cs="Garamond"/>
          <w:color w:val="2A2A2A"/>
          <w:sz w:val="22"/>
          <w:szCs w:val="22"/>
        </w:rPr>
        <w:t xml:space="preserve">— the right to present evidence and witnesses,</w:t>
      </w:r>
    </w:p>
    <w:p>
      <w:pPr>
        <w:spacing w:after="120"/>
        <w:ind w:left="720"/>
        <w:jc w:val="both"/>
      </w:pPr>
      <w:r>
        <w:rPr>
          <w:rFonts w:ascii="Garamond" w:eastAsia="Garamond" w:hAnsi="Garamond" w:cs="Garamond"/>
          <w:color w:val="2A2A2A"/>
          <w:sz w:val="22"/>
          <w:szCs w:val="22"/>
        </w:rPr>
        <w:t xml:space="preserve">— the right to legal representation with appointed counsel at public expense where the applicant cannot afford representation,</w:t>
      </w:r>
    </w:p>
    <w:p>
      <w:pPr>
        <w:spacing w:after="120"/>
        <w:ind w:left="720"/>
        <w:jc w:val="both"/>
      </w:pPr>
      <w:r>
        <w:rPr>
          <w:rFonts w:ascii="Garamond" w:eastAsia="Garamond" w:hAnsi="Garamond" w:cs="Garamond"/>
          <w:color w:val="2A2A2A"/>
          <w:sz w:val="22"/>
          <w:szCs w:val="22"/>
        </w:rPr>
        <w:t xml:space="preserve">— a written decision with grounds,</w:t>
      </w:r>
    </w:p>
    <w:p>
      <w:pPr>
        <w:spacing w:after="120"/>
        <w:ind w:left="720"/>
        <w:jc w:val="both"/>
      </w:pPr>
      <w:r>
        <w:rPr>
          <w:rFonts w:ascii="Garamond" w:eastAsia="Garamond" w:hAnsi="Garamond" w:cs="Garamond"/>
          <w:color w:val="2A2A2A"/>
          <w:sz w:val="22"/>
          <w:szCs w:val="22"/>
        </w:rPr>
        <w:t xml:space="preserve">— and a right of appeal — regardless of point of entry.</w:t>
      </w:r>
    </w:p>
    <w:p>
      <w:pPr>
        <w:spacing w:after="120"/>
        <w:ind w:left="431"/>
        <w:jc w:val="both"/>
      </w:pPr>
      <w:r>
        <w:rPr>
          <w:rFonts w:ascii="Garamond" w:eastAsia="Garamond" w:hAnsi="Garamond" w:cs="Garamond"/>
          <w:color w:val="2A2A2A"/>
          <w:sz w:val="22"/>
          <w:szCs w:val="22"/>
        </w:rPr>
        <w:t xml:space="preserve">The asylum proceedings statute must ensure accessibility to persons in Territories and geographically remote areas.</w:t>
      </w:r>
    </w:p>
    <w:p>
      <w:pPr>
        <w:spacing w:after="120"/>
        <w:ind w:left="431"/>
        <w:jc w:val="both"/>
      </w:pPr>
      <w:r>
        <w:rPr>
          <w:rFonts w:ascii="Garamond" w:eastAsia="Garamond" w:hAnsi="Garamond" w:cs="Garamond"/>
          <w:color w:val="2A2A2A"/>
          <w:sz w:val="22"/>
          <w:szCs w:val="22"/>
        </w:rPr>
        <w:t xml:space="preserve">(6) 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120"/>
        <w:ind w:left="431"/>
        <w:jc w:val="both"/>
      </w:pPr>
      <w:r>
        <w:rPr>
          <w:rFonts w:ascii="Garamond" w:eastAsia="Garamond" w:hAnsi="Garamond" w:cs="Garamond"/>
          <w:color w:val="2A2A2A"/>
          <w:sz w:val="22"/>
          <w:szCs w:val="22"/>
        </w:rPr>
        <w:t xml:space="preserve">(7) An unaccompanied minor arriving in the Republic is an Inhabitant from the moment of contact and holds full §1.21 protection. A federal legal guardian must be appointed by the federal court with jurisdiction over the point of contact within 72 hours.</w:t>
      </w:r>
    </w:p>
    <w:p>
      <w:pPr>
        <w:spacing w:after="120"/>
        <w:ind w:left="431"/>
        <w:jc w:val="both"/>
      </w:pPr>
      <w:r>
        <w:rPr>
          <w:rFonts w:ascii="Garamond" w:eastAsia="Garamond" w:hAnsi="Garamond" w:cs="Garamond"/>
          <w:color w:val="2A2A2A"/>
          <w:sz w:val="22"/>
          <w:szCs w:val="22"/>
        </w:rPr>
        <w:t xml:space="preserve">(8) No unaccompanied minor may be detained in a facility not specifically designated and resourced for children.</w:t>
      </w:r>
    </w:p>
    <w:p w14:paraId="35B24256" w14:textId="77777777" w:rsidR="00AF3D56" w:rsidRDefault="00000000">
      <w:pPr>
        <w:spacing w:before="200" w:after="60"/>
        <w:ind w:left="431"/>
      </w:pPr>
      <w:r>
        <w:rPr>
          <w:rFonts w:ascii="Courier New" w:eastAsia="Courier New" w:hAnsi="Courier New" w:cs="Courier New"/>
          <w:b/>
          <w:bCs/>
          <w:color w:val="2A2A2A"/>
          <w:sz w:val="18"/>
          <w:szCs w:val="18"/>
        </w:rPr>
        <w:t xml:space="preserve">§6.3.a  </w:t>
      </w:r>
      <w:r>
        <w:rPr>
          <w:rFonts w:ascii="Garamond" w:eastAsia="Garamond" w:hAnsi="Garamond" w:cs="Garamond"/>
          <w:i/>
          <w:iCs/>
          <w:color w:val="1B2A4A"/>
          <w:sz w:val="22"/>
          <w:szCs w:val="22"/>
        </w:rPr>
        <w:t>Unresolvable and Security Cases</w:t>
      </w:r>
    </w:p>
    <w:p w14:paraId="12A7B570" w14:textId="77777777" w:rsidR="00AF3D56" w:rsidRDefault="00000000">
      <w:pPr>
        <w:spacing w:after="120"/>
        <w:ind w:left="431"/>
        <w:jc w:val="both"/>
      </w:pPr>
      <w:r>
        <w:rPr>
          <w:rFonts w:ascii="Garamond" w:eastAsia="Garamond" w:hAnsi="Garamond" w:cs="Garamond"/>
          <w:color w:val="2A2A2A"/>
          <w:sz w:val="22"/>
          <w:szCs w:val="22"/>
        </w:rPr>
        <w:t>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for detention beyond 5 years, an affirmative judicial finding at each subsequent review that no less restrictive alternative exists; absent that finding, the person is released to the statutory minimum-status conditions defined under this section.</w:t>
      </w:r>
    </w:p>
    <w:p w14:paraId="46E83525"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VII — Elections</w:t>
      </w:r>
    </w:p>
    <w:p w14:paraId="2937B7BA" w14:textId="77777777" w:rsidR="00AF3D56" w:rsidRDefault="00000000">
      <w:pPr>
        <w:spacing w:before="200" w:after="60"/>
        <w:ind w:left="431"/>
      </w:pPr>
      <w:r>
        <w:rPr>
          <w:rFonts w:ascii="Courier New" w:eastAsia="Courier New" w:hAnsi="Courier New" w:cs="Courier New"/>
          <w:b/>
          <w:bCs/>
          <w:color w:val="2A2A2A"/>
          <w:sz w:val="18"/>
          <w:szCs w:val="18"/>
        </w:rPr>
        <w:t xml:space="preserve">§7.1  </w:t>
      </w:r>
      <w:r>
        <w:rPr>
          <w:rFonts w:ascii="Garamond" w:eastAsia="Garamond" w:hAnsi="Garamond" w:cs="Garamond"/>
          <w:i/>
          <w:iCs/>
          <w:color w:val="1B2A4A"/>
          <w:sz w:val="22"/>
          <w:szCs w:val="22"/>
        </w:rPr>
        <w:t>Consular Election System</w:t>
      </w:r>
    </w:p>
    <w:p>
      <w:pPr>
        <w:spacing w:after="120"/>
        <w:ind w:left="431"/>
        <w:jc w:val="both"/>
      </w:pPr>
      <w:r>
        <w:rPr>
          <w:rFonts w:ascii="Garamond" w:eastAsia="Garamond" w:hAnsi="Garamond" w:cs="Garamond"/>
          <w:color w:val="2A2A2A"/>
          <w:sz w:val="22"/>
          <w:szCs w:val="22"/>
        </w:rPr>
        <w:t xml:space="preserve">(1) The Legat Consul is elected through two concurrent requirements: a national RCV majority and a State plurality qualification. A candidate wins outright by satisfying both.</w:t>
      </w:r>
    </w:p>
    <w:p>
      <w:pPr>
        <w:spacing w:after="120"/>
        <w:ind w:left="431"/>
        <w:jc w:val="both"/>
      </w:pPr>
      <w:r>
        <w:rPr>
          <w:rFonts w:ascii="Garamond" w:eastAsia="Garamond" w:hAnsi="Garamond" w:cs="Garamond"/>
          <w:color w:val="2A2A2A"/>
          <w:sz w:val="22"/>
          <w:szCs w:val="22"/>
        </w:rPr>
        <w:t xml:space="preserve">(2) Where a candidate's national RCV majority reaches or exceeds 60% of votes cast, the State plurality requirement is waived.</w:t>
      </w:r>
    </w:p>
    <w:p>
      <w:pPr>
        <w:spacing w:after="120"/>
        <w:ind w:left="431"/>
        <w:jc w:val="both"/>
      </w:pPr>
      <w:r>
        <w:rPr>
          <w:rFonts w:ascii="Garamond" w:eastAsia="Garamond" w:hAnsi="Garamond" w:cs="Garamond"/>
          <w:color w:val="2A2A2A"/>
          <w:sz w:val="22"/>
          <w:szCs w:val="22"/>
        </w:rPr>
        <w:t xml:space="preserve">(3)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w:t>
      </w:r>
    </w:p>
    <w:p>
      <w:pPr>
        <w:spacing w:after="120"/>
        <w:ind w:left="431"/>
        <w:jc w:val="both"/>
      </w:pPr>
      <w:r>
        <w:rPr>
          <w:rFonts w:ascii="Garamond" w:eastAsia="Garamond" w:hAnsi="Garamond" w:cs="Garamond"/>
          <w:color w:val="2A2A2A"/>
          <w:sz w:val="22"/>
          <w:szCs w:val="22"/>
        </w:rPr>
        <w:t xml:space="preserve">(4) Where the runoff itself produces a tied result, the Elections Panel determines the winner by lot in a public session; the result is published to the NRS and is final. The Elections Panel administers and certifies all consular elections.</w:t>
      </w:r>
    </w:p>
    <w:p>
      <w:pPr>
        <w:spacing w:after="120"/>
        <w:ind w:left="431"/>
        <w:jc w:val="both"/>
      </w:pPr>
      <w:r>
        <w:rPr>
          <w:rFonts w:ascii="Garamond" w:eastAsia="Garamond" w:hAnsi="Garamond" w:cs="Garamond"/>
          <w:color w:val="2A2A2A"/>
          <w:sz w:val="22"/>
          <w:szCs w:val="22"/>
        </w:rPr>
        <w:t xml:space="preserve">(5) Territory citizens vote in consular elections and their votes count in the national RCV total; Territories are not included in the State plurality calculation.</w:t>
      </w:r>
    </w:p>
    <w:p>
      <w:pPr>
        <w:spacing w:after="120"/>
        <w:ind w:left="431"/>
        <w:jc w:val="both"/>
      </w:pPr>
      <w:r>
        <w:rPr>
          <w:rFonts w:ascii="Garamond" w:eastAsia="Garamond" w:hAnsi="Garamond" w:cs="Garamond"/>
          <w:color w:val="2A2A2A"/>
          <w:sz w:val="22"/>
          <w:szCs w:val="22"/>
        </w:rPr>
        <w:t xml:space="preserve">(6) A candidate satisfies the State plurality requirement by receiving more first-preference votes than any other candidate in a majority of the Republic's States. The Elections Panel certifies State-by-State first-preference results as part of overall election certification.</w:t>
      </w:r>
    </w:p>
    <w:p>
      <w:pPr>
        <w:spacing w:after="120"/>
        <w:ind w:left="431"/>
        <w:jc w:val="both"/>
      </w:pPr>
      <w:r>
        <w:rPr>
          <w:rFonts w:ascii="Garamond" w:eastAsia="Garamond" w:hAnsi="Garamond" w:cs="Garamond"/>
          <w:color w:val="2A2A2A"/>
          <w:sz w:val="22"/>
          <w:szCs w:val="22"/>
        </w:rPr>
        <w:t xml:space="preserve">(7) Certification is final and may be challenged only before the SC within 14 days of certification by either candidate, any State or Territory government on the ground that the certification does not accurately reflect votes cast within its jurisdiction, or the Elections Panel itself where it identifies a material error in its own certification.</w:t>
      </w:r>
    </w:p>
    <w:p w14:paraId="091575E7" w14:textId="77777777" w:rsidR="00AF3D56" w:rsidRDefault="00000000">
      <w:pPr>
        <w:spacing w:before="200" w:after="60"/>
        <w:ind w:left="431"/>
      </w:pPr>
      <w:r>
        <w:rPr>
          <w:rFonts w:ascii="Courier New" w:eastAsia="Courier New" w:hAnsi="Courier New" w:cs="Courier New"/>
          <w:b/>
          <w:bCs/>
          <w:color w:val="2A2A2A"/>
          <w:sz w:val="18"/>
          <w:szCs w:val="18"/>
        </w:rPr>
        <w:t xml:space="preserve">§7.2  </w:t>
      </w:r>
      <w:r>
        <w:rPr>
          <w:rFonts w:ascii="Garamond" w:eastAsia="Garamond" w:hAnsi="Garamond" w:cs="Garamond"/>
          <w:i/>
          <w:iCs/>
          <w:color w:val="1B2A4A"/>
          <w:sz w:val="22"/>
          <w:szCs w:val="22"/>
        </w:rPr>
        <w:t>Federal Elections</w:t>
      </w:r>
    </w:p>
    <w:p>
      <w:pPr>
        <w:spacing w:after="120"/>
        <w:ind w:left="431"/>
        <w:jc w:val="both"/>
      </w:pPr>
      <w:r>
        <w:rPr>
          <w:rFonts w:ascii="Garamond" w:eastAsia="Garamond" w:hAnsi="Garamond" w:cs="Garamond"/>
          <w:color w:val="2A2A2A"/>
          <w:sz w:val="22"/>
          <w:szCs w:val="22"/>
        </w:rPr>
        <w:t xml:space="preserve">(1) Federal elections are held at regular intervals: Assembly elections every two years; Senate elections on the staggered six-year cycle; Consular elections every six years.</w:t>
      </w:r>
    </w:p>
    <w:p>
      <w:pPr>
        <w:spacing w:after="120"/>
        <w:ind w:left="431"/>
        <w:jc w:val="both"/>
      </w:pPr>
      <w:r>
        <w:rPr>
          <w:rFonts w:ascii="Garamond" w:eastAsia="Garamond" w:hAnsi="Garamond" w:cs="Garamond"/>
          <w:color w:val="2A2A2A"/>
          <w:sz w:val="22"/>
          <w:szCs w:val="22"/>
        </w:rPr>
        <w:t xml:space="preserve">(2) All federal elections use Ranked Choice Voting — majority required, not plurality; Consular elections use RCV within the framework of §7.1, which adds the State plurality requirement.</w:t>
      </w:r>
    </w:p>
    <w:p>
      <w:pPr>
        <w:spacing w:after="120"/>
        <w:ind w:left="431"/>
        <w:jc w:val="both"/>
      </w:pPr>
      <w:r>
        <w:rPr>
          <w:rFonts w:ascii="Garamond" w:eastAsia="Garamond" w:hAnsi="Garamond" w:cs="Garamond"/>
          <w:color w:val="2A2A2A"/>
          <w:sz w:val="22"/>
          <w:szCs w:val="22"/>
        </w:rPr>
        <w:t xml:space="preserve">(3) The Legislature defines by statute the specific timing, duration, and structure of the federal electoral period within these constitutional floors.</w:t>
      </w:r>
    </w:p>
    <w:p>
      <w:pPr>
        <w:spacing w:after="120"/>
        <w:ind w:left="431"/>
        <w:jc w:val="both"/>
      </w:pPr>
      <w:r>
        <w:rPr>
          <w:rFonts w:ascii="Garamond" w:eastAsia="Garamond" w:hAnsi="Garamond" w:cs="Garamond"/>
          <w:color w:val="2A2A2A"/>
          <w:sz w:val="22"/>
          <w:szCs w:val="22"/>
        </w:rPr>
        <w:t xml:space="preserve">(4) Federal elections are administered by the States within standards established and enforced by the Elections Panel; all state election systems must connect to and operate through the National Voting System, free from executive interference.</w:t>
      </w:r>
    </w:p>
    <w:p>
      <w:pPr>
        <w:spacing w:after="120"/>
        <w:ind w:left="431"/>
        <w:jc w:val="both"/>
      </w:pPr>
      <w:r>
        <w:rPr>
          <w:rFonts w:ascii="Garamond" w:eastAsia="Garamond" w:hAnsi="Garamond" w:cs="Garamond"/>
          <w:color w:val="2A2A2A"/>
          <w:sz w:val="22"/>
          <w:szCs w:val="22"/>
        </w:rPr>
        <w:t xml:space="preserve">(5)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Elections Panel standards.</w:t>
      </w:r>
    </w:p>
    <w:p>
      <w:pPr>
        <w:spacing w:after="120"/>
        <w:ind w:left="431"/>
        <w:jc w:val="both"/>
      </w:pPr>
      <w:r>
        <w:rPr>
          <w:rFonts w:ascii="Garamond" w:eastAsia="Garamond" w:hAnsi="Garamond" w:cs="Garamond"/>
          <w:color w:val="2A2A2A"/>
          <w:sz w:val="22"/>
          <w:szCs w:val="22"/>
        </w:rPr>
        <w:t xml:space="preserve">(6) The Republic shall provide such financial and technical assistance as is necessary to ensure every State has the capacity to procure certified equipment and meet federal election standards; the Legislature establishes the assistance mechanism and eligibility criteria by statute; the Elections Panel certifies whether assistance has been sufficient to bring each State into compliance.</w:t>
      </w:r>
    </w:p>
    <w:p w14:paraId="454FE114" w14:textId="77777777" w:rsidR="00AF3D56" w:rsidRDefault="00000000">
      <w:pPr>
        <w:spacing w:before="200" w:after="60"/>
        <w:ind w:left="431"/>
      </w:pPr>
      <w:r>
        <w:rPr>
          <w:rFonts w:ascii="Courier New" w:eastAsia="Courier New" w:hAnsi="Courier New" w:cs="Courier New"/>
          <w:b/>
          <w:bCs/>
          <w:color w:val="2A2A2A"/>
          <w:sz w:val="18"/>
          <w:szCs w:val="18"/>
        </w:rPr>
        <w:t xml:space="preserve">§7.2.a  </w:t>
      </w:r>
      <w:r>
        <w:rPr>
          <w:rFonts w:ascii="Garamond" w:eastAsia="Garamond" w:hAnsi="Garamond" w:cs="Garamond"/>
          <w:i/>
          <w:iCs/>
          <w:color w:val="1B2A4A"/>
          <w:sz w:val="22"/>
          <w:szCs w:val="22"/>
        </w:rPr>
        <w:t>Special Elections and Postponements</w:t>
      </w:r>
    </w:p>
    <w:p w14:paraId="247A9F79" w14:textId="77777777" w:rsidR="00AF3D56" w:rsidRDefault="00000000">
      <w:pPr>
        <w:spacing w:after="120"/>
        <w:ind w:left="431"/>
        <w:jc w:val="both"/>
      </w:pPr>
      <w:r>
        <w:rPr>
          <w:rFonts w:ascii="Garamond" w:eastAsia="Garamond" w:hAnsi="Garamond" w:cs="Garamond"/>
          <w:color w:val="2A2A2A"/>
          <w:sz w:val="22"/>
          <w:szCs w:val="22"/>
        </w:rPr>
        <w:t xml:space="preserve">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w:t>
        <w:lastRenderedPageBreak/>
        <w:t>publishing the determination to the NRS; the mandates of sitting members extend automatically until certification of the postponed election. The Elections Panel publishes a finding when conditions have normalized sufficiently for elections to proceed; elections must be held within 30 days of that publication. Either chamber may seek expedited judicial review of the Elections Panel’s finding; the applicable court and expedited process are defined by statute. No further postponement may be granted without a new Elections Panel finding of impossibility and a new 2/3 legislative determination.</w:t>
      </w:r>
    </w:p>
    <w:p w14:paraId="0F44AB51"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VIII — Electoral Finance and Campaign Conduct</w:t>
      </w:r>
    </w:p>
    <w:p w14:paraId="586D0B68" w14:textId="77777777" w:rsidR="00AF3D56" w:rsidRDefault="00000000">
      <w:pPr>
        <w:spacing w:before="200" w:after="60"/>
        <w:ind w:left="431"/>
      </w:pPr>
      <w:r>
        <w:rPr>
          <w:rFonts w:ascii="Courier New" w:eastAsia="Courier New" w:hAnsi="Courier New" w:cs="Courier New"/>
          <w:b/>
          <w:bCs/>
          <w:color w:val="2A2A2A"/>
          <w:sz w:val="18"/>
          <w:szCs w:val="18"/>
        </w:rPr>
        <w:t xml:space="preserve">§8.1  </w:t>
      </w:r>
      <w:r>
        <w:rPr>
          <w:rFonts w:ascii="Garamond" w:eastAsia="Garamond" w:hAnsi="Garamond" w:cs="Garamond"/>
          <w:i/>
          <w:iCs/>
          <w:color w:val="1B2A4A"/>
          <w:sz w:val="22"/>
          <w:szCs w:val="22"/>
        </w:rPr>
        <w:t>Electoral Finance</w:t>
      </w:r>
    </w:p>
    <w:p w14:paraId="6A5B6B79" w14:textId="77777777" w:rsidR="00AF3D56" w:rsidRDefault="00000000">
      <w:pPr>
        <w:spacing w:after="120"/>
        <w:ind w:left="431"/>
        <w:jc w:val="both"/>
      </w:pPr>
      <w:r>
        <w:rPr>
          <w:rFonts w:ascii="Garamond" w:eastAsia="Garamond" w:hAnsi="Garamond" w:cs="Garamond"/>
          <w:color w:val="2A2A2A"/>
          <w:sz w:val="22"/>
          <w:szCs w:val="22"/>
        </w:rPr>
        <w:t>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14:paraId="5036E0DD" w14:textId="77777777" w:rsidR="00AF3D56" w:rsidRDefault="00000000">
      <w:pPr>
        <w:spacing w:before="200" w:after="60"/>
        <w:ind w:left="431"/>
      </w:pPr>
      <w:r>
        <w:rPr>
          <w:rFonts w:ascii="Courier New" w:eastAsia="Courier New" w:hAnsi="Courier New" w:cs="Courier New"/>
          <w:b/>
          <w:bCs/>
          <w:color w:val="2A2A2A"/>
          <w:sz w:val="18"/>
          <w:szCs w:val="18"/>
        </w:rPr>
        <w:t xml:space="preserve">§8.2  </w:t>
      </w:r>
      <w:r>
        <w:rPr>
          <w:rFonts w:ascii="Garamond" w:eastAsia="Garamond" w:hAnsi="Garamond" w:cs="Garamond"/>
          <w:i/>
          <w:iCs/>
          <w:color w:val="1B2A4A"/>
          <w:sz w:val="22"/>
          <w:szCs w:val="22"/>
        </w:rPr>
        <w:t>Campaign Conduct</w:t>
      </w:r>
    </w:p>
    <w:p w14:paraId="645D6B4E" w14:textId="7E70F6F4" w:rsidR="00AF3D56" w:rsidRDefault="00000000">
      <w:pPr>
        <w:spacing w:after="120"/>
        <w:ind w:left="431"/>
        <w:jc w:val="both"/>
      </w:pPr>
      <w:r>
        <w:rPr>
          <w:rFonts w:ascii="Garamond" w:eastAsia="Garamond" w:hAnsi="Garamond" w:cs="Garamond"/>
          <w:color w:val="2A2A2A"/>
          <w:sz w:val="22"/>
          <w:szCs w:val="22"/>
        </w:rPr>
        <w:t>Candidates for constitutional office campaign in compliance with published Elections Panel conduct standards, which include: prohibition on impersonating other candidates; prohibition on vote suppression activities; and prohibition on interference with the electoral administration process. Campaign communications must clearly identify their sponsor. This constitution does not bar private civil litigation arising from campaign communications.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 The Elections Panel publishes findings of violation of the prohibitions enumerated in this section to the NRS; the Legislature shall define sanctions for such violations by statute. This enforcement authority does not extend to the truthfulness or content of campaign communications, which remain subject only to private civil litigation as provided above.</w:t>
      </w:r>
    </w:p>
    <w:p w14:paraId="6EEA7430" w14:textId="77777777" w:rsidR="00AF3D56" w:rsidRDefault="00000000">
      <w:pPr>
        <w:spacing w:before="200" w:after="60"/>
        <w:ind w:left="431"/>
      </w:pPr>
      <w:r>
        <w:rPr>
          <w:rFonts w:ascii="Courier New" w:eastAsia="Courier New" w:hAnsi="Courier New" w:cs="Courier New"/>
          <w:b/>
          <w:bCs/>
          <w:color w:val="2A2A2A"/>
          <w:sz w:val="18"/>
          <w:szCs w:val="18"/>
        </w:rPr>
        <w:t xml:space="preserve">§8.3  </w:t>
      </w:r>
      <w:r>
        <w:rPr>
          <w:rFonts w:ascii="Garamond" w:eastAsia="Garamond" w:hAnsi="Garamond" w:cs="Garamond"/>
          <w:i/>
          <w:iCs/>
          <w:color w:val="1B2A4A"/>
          <w:sz w:val="22"/>
          <w:szCs w:val="22"/>
        </w:rPr>
        <w:t>Public Spectrum Access for Campaigns</w:t>
      </w:r>
    </w:p>
    <w:p w14:paraId="33784202" w14:textId="77777777" w:rsidR="00AF3D56" w:rsidRDefault="00000000">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Licensees operating on public broadcast spectrum — including television, radio, and licensed carriers of automated political communications — shall provide equal free access to qualified candidates during the federal electoral period. The terms and quantity of access are defined by statute. The Elections Panel certifies compliance and publishes findings to the NRS.</w:t>
      </w:r>
    </w:p>
    <w:p w14:paraId="0261D33F" w14:textId="30F2C8E5" w:rsidR="00F645C1" w:rsidRDefault="00F645C1" w:rsidP="00F645C1">
      <w:pPr>
        <w:spacing w:before="200" w:after="60"/>
        <w:ind w:left="431"/>
      </w:pPr>
      <w:r>
        <w:rPr>
          <w:rFonts w:ascii="Courier New" w:eastAsia="Courier New" w:hAnsi="Courier New" w:cs="Courier New"/>
          <w:b/>
          <w:bCs/>
          <w:color w:val="2A2A2A"/>
          <w:sz w:val="18"/>
          <w:szCs w:val="18"/>
        </w:rPr>
        <w:t xml:space="preserve">§8.4  </w:t>
      </w:r>
      <w:r>
        <w:rPr>
          <w:rFonts w:ascii="Garamond" w:eastAsia="Garamond" w:hAnsi="Garamond" w:cs="Garamond"/>
          <w:i/>
          <w:iCs/>
          <w:color w:val="1B2A4A"/>
          <w:sz w:val="22"/>
          <w:szCs w:val="22"/>
        </w:rPr>
        <w:t>Public Campaign Financing</w:t>
      </w:r>
    </w:p>
    <w:p w14:paraId="76F049D1" w14:textId="2C6B9380" w:rsidR="00F645C1" w:rsidRDefault="00F645C1">
      <w:pPr>
        <w:spacing w:after="120"/>
        <w:ind w:left="431"/>
        <w:jc w:val="both"/>
      </w:pPr>
      <w:r>
        <w:rPr>
          <w:rFonts w:ascii="Garamond" w:eastAsia="Garamond" w:hAnsi="Garamond" w:cs="Garamond"/>
          <w:color w:val="2A2A2A"/>
          <w:sz w:val="22"/>
          <w:szCs w:val="22"/>
        </w:rPr>
        <w:t>The Legislature shall by statute establish a public campaign financing system available to all qualified candidates for federal office on equal terms. The system must provide a genuine alternative to private fundraising; no candidate may be structurally disadvantaged by choosing to participate. Funding for the system must be set at no less than the average total campaign expenditure recorded in the National Record System for that office — or, where no prior cycle exists, a comparable office — across the preceding election cycle. The Elections Panel administers the system and publishes annual compliance findings to the NRS.</w:t>
      </w:r>
    </w:p>
    <w:p w14:paraId="2789283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IX — The Monitors</w:t>
      </w:r>
    </w:p>
    <w:p w14:paraId="53D85F28" w14:textId="77777777" w:rsidR="00AF3D56" w:rsidRDefault="00000000">
      <w:pPr>
        <w:spacing w:before="200" w:after="60"/>
        <w:ind w:left="431"/>
      </w:pPr>
      <w:r>
        <w:rPr>
          <w:rFonts w:ascii="Courier New" w:eastAsia="Courier New" w:hAnsi="Courier New" w:cs="Courier New"/>
          <w:b/>
          <w:bCs/>
          <w:color w:val="2A2A2A"/>
          <w:sz w:val="18"/>
          <w:szCs w:val="18"/>
        </w:rPr>
        <w:t xml:space="preserve">§9.1  </w:t>
      </w:r>
      <w:r>
        <w:rPr>
          <w:rFonts w:ascii="Garamond" w:eastAsia="Garamond" w:hAnsi="Garamond" w:cs="Garamond"/>
          <w:i/>
          <w:iCs/>
          <w:color w:val="1B2A4A"/>
          <w:sz w:val="22"/>
          <w:szCs w:val="22"/>
        </w:rPr>
        <w:t>Three Monitors</w:t>
      </w:r>
    </w:p>
    <w:p w14:paraId="2EC75C92" w14:textId="77777777" w:rsidR="00AF3D56" w:rsidRDefault="00000000">
      <w:pPr>
        <w:spacing w:after="120"/>
        <w:ind w:left="431"/>
        <w:jc w:val="both"/>
      </w:pPr>
      <w:r>
        <w:rPr>
          <w:rFonts w:ascii="Garamond" w:eastAsia="Garamond" w:hAnsi="Garamond" w:cs="Garamond"/>
          <w:color w:val="2A2A2A"/>
          <w:sz w:val="22"/>
          <w:szCs w:val="22"/>
        </w:rPr>
        <w:t>The Republic maintains three constitutionally independent Monitors — Legislative (LM), Executive (EM), and Judicial (JM) — each selected by bodies other than those it oversees. Monitors hold an information-only mandate: they observe constitutional processes, verify compliance, and publish findings to the NRS. Findings are not binding on any constitutional actor and are not a prerequisite for any legal proceeding or governmental function. Each Monitor General serves a 10-year non-renewable term with a constitutionally protected funding floor. Failure of a Monitor to act does not extinguish constitutional authority or suspend any constitutional obligation. Any constitutional officer, chamber, or body may request a focused assessment from any Monitor within that Monitor’s mandate; the Monitor publishes the assessment by the requested date where practicable; a requesting party may proceed whether or not the assessment has been published. Persistent non-responsiveness to reasonable requests may be published by the other two Monitors as a non-responsiveness finding to the NRS.</w:t>
      </w:r>
    </w:p>
    <w:p w14:paraId="31371B1E" w14:textId="77777777" w:rsidR="00AF3D56" w:rsidRDefault="00000000">
      <w:pPr>
        <w:spacing w:before="200" w:after="60"/>
        <w:ind w:left="431"/>
      </w:pPr>
      <w:r>
        <w:rPr>
          <w:rFonts w:ascii="Courier New" w:eastAsia="Courier New" w:hAnsi="Courier New" w:cs="Courier New"/>
          <w:b/>
          <w:bCs/>
          <w:color w:val="2A2A2A"/>
          <w:sz w:val="18"/>
          <w:szCs w:val="18"/>
        </w:rPr>
        <w:t xml:space="preserve">§9.1.a  </w:t>
      </w:r>
      <w:r>
        <w:rPr>
          <w:rFonts w:ascii="Garamond" w:eastAsia="Garamond" w:hAnsi="Garamond" w:cs="Garamond"/>
          <w:i/>
          <w:iCs/>
          <w:color w:val="1B2A4A"/>
          <w:sz w:val="22"/>
          <w:szCs w:val="22"/>
        </w:rPr>
        <w:t>The Legislative Monitor</w:t>
      </w:r>
    </w:p>
    <w:p w14:paraId="2A180BB7" w14:textId="77777777" w:rsidR="00AF3D56" w:rsidRDefault="00000000">
      <w:pPr>
        <w:spacing w:after="120"/>
        <w:ind w:left="431"/>
        <w:jc w:val="both"/>
      </w:pPr>
      <w:r>
        <w:rPr>
          <w:rFonts w:ascii="Garamond" w:eastAsia="Garamond" w:hAnsi="Garamond" w:cs="Garamond"/>
          <w:color w:val="2A2A2A"/>
          <w:sz w:val="22"/>
          <w:szCs w:val="22"/>
        </w:rPr>
        <w:t>The LM audits the Legislature for fiscal accuracy and constitutional compliance. Responsibilities include auditing the population census for constitutional compliance; reviewing Assembly district maps against §3.3 criteria and publishing germaneness analyses; auditing the Elections Panel’s administration of the referendum eligibility process; auditing legislative mandate compliance; and publishing an annual compliance report to the NRS.</w:t>
      </w:r>
    </w:p>
    <w:p w14:paraId="77863FB2" w14:textId="77777777" w:rsidR="00AF3D56" w:rsidRDefault="00000000">
      <w:pPr>
        <w:spacing w:before="200" w:after="60"/>
        <w:ind w:left="431"/>
      </w:pPr>
      <w:r>
        <w:rPr>
          <w:rFonts w:ascii="Courier New" w:eastAsia="Courier New" w:hAnsi="Courier New" w:cs="Courier New"/>
          <w:b/>
          <w:bCs/>
          <w:color w:val="2A2A2A"/>
          <w:sz w:val="18"/>
          <w:szCs w:val="18"/>
        </w:rPr>
        <w:t xml:space="preserve">§9.1.b  </w:t>
      </w:r>
      <w:r>
        <w:rPr>
          <w:rFonts w:ascii="Garamond" w:eastAsia="Garamond" w:hAnsi="Garamond" w:cs="Garamond"/>
          <w:i/>
          <w:iCs/>
          <w:color w:val="1B2A4A"/>
          <w:sz w:val="22"/>
          <w:szCs w:val="22"/>
        </w:rPr>
        <w:t>The Executive Monitor</w:t>
      </w:r>
    </w:p>
    <w:p w14:paraId="74469628" w14:textId="77777777" w:rsidR="00AF3D56" w:rsidRDefault="00000000">
      <w:pPr>
        <w:spacing w:after="120"/>
        <w:ind w:left="431"/>
        <w:jc w:val="both"/>
      </w:pPr>
      <w:r>
        <w:rPr>
          <w:rFonts w:ascii="Garamond" w:eastAsia="Garamond" w:hAnsi="Garamond" w:cs="Garamond"/>
          <w:color w:val="2A2A2A"/>
          <w:sz w:val="22"/>
          <w:szCs w:val="22"/>
        </w:rPr>
        <w:t>The EM audits both executives and the Monetary Authority. Annual responsibilities include: military compliance assessment covering whether military force was used for an authorized purpose under §14.1, whether legislative authorization and allocation requirements under §14.2 were observed, whether the §2.3 intelligence warrant requirement was maintained, and whether all military orders were published to the NRS within the required period; publishing clemency background reports before any executive act; reviewing disclosure records for constitutional appointments; and auditing electoral finance within the period defined by statute following any election. The EM audits constitutional officers for dereliction — failure to perform a constitutionally mandated function within the required period where that failure was not caused by circumstances genuinely beyond the officer’s control; political disagreement with a constitutional requirement is not a defense.</w:t>
      </w:r>
    </w:p>
    <w:p w14:paraId="52FB7E88" w14:textId="77777777" w:rsidR="00AF3D56" w:rsidRDefault="00000000">
      <w:pPr>
        <w:spacing w:before="200" w:after="60"/>
        <w:ind w:left="431"/>
      </w:pPr>
      <w:r>
        <w:rPr>
          <w:rFonts w:ascii="Courier New" w:eastAsia="Courier New" w:hAnsi="Courier New" w:cs="Courier New"/>
          <w:b/>
          <w:bCs/>
          <w:color w:val="2A2A2A"/>
          <w:sz w:val="18"/>
          <w:szCs w:val="18"/>
        </w:rPr>
        <w:t xml:space="preserve">§9.1.c  </w:t>
      </w:r>
      <w:r>
        <w:rPr>
          <w:rFonts w:ascii="Garamond" w:eastAsia="Garamond" w:hAnsi="Garamond" w:cs="Garamond"/>
          <w:i/>
          <w:iCs/>
          <w:color w:val="1B2A4A"/>
          <w:sz w:val="22"/>
          <w:szCs w:val="22"/>
        </w:rPr>
        <w:t>The Judicial Monitor</w:t>
      </w:r>
    </w:p>
    <w:p w14:paraId="153206F1" w14:textId="77777777" w:rsidR="00AF3D56" w:rsidRDefault="00000000">
      <w:pPr>
        <w:spacing w:after="120"/>
        <w:ind w:left="431"/>
        <w:jc w:val="both"/>
      </w:pPr>
      <w:r>
        <w:rPr>
          <w:rFonts w:ascii="Garamond" w:eastAsia="Garamond" w:hAnsi="Garamond" w:cs="Garamond"/>
          <w:color w:val="2A2A2A"/>
          <w:sz w:val="22"/>
          <w:szCs w:val="22"/>
        </w:rPr>
        <w:t>The JM audits the courts for judicial scope and independence, and conducts annual audits of the Elections Panel for electoral integrity compliance, including the administration of the Judicial Pool and all constitutional pools. The JM reviews compliance with treaty obligations under Article XVI and Associated Community compact agreements under Article XX. The JM administers all constitutional lottery draws and candidate certification functions.</w:t>
      </w:r>
    </w:p>
    <w:p w14:paraId="3B4115BB" w14:textId="77777777" w:rsidR="00AF3D56" w:rsidRDefault="00000000">
      <w:pPr>
        <w:spacing w:before="200" w:after="60"/>
        <w:ind w:left="431"/>
      </w:pPr>
      <w:r>
        <w:rPr>
          <w:rFonts w:ascii="Courier New" w:eastAsia="Courier New" w:hAnsi="Courier New" w:cs="Courier New"/>
          <w:b/>
          <w:bCs/>
          <w:color w:val="2A2A2A"/>
          <w:sz w:val="18"/>
          <w:szCs w:val="18"/>
        </w:rPr>
        <w:t xml:space="preserve">§9.1.d  </w:t>
      </w:r>
      <w:r>
        <w:rPr>
          <w:rFonts w:ascii="Garamond" w:eastAsia="Garamond" w:hAnsi="Garamond" w:cs="Garamond"/>
          <w:i/>
          <w:iCs/>
          <w:color w:val="1B2A4A"/>
          <w:sz w:val="22"/>
          <w:szCs w:val="22"/>
        </w:rPr>
        <w:t>Monitor General Term Expiry and Incapacity</w:t>
      </w:r>
    </w:p>
    <w:p w14:paraId="4AEB7A07" w14:textId="77777777" w:rsidR="00AF3D56" w:rsidRDefault="00000000">
      <w:pPr>
        <w:spacing w:after="120"/>
        <w:ind w:left="431"/>
        <w:jc w:val="both"/>
      </w:pPr>
      <w:r>
        <w:rPr>
          <w:rFonts w:ascii="Garamond" w:eastAsia="Garamond" w:hAnsi="Garamond" w:cs="Garamond"/>
          <w:color w:val="2A2A2A"/>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where two or more pool members have equal continuous pool tenure, the tiebreaker is defined by statute. The Acting Monitor General holds full constitutional authority of the office. The Acting Monitor General is not eligible for permanent appointment to the position in which they serve; upon </w:t>
        <w:lastRenderedPageBreak/>
        <w:t>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14:paraId="46B5493E" w14:textId="77777777" w:rsidR="00AF3D56" w:rsidRDefault="00000000">
      <w:pPr>
        <w:spacing w:before="200" w:after="60"/>
        <w:ind w:left="431"/>
      </w:pPr>
      <w:r>
        <w:rPr>
          <w:rFonts w:ascii="Courier New" w:eastAsia="Courier New" w:hAnsi="Courier New" w:cs="Courier New"/>
          <w:b/>
          <w:bCs/>
          <w:color w:val="2A2A2A"/>
          <w:sz w:val="18"/>
          <w:szCs w:val="18"/>
        </w:rPr>
        <w:t xml:space="preserve">§9.2  </w:t>
      </w:r>
      <w:r>
        <w:rPr>
          <w:rFonts w:ascii="Garamond" w:eastAsia="Garamond" w:hAnsi="Garamond" w:cs="Garamond"/>
          <w:i/>
          <w:iCs/>
          <w:color w:val="1B2A4A"/>
          <w:sz w:val="22"/>
          <w:szCs w:val="22"/>
        </w:rPr>
        <w:t>Selection and Independence</w:t>
      </w:r>
    </w:p>
    <w:p w14:paraId="33C79C2D" w14:textId="77777777" w:rsidR="00AF3D56" w:rsidRDefault="00000000">
      <w:pPr>
        <w:spacing w:after="120"/>
        <w:ind w:left="431"/>
        <w:jc w:val="both"/>
      </w:pPr>
      <w:r>
        <w:rPr>
          <w:rFonts w:ascii="Garamond" w:eastAsia="Garamond" w:hAnsi="Garamond" w:cs="Garamond"/>
          <w:color w:val="2A2A2A"/>
          <w:sz w:val="22"/>
          <w:szCs w:val="22"/>
        </w:rPr>
        <w:t>Each Monitor is constituted through a process that structurally excludes the body being watched from selecting its watchers. The SC nominates the LM Monitor General, confirmed by national popular vote. The Assembly Speaker and Senate Speaker jointly nominate the EM Monitor General, confirmed by national popular vote with JM audit findings on the nominee’s disclosure record published to the NRS before the vote. The JM Monitor General is selected by public lottery from a pool of former judges audited by the LM and EM.</w:t>
      </w:r>
    </w:p>
    <w:p w14:paraId="0BBF3D39" w14:textId="77777777" w:rsidR="00AF3D56" w:rsidRDefault="00000000">
      <w:pPr>
        <w:spacing w:before="200" w:after="60"/>
        <w:ind w:left="431"/>
      </w:pPr>
      <w:r>
        <w:rPr>
          <w:rFonts w:ascii="Courier New" w:eastAsia="Courier New" w:hAnsi="Courier New" w:cs="Courier New"/>
          <w:b/>
          <w:bCs/>
          <w:color w:val="2A2A2A"/>
          <w:sz w:val="18"/>
          <w:szCs w:val="18"/>
        </w:rPr>
        <w:t xml:space="preserve">§9.3  </w:t>
      </w:r>
      <w:r>
        <w:rPr>
          <w:rFonts w:ascii="Garamond" w:eastAsia="Garamond" w:hAnsi="Garamond" w:cs="Garamond"/>
          <w:i/>
          <w:iCs/>
          <w:color w:val="1B2A4A"/>
          <w:sz w:val="22"/>
          <w:szCs w:val="22"/>
        </w:rPr>
        <w:t>Monitor General Selection</w:t>
      </w:r>
    </w:p>
    <w:p w14:paraId="429C6323" w14:textId="77777777" w:rsidR="00AF3D56" w:rsidRDefault="00000000">
      <w:pPr>
        <w:spacing w:after="120"/>
        <w:ind w:left="431"/>
        <w:jc w:val="both"/>
      </w:pPr>
      <w:r>
        <w:rPr>
          <w:rFonts w:ascii="Garamond" w:eastAsia="Garamond" w:hAnsi="Garamond" w:cs="Garamond"/>
          <w:color w:val="2A2A2A"/>
          <w:sz w:val="22"/>
          <w:szCs w:val="22"/>
        </w:rPr>
        <w:t>All Monitor General confirmations follow the same process: the nominated or lottery-selected candidate is confirmed by national popular vote at the next federal electoral period by simple majority; timing is defined by statute to ensure seamless succession; if the confirmation vote fails, the §9.1.d acting mechanism activates and a new selection must begin within 60 days. The Elections Panel administers all confirmation votes. The LM Monitor General is nominated by the SC from the pool maintained by the Elections Panel and audited jointly by the EM and JM. The EM Monitor General is nominated jointly by the Assembly Speaker and Senate Speaker from the pool maintained by the Elections Panel and audited jointly by the LM and JM, with JM audit findings on the nominee’s disclosure record published to the NRS before the vote; where the Speakers fail to jointly nominate within 60 days of a vacancy, the Senate selects from the pool by 2/3 vote. The JM Monitor General is selected by public lottery under §9.8 from the JM Candidate Pool under §9.4. A Monitor General confirmed following an unscheduled vacancy serves only the remainder of the original term. No two Monitor General full terms may be scheduled to begin within 18 months of each other; service for the remainder of a predecessor's term does not commence a new term for the purposes of this spacing requirement. The confirmed successor assumes full authority at the precise moment the incumbent’s term concludes.</w:t>
      </w:r>
    </w:p>
    <w:p w14:paraId="04940EBC" w14:textId="77777777" w:rsidR="00AF3D56" w:rsidRDefault="00000000">
      <w:pPr>
        <w:spacing w:before="200" w:after="60"/>
        <w:ind w:left="431"/>
      </w:pPr>
      <w:r>
        <w:rPr>
          <w:rFonts w:ascii="Courier New" w:eastAsia="Courier New" w:hAnsi="Courier New" w:cs="Courier New"/>
          <w:b/>
          <w:bCs/>
          <w:color w:val="2A2A2A"/>
          <w:sz w:val="18"/>
          <w:szCs w:val="18"/>
        </w:rPr>
        <w:t xml:space="preserve">§9.4  </w:t>
      </w:r>
      <w:r>
        <w:rPr>
          <w:rFonts w:ascii="Garamond" w:eastAsia="Garamond" w:hAnsi="Garamond" w:cs="Garamond"/>
          <w:i/>
          <w:iCs/>
          <w:color w:val="1B2A4A"/>
          <w:sz w:val="22"/>
          <w:szCs w:val="22"/>
        </w:rPr>
        <w:t>Judicial Monitor Audit and Lottery Administration Mandate</w:t>
      </w:r>
    </w:p>
    <w:p>
      <w:pPr>
        <w:spacing w:after="120"/>
        <w:ind w:left="431"/>
        <w:jc w:val="both"/>
      </w:pPr>
      <w:r>
        <w:rPr>
          <w:rFonts w:ascii="Garamond" w:eastAsia="Garamond" w:hAnsi="Garamond" w:cs="Garamond"/>
          <w:color w:val="2A2A2A"/>
          <w:sz w:val="22"/>
          <w:szCs w:val="22"/>
        </w:rPr>
        <w:t xml:space="preserve">(1) The JM holds two constitutional mandates: as auditor, it monitors the court system, audits the Elections Panel's administration of the Judicial Pool, and conducts compliance audits across compact obligations; as certification administrator, it certifies lottery draws and panel selections throughout the constitution.</w:t>
      </w:r>
    </w:p>
    <w:p>
      <w:pPr>
        <w:spacing w:after="120"/>
        <w:ind w:left="431"/>
        <w:jc w:val="both"/>
      </w:pPr>
      <w:r>
        <w:rPr>
          <w:rFonts w:ascii="Garamond" w:eastAsia="Garamond" w:hAnsi="Garamond" w:cs="Garamond"/>
          <w:color w:val="2A2A2A"/>
          <w:sz w:val="22"/>
          <w:szCs w:val="22"/>
        </w:rPr>
        <w:t xml:space="preserve">(2) The audit mandate is information-only; the lottery administration mandate is ministerial — the JM administers the process and certifies the result, but cannot influence the outcome.</w:t>
      </w:r>
    </w:p>
    <w:p>
      <w:pPr>
        <w:spacing w:after="120"/>
        <w:ind w:left="431"/>
        <w:jc w:val="both"/>
      </w:pPr>
      <w:r>
        <w:rPr>
          <w:rFonts w:ascii="Garamond" w:eastAsia="Garamond" w:hAnsi="Garamond" w:cs="Garamond"/>
          <w:color w:val="2A2A2A"/>
          <w:sz w:val="22"/>
          <w:szCs w:val="22"/>
        </w:rPr>
        <w:t xml:space="preserve">(3) Annual audit responsibilities include: court operations for scope compliance and independence; the Elections Panel for electoral integrity; SC independence; inferior court compliance with jurisdictional limits; and compliance under Article XIV, Article XIX, Article XVI treaty obligations, and Article XX compacts.</w:t>
      </w:r>
    </w:p>
    <w:p>
      <w:pPr>
        <w:spacing w:after="120"/>
        <w:ind w:left="431"/>
        <w:jc w:val="both"/>
      </w:pPr>
      <w:r>
        <w:rPr>
          <w:rFonts w:ascii="Garamond" w:eastAsia="Garamond" w:hAnsi="Garamond" w:cs="Garamond"/>
          <w:color w:val="2A2A2A"/>
          <w:sz w:val="22"/>
          <w:szCs w:val="22"/>
        </w:rPr>
        <w:t xml:space="preserve">(4) Any candidate removed from a ballot by the Elections Panel may appeal to the Appellate Court within 14 days; the Court reviews only whether eligibility criteria were correctly applied and must rule within 21 days.</w:t>
      </w:r>
    </w:p>
    <w:p>
      <w:pPr>
        <w:spacing w:after="120"/>
        <w:ind w:left="431"/>
        <w:jc w:val="both"/>
      </w:pPr>
      <w:r>
        <w:rPr>
          <w:rFonts w:ascii="Garamond" w:eastAsia="Garamond" w:hAnsi="Garamond" w:cs="Garamond"/>
          <w:color w:val="2A2A2A"/>
          <w:sz w:val="22"/>
          <w:szCs w:val="22"/>
        </w:rPr>
        <w:t xml:space="preserve">(5) 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w:t>
      </w:r>
    </w:p>
    <w:p>
      <w:pPr>
        <w:spacing w:after="120"/>
        <w:ind w:left="431"/>
        <w:jc w:val="both"/>
      </w:pPr>
      <w:r>
        <w:rPr>
          <w:rFonts w:ascii="Garamond" w:eastAsia="Garamond" w:hAnsi="Garamond" w:cs="Garamond"/>
          <w:color w:val="2A2A2A"/>
          <w:sz w:val="22"/>
          <w:szCs w:val="22"/>
        </w:rPr>
        <w:t xml:space="preserve">(6) The JM holds no role in constituting or certifying its own candidate pool. The Elections Panel applies the eligibility criteria and enters qualifying applicants into the pool.</w:t>
      </w:r>
    </w:p>
    <w:p>
      <w:pPr>
        <w:spacing w:after="120"/>
        <w:ind w:left="431"/>
        <w:jc w:val="both"/>
      </w:pPr>
      <w:r>
        <w:rPr>
          <w:rFonts w:ascii="Garamond" w:eastAsia="Garamond" w:hAnsi="Garamond" w:cs="Garamond"/>
          <w:color w:val="2A2A2A"/>
          <w:sz w:val="22"/>
          <w:szCs w:val="22"/>
        </w:rPr>
        <w:t xml:space="preserve">(7) The LM's ongoing audit encompasses verification of judicial service records; the EM's ongoing audit encompasses financial disclosure review; both publish findings to the NRS.</w:t>
      </w:r>
    </w:p>
    <w:p>
      <w:pPr>
        <w:spacing w:after="120"/>
        <w:ind w:left="431"/>
        <w:jc w:val="both"/>
      </w:pPr>
      <w:r>
        <w:rPr>
          <w:rFonts w:ascii="Garamond" w:eastAsia="Garamond" w:hAnsi="Garamond" w:cs="Garamond"/>
          <w:color w:val="2A2A2A"/>
          <w:sz w:val="22"/>
          <w:szCs w:val="22"/>
        </w:rPr>
        <w:t xml:space="preserve">(8) The JMC conducts the lottery in a public session; the outgoing JM Monitor General does not participate. The pool is publicly accessible at all times.</w:t>
      </w:r>
    </w:p>
    <w:p w14:paraId="617C0C91" w14:textId="77777777" w:rsidR="00AF3D56" w:rsidRDefault="00000000">
      <w:pPr>
        <w:spacing w:before="200" w:after="60"/>
        <w:ind w:left="431"/>
      </w:pPr>
      <w:r>
        <w:rPr>
          <w:rFonts w:ascii="Courier New" w:eastAsia="Courier New" w:hAnsi="Courier New" w:cs="Courier New"/>
          <w:b/>
          <w:bCs/>
          <w:color w:val="2A2A2A"/>
          <w:sz w:val="18"/>
          <w:szCs w:val="18"/>
        </w:rPr>
        <w:t xml:space="preserve">§9.4.a  </w:t>
      </w:r>
      <w:r>
        <w:rPr>
          <w:rFonts w:ascii="Garamond" w:eastAsia="Garamond" w:hAnsi="Garamond" w:cs="Garamond"/>
          <w:i/>
          <w:iCs/>
          <w:color w:val="1B2A4A"/>
          <w:sz w:val="22"/>
          <w:szCs w:val="22"/>
        </w:rPr>
        <w:t>Judicial Pool — Eligibility Criteria</w:t>
      </w:r>
    </w:p>
    <w:p w14:paraId="6EFB0724" w14:textId="77777777" w:rsidR="00AF3D56" w:rsidRDefault="00000000">
      <w:pPr>
        <w:spacing w:after="120"/>
        <w:ind w:left="431"/>
        <w:jc w:val="both"/>
      </w:pPr>
      <w:r>
        <w:rPr>
          <w:rFonts w:ascii="Garamond" w:eastAsia="Garamond" w:hAnsi="Garamond" w:cs="Garamond"/>
          <w:color w:val="2A2A2A"/>
          <w:sz w:val="22"/>
          <w:szCs w:val="22"/>
        </w:rPr>
        <w:lastRenderedPageBreak/>
        <w:t>The Elections Panel maintains the standing Judicial Pool from which all federal judicial appointments are drawn. Any citizen meeting the following eligibility criteria may apply directly to the Elections Panel: at least 15 years of legal practice or 10 years of judicial service; no current government position; no disqualifying financial interest as defined in §12.4. The Elections Panel applies the stated eligibility criteria and enters qualifying applicants into the Judicial Pool. The JM’s ongoing audit of the Elections Panel encompasses the administration of the Judicial Pool;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Judicial Pool is publicly accessible on the NRS at all times.</w:t>
      </w:r>
    </w:p>
    <w:p w14:paraId="2F4DE292" w14:textId="77777777" w:rsidR="00AF3D56" w:rsidRDefault="00000000">
      <w:pPr>
        <w:spacing w:before="200" w:after="60"/>
        <w:ind w:left="431"/>
      </w:pPr>
      <w:r>
        <w:rPr>
          <w:rFonts w:ascii="Courier New" w:eastAsia="Courier New" w:hAnsi="Courier New" w:cs="Courier New"/>
          <w:b/>
          <w:bCs/>
          <w:color w:val="2A2A2A"/>
          <w:sz w:val="18"/>
          <w:szCs w:val="18"/>
        </w:rPr>
        <w:t xml:space="preserve">§9.5  </w:t>
      </w:r>
      <w:r>
        <w:rPr>
          <w:rFonts w:ascii="Garamond" w:eastAsia="Garamond" w:hAnsi="Garamond" w:cs="Garamond"/>
          <w:i/>
          <w:iCs/>
          <w:color w:val="1B2A4A"/>
          <w:sz w:val="22"/>
          <w:szCs w:val="22"/>
        </w:rPr>
        <w:t>Monitor Operations</w:t>
      </w:r>
    </w:p>
    <w:p w14:paraId="59F9C37E" w14:textId="77777777" w:rsidR="00AF3D56" w:rsidRDefault="00000000">
      <w:pPr>
        <w:spacing w:after="120"/>
        <w:ind w:left="431"/>
        <w:jc w:val="both"/>
      </w:pPr>
      <w:r>
        <w:rPr>
          <w:rFonts w:ascii="Garamond" w:eastAsia="Garamond" w:hAnsi="Garamond" w:cs="Garamond"/>
          <w:color w:val="2A2A2A"/>
          <w:sz w:val="22"/>
          <w:szCs w:val="22"/>
        </w:rPr>
        <w:t>Every finding, report, and discrepancy notice must be published to the NRS permanently and free of charge; no official may suppress, delay, classify, or alter a Monitor report before publication. Monitor reports are permanently exempt from classification.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14:paraId="6A6B7C01" w14:textId="77777777" w:rsidR="00AF3D56" w:rsidRDefault="00000000">
      <w:pPr>
        <w:spacing w:before="200" w:after="60"/>
        <w:ind w:left="431"/>
      </w:pPr>
      <w:r>
        <w:rPr>
          <w:rFonts w:ascii="Courier New" w:eastAsia="Courier New" w:hAnsi="Courier New" w:cs="Courier New"/>
          <w:b/>
          <w:bCs/>
          <w:color w:val="2A2A2A"/>
          <w:sz w:val="18"/>
          <w:szCs w:val="18"/>
        </w:rPr>
        <w:t xml:space="preserve">§9.5.a  </w:t>
      </w:r>
      <w:r>
        <w:rPr>
          <w:rFonts w:ascii="Garamond" w:eastAsia="Garamond" w:hAnsi="Garamond" w:cs="Garamond"/>
          <w:i/>
          <w:iCs/>
          <w:color w:val="1B2A4A"/>
          <w:sz w:val="22"/>
          <w:szCs w:val="22"/>
        </w:rPr>
        <w:t>Compliance Standards and Findings</w:t>
      </w:r>
    </w:p>
    <w:p w14:paraId="6A6B7C02" w14:textId="77777777" w:rsidR="00AF3D56" w:rsidRDefault="00000000">
      <w:pPr>
        <w:spacing w:after="120"/>
        <w:ind w:left="431"/>
        <w:jc w:val="both"/>
      </w:pPr>
      <w:r>
        <w:rPr>
          <w:rFonts w:ascii="Garamond" w:eastAsia="Garamond" w:hAnsi="Garamond" w:cs="Garamond"/>
          <w:color w:val="2A2A2A"/>
          <w:sz w:val="22"/>
          <w:szCs w:val="22"/>
        </w:rPr>
        <w:t>The JMC defines and publishes to the NRS the compliance standard for each category of audit — the criteria by which each aspect of a finding is determined Pass or Fail, evaluated separately rather than as a single whole-entity judgment. No Monitor may issue a Pass or Fail finding for a category of audit for which the JMC has not yet published a standard; the underlying audit function continues, but produces no Pass or Fail determination until a standard exists. The JMC may adopt a single standard or separate standards tailored to distinct categories of audit. For each standard, the JMC publishes both the criteria and the methodology by which the criteria were developed. Where more than one standard exists, every published finding identifies which standard was applied. Each Fail is reported to the body responsible for that aspect, which publishes its own account of the matter for the public record. A change to any standard takes effect only for findings arising after the change is published. This prospective-only protection applies equally to the adoption of a new category of standard for any audit subject with a finding already pending at the time of publication. Where the JMC cannot reach consensus, each Monitor General’s proposed standard and methodology are published individually under §9.7’s dissent procedure.</w:t>
      </w:r>
    </w:p>
    <w:p w14:paraId="1C2D3E01" w14:textId="77777777" w:rsidR="00AF3D56" w:rsidRDefault="00000000">
      <w:pPr>
        <w:spacing w:before="200" w:after="60"/>
        <w:ind w:left="431"/>
      </w:pPr>
      <w:r>
        <w:rPr>
          <w:rFonts w:ascii="Courier New" w:eastAsia="Courier New" w:hAnsi="Courier New" w:cs="Courier New"/>
          <w:b/>
          <w:bCs/>
          <w:color w:val="2A2A2A"/>
          <w:sz w:val="18"/>
          <w:szCs w:val="18"/>
        </w:rPr>
        <w:t xml:space="preserve">§9.5.b  </w:t>
      </w:r>
      <w:r>
        <w:rPr>
          <w:rFonts w:ascii="Garamond" w:eastAsia="Garamond" w:hAnsi="Garamond" w:cs="Garamond"/>
          <w:i/>
          <w:iCs/>
          <w:color w:val="1B2A4A"/>
          <w:sz w:val="22"/>
          <w:szCs w:val="22"/>
        </w:rPr>
        <w:t>Agency Accountability</w:t>
      </w:r>
    </w:p>
    <w:p w14:paraId="1C2D3E02" w14:textId="77777777" w:rsidR="00AF3D56" w:rsidRDefault="00000000">
      <w:pPr>
        <w:spacing w:after="120"/>
        <w:ind w:left="431"/>
        <w:jc w:val="both"/>
      </w:pPr>
      <w:r>
        <w:rPr>
          <w:rFonts w:ascii="Garamond" w:eastAsia="Garamond" w:hAnsi="Garamond" w:cs="Garamond"/>
          <w:color w:val="2A2A2A"/>
          <w:sz w:val="22"/>
          <w:szCs w:val="22"/>
        </w:rPr>
        <w:t>Every agency the Legislature establishes is bound both by whatever this constitution specifies for it and by whatever mandate the Legislature has assigned to it by statute. A Fail reported under §9.5.a does not substitute for the responsible body’s own independent obligation to act on matters within its operational control.</w:t>
      </w:r>
    </w:p>
    <w:p w14:paraId="5DCDAB6A" w14:textId="77777777" w:rsidR="00AF3D56" w:rsidRDefault="00000000">
      <w:pPr>
        <w:spacing w:before="200" w:after="60"/>
        <w:ind w:left="431"/>
      </w:pPr>
      <w:r>
        <w:rPr>
          <w:rFonts w:ascii="Courier New" w:eastAsia="Courier New" w:hAnsi="Courier New" w:cs="Courier New"/>
          <w:b/>
          <w:bCs/>
          <w:color w:val="2A2A2A"/>
          <w:sz w:val="18"/>
          <w:szCs w:val="18"/>
        </w:rPr>
        <w:t xml:space="preserve">§9.6  </w:t>
      </w:r>
      <w:r>
        <w:rPr>
          <w:rFonts w:ascii="Garamond" w:eastAsia="Garamond" w:hAnsi="Garamond" w:cs="Garamond"/>
          <w:i/>
          <w:iCs/>
          <w:color w:val="1B2A4A"/>
          <w:sz w:val="22"/>
          <w:szCs w:val="22"/>
        </w:rPr>
        <w:t>Monitor Minimum Funding Guarantee</w:t>
      </w:r>
    </w:p>
    <w:p w14:paraId="3635D7E7" w14:textId="77777777" w:rsidR="00AF3D56" w:rsidRDefault="00000000">
      <w:pPr>
        <w:spacing w:after="120"/>
        <w:ind w:left="431"/>
        <w:jc w:val="both"/>
      </w:pPr>
      <w:r>
        <w:rPr>
          <w:rFonts w:ascii="Garamond" w:eastAsia="Garamond" w:hAnsi="Garamond" w:cs="Garamond"/>
          <w:color w:val="2A2A2A"/>
          <w:sz w:val="22"/>
          <w:szCs w:val="22"/>
        </w:rPr>
        <w:t>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14:paraId="4AA87CF4" w14:textId="77777777" w:rsidR="00AF3D56" w:rsidRDefault="00000000">
      <w:pPr>
        <w:spacing w:before="200" w:after="60"/>
        <w:ind w:left="431"/>
      </w:pPr>
      <w:r>
        <w:rPr>
          <w:rFonts w:ascii="Courier New" w:eastAsia="Courier New" w:hAnsi="Courier New" w:cs="Courier New"/>
          <w:b/>
          <w:bCs/>
          <w:color w:val="2A2A2A"/>
          <w:sz w:val="18"/>
          <w:szCs w:val="18"/>
        </w:rPr>
        <w:t xml:space="preserve">§9.7  </w:t>
      </w:r>
      <w:r>
        <w:rPr>
          <w:rFonts w:ascii="Garamond" w:eastAsia="Garamond" w:hAnsi="Garamond" w:cs="Garamond"/>
          <w:i/>
          <w:iCs/>
          <w:color w:val="1B2A4A"/>
          <w:sz w:val="22"/>
          <w:szCs w:val="22"/>
        </w:rPr>
        <w:t>Joint Monitor Council</w:t>
      </w:r>
    </w:p>
    <w:p>
      <w:pPr>
        <w:spacing w:after="120"/>
        <w:ind w:left="431"/>
        <w:jc w:val="both"/>
      </w:pPr>
      <w:r>
        <w:rPr>
          <w:rFonts w:ascii="Garamond" w:eastAsia="Garamond" w:hAnsi="Garamond" w:cs="Garamond"/>
          <w:color w:val="2A2A2A"/>
          <w:sz w:val="22"/>
          <w:szCs w:val="22"/>
        </w:rPr>
        <w:t xml:space="preserve">(1) The three Monitor Generals jointly constitute the JMC as the standing coordination body for matters crossing Monitor jurisdictions.</w:t>
      </w:r>
    </w:p>
    <w:p>
      <w:pPr>
        <w:spacing w:after="120"/>
        <w:ind w:left="431"/>
        <w:jc w:val="both"/>
      </w:pPr>
      <w:r>
        <w:rPr>
          <w:rFonts w:ascii="Garamond" w:eastAsia="Garamond" w:hAnsi="Garamond" w:cs="Garamond"/>
          <w:color w:val="2A2A2A"/>
          <w:sz w:val="22"/>
          <w:szCs w:val="22"/>
        </w:rPr>
        <w:t xml:space="preserve">(2) The JMC formally houses all jointly administered constitutional functions — including lottery draws and selection processes throughout the constitution.</w:t>
      </w:r>
    </w:p>
    <w:p>
      <w:pPr>
        <w:spacing w:after="120"/>
        <w:ind w:left="431"/>
        <w:jc w:val="both"/>
      </w:pPr>
      <w:r>
        <w:rPr>
          <w:rFonts w:ascii="Garamond" w:eastAsia="Garamond" w:hAnsi="Garamond" w:cs="Garamond"/>
          <w:color w:val="2A2A2A"/>
          <w:sz w:val="22"/>
          <w:szCs w:val="22"/>
        </w:rPr>
        <w:t xml:space="preserve">(3) The chair of any joint session is the Monitor General whose domain covers the primary subject matter; where all domains are equally engaged, the chair rotates annually.</w:t>
      </w:r>
    </w:p>
    <w:p>
      <w:pPr>
        <w:spacing w:after="120"/>
        <w:ind w:left="431"/>
        <w:jc w:val="both"/>
      </w:pPr>
      <w:r>
        <w:rPr>
          <w:rFonts w:ascii="Garamond" w:eastAsia="Garamond" w:hAnsi="Garamond" w:cs="Garamond"/>
          <w:color w:val="2A2A2A"/>
          <w:sz w:val="22"/>
          <w:szCs w:val="22"/>
        </w:rPr>
        <w:t xml:space="preserve">(4)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w:t>
      </w:r>
    </w:p>
    <w:p>
      <w:pPr>
        <w:spacing w:after="120"/>
        <w:ind w:left="431"/>
        <w:jc w:val="both"/>
      </w:pPr>
      <w:r>
        <w:rPr>
          <w:rFonts w:ascii="Garamond" w:eastAsia="Garamond" w:hAnsi="Garamond" w:cs="Garamond"/>
          <w:color w:val="2A2A2A"/>
          <w:sz w:val="22"/>
          <w:szCs w:val="22"/>
        </w:rPr>
        <w:t xml:space="preserve">(5) Where the Monitor Generals cannot reach consensus on a joint matter, each publishes their individual assessment and the disagreement is noted in the permanent NRS record. Sustained non-participation by a single Monitor General is subject to the §9.7.a Institutional Compromise Protocol.</w:t>
      </w:r>
    </w:p>
    <w:p>
      <w:pPr>
        <w:spacing w:after="120"/>
        <w:ind w:left="431"/>
        <w:jc w:val="both"/>
      </w:pPr>
      <w:r>
        <w:rPr>
          <w:rFonts w:ascii="Garamond" w:eastAsia="Garamond" w:hAnsi="Garamond" w:cs="Garamond"/>
          <w:color w:val="2A2A2A"/>
          <w:sz w:val="22"/>
          <w:szCs w:val="22"/>
        </w:rPr>
        <w:t xml:space="preserve">(6)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w:t>
      </w:r>
    </w:p>
    <w:p>
      <w:pPr>
        <w:spacing w:after="120"/>
        <w:ind w:left="431"/>
        <w:jc w:val="both"/>
      </w:pPr>
      <w:r>
        <w:rPr>
          <w:rFonts w:ascii="Garamond" w:eastAsia="Garamond" w:hAnsi="Garamond" w:cs="Garamond"/>
          <w:color w:val="2A2A2A"/>
          <w:sz w:val="22"/>
          <w:szCs w:val="22"/>
        </w:rPr>
        <w:t xml:space="preserve">(7) The JMC has no authority to override the individual mandate of any Monitor. Where this Constitution assigns a function to the JMC, the JMC exercises that function collectively by majority vote of participating Monitor Generals and publishes its determinations to the NRS; a dissenting Monitor General's position is published alongside.</w:t>
      </w:r>
    </w:p>
    <w:p>
      <w:pPr>
        <w:spacing w:after="120"/>
        <w:ind w:left="431"/>
        <w:jc w:val="both"/>
      </w:pPr>
      <w:r>
        <w:rPr>
          <w:rFonts w:ascii="Garamond" w:eastAsia="Garamond" w:hAnsi="Garamond" w:cs="Garamond"/>
          <w:color w:val="2A2A2A"/>
          <w:sz w:val="22"/>
          <w:szCs w:val="22"/>
        </w:rPr>
        <w:t xml:space="preserve">(8) The JMC may delegate operational responsibility for any assigned function to one or more individual Monitor Generals without transferring constitutional accountability for the function; it may also coordinate resource allocation across Monitor offices as needed to fulfill assigned functions, provided no Monitor's capacity to fulfill their individual mandate is diminished.</w:t>
      </w:r>
    </w:p>
    <w:p w14:paraId="573CA303"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§9.7.a  </w:t>
      </w:r>
      <w:r>
        <w:rPr>
          <w:rFonts w:ascii="Garamond" w:eastAsia="Garamond" w:hAnsi="Garamond" w:cs="Garamond"/>
          <w:i/>
          <w:iCs/>
          <w:color w:val="1B2A4A"/>
          <w:sz w:val="22"/>
          <w:szCs w:val="22"/>
        </w:rPr>
        <w:t>Institutional Compromise Protocol</w:t>
      </w:r>
    </w:p>
    <w:p w14:paraId="4C467E62" w14:textId="77777777" w:rsidR="00AF3D56" w:rsidRDefault="00000000">
      <w:pPr>
        <w:spacing w:after="120"/>
        <w:ind w:left="431"/>
        <w:jc w:val="both"/>
      </w:pPr>
      <w:r>
        <w:rPr>
          <w:rFonts w:ascii="Garamond" w:eastAsia="Garamond" w:hAnsi="Garamond" w:cs="Garamond"/>
          <w:color w:val="2A2A2A"/>
          <w:sz w:val="22"/>
          <w:szCs w:val="22"/>
        </w:rPr>
        <w:t>Where two of the three Monitors jointly assess and report that the third is operating in demonstrable bad faith, they petition the SC directly for confirmation of the finding under its original jurisdiction in §4.5; the SC rules within 14 days. Upon filing the petition, the two petitioning Monitors jointly designate an Acting Monitor General as the most senior member of the affected Monitor’s candidate pool by continuous pool tenure who accepts the designation; both executives are notified immediately. The Acting Monitor General assumes all constitutional functions of the compromised Monitor from the moment of designation. If the SC rules that the finding is not confirmed, the Acting Monitor General stands down and all functions return immediately to the original Monitor General. Where the SC neither rules nor files an extension request within the applicable period, the Acting Monitor General stands down, all functions return to the original Monitor General, and the petition may be refiled.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14:paraId="476B5CB4" w14:textId="77777777" w:rsidR="00AF3D56" w:rsidRDefault="00000000">
      <w:pPr>
        <w:spacing w:before="200" w:after="60"/>
        <w:ind w:left="431"/>
      </w:pPr>
      <w:r>
        <w:rPr>
          <w:rFonts w:ascii="Courier New" w:eastAsia="Courier New" w:hAnsi="Courier New" w:cs="Courier New"/>
          <w:b/>
          <w:bCs/>
          <w:color w:val="2A2A2A"/>
          <w:sz w:val="18"/>
          <w:szCs w:val="18"/>
        </w:rPr>
        <w:t xml:space="preserve">§9.8  </w:t>
      </w:r>
      <w:r>
        <w:rPr>
          <w:rFonts w:ascii="Garamond" w:eastAsia="Garamond" w:hAnsi="Garamond" w:cs="Garamond"/>
          <w:i/>
          <w:iCs/>
          <w:color w:val="1B2A4A"/>
          <w:sz w:val="22"/>
          <w:szCs w:val="22"/>
        </w:rPr>
        <w:t>Constitutional Pool Framework</w:t>
      </w:r>
    </w:p>
    <w:p>
      <w:pPr>
        <w:spacing w:after="120"/>
        <w:ind w:left="431"/>
        <w:jc w:val="both"/>
      </w:pPr>
      <w:r>
        <w:rPr>
          <w:rFonts w:ascii="Garamond" w:eastAsia="Garamond" w:hAnsi="Garamond" w:cs="Garamond"/>
          <w:color w:val="2A2A2A"/>
          <w:sz w:val="22"/>
          <w:szCs w:val="22"/>
        </w:rPr>
        <w:t xml:space="preserve">(1) The Elections Panel maintains all constitutional candidate registries and pools, including the Judicial Pool, and administers public access to their records via the NRS.</w:t>
      </w:r>
    </w:p>
    <w:p>
      <w:pPr>
        <w:spacing w:after="120"/>
        <w:ind w:left="431"/>
        <w:jc w:val="both"/>
      </w:pPr>
      <w:r>
        <w:rPr>
          <w:rFonts w:ascii="Garamond" w:eastAsia="Garamond" w:hAnsi="Garamond" w:cs="Garamond"/>
          <w:color w:val="2A2A2A"/>
          <w:sz w:val="22"/>
          <w:szCs w:val="22"/>
        </w:rPr>
        <w:t xml:space="preserve">(2) Each pool is subject to ongoing Monitor audit; findings are published to the NRS.</w:t>
      </w:r>
    </w:p>
    <w:p>
      <w:pPr>
        <w:spacing w:after="120"/>
        <w:ind w:left="431"/>
        <w:jc w:val="both"/>
      </w:pPr>
      <w:r>
        <w:rPr>
          <w:rFonts w:ascii="Garamond" w:eastAsia="Garamond" w:hAnsi="Garamond" w:cs="Garamond"/>
          <w:color w:val="2A2A2A"/>
          <w:sz w:val="22"/>
          <w:szCs w:val="22"/>
        </w:rPr>
        <w:t xml:space="preserve">(3) Lottery draws are conducted by the JMC in a public session and published to the NRS.</w:t>
      </w:r>
    </w:p>
    <w:p>
      <w:pPr>
        <w:spacing w:after="120"/>
        <w:ind w:left="431"/>
        <w:jc w:val="both"/>
      </w:pPr>
      <w:r>
        <w:rPr>
          <w:rFonts w:ascii="Garamond" w:eastAsia="Garamond" w:hAnsi="Garamond" w:cs="Garamond"/>
          <w:color w:val="2A2A2A"/>
          <w:sz w:val="22"/>
          <w:szCs w:val="22"/>
        </w:rPr>
        <w:t xml:space="preserve">(4) The constitutional minimum for all pools is five eligible members; where a pool falls below five, the JM publishes a compliance breach and the relevant nominating bodies must act to restore the minimum within the period defined by statute.</w:t>
      </w:r>
    </w:p>
    <w:p>
      <w:pPr>
        <w:spacing w:after="120"/>
        <w:ind w:left="431"/>
        <w:jc w:val="both"/>
      </w:pPr>
      <w:r>
        <w:rPr>
          <w:rFonts w:ascii="Garamond" w:eastAsia="Garamond" w:hAnsi="Garamond" w:cs="Garamond"/>
          <w:color w:val="2A2A2A"/>
          <w:sz w:val="22"/>
          <w:szCs w:val="22"/>
        </w:rPr>
        <w:t xml:space="preserve">(5) Where a pool reaches zero before an acting designation is made, the most senior sitting State court judge by continuous service on a court of record who accepts the designation serves as Acting officer until the pool is restored; where two or more judges have equal continuous service, the oldest by age is designated first; a designee may not exercise State judicial functions while serving, and their State office is otherwise unaffected; this fallback applies only to judicial and Monitor pools.</w:t>
      </w:r>
    </w:p>
    <w:p>
      <w:pPr>
        <w:spacing w:after="120"/>
        <w:ind w:left="431"/>
        <w:jc w:val="both"/>
      </w:pPr>
      <w:r>
        <w:rPr>
          <w:rFonts w:ascii="Garamond" w:eastAsia="Garamond" w:hAnsi="Garamond" w:cs="Garamond"/>
          <w:color w:val="2A2A2A"/>
          <w:sz w:val="22"/>
          <w:szCs w:val="22"/>
        </w:rPr>
        <w:t xml:space="preserve">(6) Eligibility criteria for all pools are strictly objective — years of practice or service, office status, and financial interests as defined under §12.4. No registry administrator may apply criteria relating to legal philosophy, judicial temperament, ideological orientation, or political association; any exclusion on such grounds is constitutionally void.</w:t>
      </w:r>
    </w:p>
    <w:p>
      <w:pPr>
        <w:spacing w:after="120"/>
        <w:ind w:left="431"/>
        <w:jc w:val="both"/>
      </w:pPr>
      <w:r>
        <w:rPr>
          <w:rFonts w:ascii="Garamond" w:eastAsia="Garamond" w:hAnsi="Garamond" w:cs="Garamond"/>
          <w:color w:val="2A2A2A"/>
          <w:sz w:val="22"/>
          <w:szCs w:val="22"/>
        </w:rPr>
        <w:t xml:space="preserve">(7) Where an applicant is excluded or removed, the administering body must publish the specific grounds to the NRS within 14 days; the applicant may appeal to the SC within 14 days of that publication on the sole ground that the eligibility criteria were misapplied.</w:t>
      </w:r>
    </w:p>
    <w:p>
      <w:pPr>
        <w:spacing w:after="120"/>
        <w:ind w:left="431"/>
        <w:jc w:val="both"/>
      </w:pPr>
      <w:r>
        <w:rPr>
          <w:rFonts w:ascii="Garamond" w:eastAsia="Garamond" w:hAnsi="Garamond" w:cs="Garamond"/>
          <w:color w:val="2A2A2A"/>
          <w:sz w:val="22"/>
          <w:szCs w:val="22"/>
        </w:rPr>
        <w:t xml:space="preserve">(8) Changes to eligibility criteria apply prospectively only and do not affect persons already entered in a constitutional pool or registry under the criteria applicable at the time of their entry.</w:t>
      </w:r>
    </w:p>
    <w:p w14:paraId="5BBA903E" w14:textId="77777777" w:rsidR="00AF3D56" w:rsidRDefault="00000000">
      <w:pPr>
        <w:spacing w:before="200" w:after="60"/>
        <w:ind w:left="431"/>
      </w:pPr>
      <w:r>
        <w:rPr>
          <w:rFonts w:ascii="Courier New" w:eastAsia="Courier New" w:hAnsi="Courier New" w:cs="Courier New"/>
          <w:b/>
          <w:bCs/>
          <w:color w:val="2A2A2A"/>
          <w:sz w:val="18"/>
          <w:szCs w:val="18"/>
        </w:rPr>
        <w:t xml:space="preserve">§9.9  </w:t>
      </w:r>
      <w:r>
        <w:rPr>
          <w:rFonts w:ascii="Garamond" w:eastAsia="Garamond" w:hAnsi="Garamond" w:cs="Garamond"/>
          <w:i/>
          <w:iCs/>
          <w:color w:val="1B2A4A"/>
          <w:sz w:val="22"/>
          <w:szCs w:val="22"/>
        </w:rPr>
        <w:t>Constitutional Officer Removal — Standard Track</w:t>
      </w:r>
    </w:p>
    <w:p>
      <w:pPr>
        <w:spacing w:after="120"/>
        <w:ind w:left="431"/>
        <w:jc w:val="both"/>
      </w:pPr>
      <w:r>
        <w:rPr>
          <w:rFonts w:ascii="Garamond" w:eastAsia="Garamond" w:hAnsi="Garamond" w:cs="Garamond"/>
          <w:color w:val="2A2A2A"/>
          <w:sz w:val="22"/>
          <w:szCs w:val="22"/>
        </w:rPr>
        <w:t xml:space="preserve">(1) This section governs for-cause removal of all constitutionally confirmed independent officers except Supreme Court justices under §4.3.a and elected executives. Monitor Generals are subject to for-cause removal under this section.</w:t>
      </w:r>
    </w:p>
    <w:p>
      <w:pPr>
        <w:spacing w:after="120"/>
        <w:ind w:left="431"/>
        <w:jc w:val="both"/>
      </w:pPr>
      <w:r>
        <w:rPr>
          <w:rFonts w:ascii="Garamond" w:eastAsia="Garamond" w:hAnsi="Garamond" w:cs="Garamond"/>
          <w:color w:val="2A2A2A"/>
          <w:sz w:val="22"/>
          <w:szCs w:val="22"/>
        </w:rPr>
        <w:t xml:space="preserve">(2) A concurrent resolution of 1/3 of either chamber, or two of the three Monitors jointly, may initiate removal by filing stated grounds with the SC.</w:t>
      </w:r>
    </w:p>
    <w:p>
      <w:pPr>
        <w:spacing w:after="120"/>
        <w:ind w:left="431"/>
        <w:jc w:val="both"/>
      </w:pPr>
      <w:r>
        <w:rPr>
          <w:rFonts w:ascii="Garamond" w:eastAsia="Garamond" w:hAnsi="Garamond" w:cs="Garamond"/>
          <w:color w:val="2A2A2A"/>
          <w:sz w:val="22"/>
          <w:szCs w:val="22"/>
        </w:rPr>
        <w:t xml:space="preserve">(3) The SC determines within 14 days whether the stated grounds constitute at least one statutory removal category for the subject office; the SC reviews constitutional category only, not factual merits.</w:t>
      </w:r>
    </w:p>
    <w:p>
      <w:pPr>
        <w:spacing w:after="120"/>
        <w:ind w:left="431"/>
        <w:jc w:val="both"/>
      </w:pPr>
      <w:r>
        <w:rPr>
          <w:rFonts w:ascii="Garamond" w:eastAsia="Garamond" w:hAnsi="Garamond" w:cs="Garamond"/>
          <w:color w:val="2A2A2A"/>
          <w:sz w:val="22"/>
          <w:szCs w:val="22"/>
        </w:rPr>
        <w:t xml:space="preserve">(4) If grounds are confirmed, duty suspension activates immediately and removal requires a 2/3 concurrent vote of both chambers; no removal vote may be held within 180 days of a major national election without prior SC review within 48 hours.</w:t>
      </w:r>
    </w:p>
    <w:p>
      <w:pPr>
        <w:spacing w:after="120"/>
        <w:ind w:left="431"/>
        <w:jc w:val="both"/>
      </w:pPr>
      <w:r>
        <w:rPr>
          <w:rFonts w:ascii="Garamond" w:eastAsia="Garamond" w:hAnsi="Garamond" w:cs="Garamond"/>
          <w:color w:val="2A2A2A"/>
          <w:sz w:val="22"/>
          <w:szCs w:val="22"/>
        </w:rPr>
        <w:t xml:space="preserve">(5) If grounds are not confirmed, the process closes and may not be reinitiated on the same or substantially similar grounds within six months.</w:t>
      </w:r>
    </w:p>
    <w:p>
      <w:pPr>
        <w:spacing w:after="120"/>
        <w:ind w:left="431"/>
        <w:jc w:val="both"/>
      </w:pPr>
      <w:r>
        <w:rPr>
          <w:rFonts w:ascii="Garamond" w:eastAsia="Garamond" w:hAnsi="Garamond" w:cs="Garamond"/>
          <w:color w:val="2A2A2A"/>
          <w:sz w:val="22"/>
          <w:szCs w:val="22"/>
        </w:rPr>
        <w:t xml:space="preserve">(6) The SC must rule within 14 days; where the SC requires additional time, a majority of seated justices may file an extension request within the 14-day period specifying the reason and the additional period required, published to the NRS; the maximum extension period is defined by statute. Where the SC neither rules nor files an extension request within the applicable period, the removal proceeding lapses for that session and may be reinitiated under this section.</w:t>
      </w:r>
    </w:p>
    <w:p>
      <w:pPr>
        <w:spacing w:after="120"/>
        <w:ind w:left="431"/>
        <w:jc w:val="both"/>
      </w:pPr>
      <w:r>
        <w:rPr>
          <w:rFonts w:ascii="Garamond" w:eastAsia="Garamond" w:hAnsi="Garamond" w:cs="Garamond"/>
          <w:color w:val="2A2A2A"/>
          <w:sz w:val="22"/>
          <w:szCs w:val="22"/>
        </w:rPr>
        <w:t xml:space="preserve">(7) The Legislature defines enumerated removal categories for each constitutionally confirmed office by statute.</w:t>
      </w:r>
    </w:p>
    <w:p w14:paraId="6FBB894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 — The National Record System</w:t>
      </w:r>
    </w:p>
    <w:p w14:paraId="088DBF10" w14:textId="77777777" w:rsidR="00AF3D56" w:rsidRDefault="00000000">
      <w:pPr>
        <w:spacing w:before="200" w:after="60"/>
        <w:ind w:left="431"/>
      </w:pPr>
      <w:r>
        <w:rPr>
          <w:rFonts w:ascii="Courier New" w:eastAsia="Courier New" w:hAnsi="Courier New" w:cs="Courier New"/>
          <w:b/>
          <w:bCs/>
          <w:color w:val="2A2A2A"/>
          <w:sz w:val="18"/>
          <w:szCs w:val="18"/>
        </w:rPr>
        <w:t xml:space="preserve">§10.1  </w:t>
      </w:r>
      <w:r>
        <w:rPr>
          <w:rFonts w:ascii="Garamond" w:eastAsia="Garamond" w:hAnsi="Garamond" w:cs="Garamond"/>
          <w:i/>
          <w:iCs/>
          <w:color w:val="1B2A4A"/>
          <w:sz w:val="22"/>
          <w:szCs w:val="22"/>
        </w:rPr>
        <w:t>National Record System</w:t>
      </w:r>
    </w:p>
    <w:p>
      <w:pPr>
        <w:spacing w:after="120"/>
        <w:ind w:left="431"/>
        <w:jc w:val="both"/>
      </w:pPr>
      <w:r>
        <w:rPr>
          <w:rFonts w:ascii="Garamond" w:eastAsia="Garamond" w:hAnsi="Garamond" w:cs="Garamond"/>
          <w:color w:val="2A2A2A"/>
          <w:sz w:val="22"/>
          <w:szCs w:val="22"/>
        </w:rPr>
        <w:t xml:space="preserve">(1) The National Record System is the permanent, tamper-evident public record of the Republic — freely accessible to every Inhabitant at no cost.</w:t>
      </w:r>
    </w:p>
    <w:p>
      <w:pPr>
        <w:spacing w:after="120"/>
        <w:ind w:left="431"/>
        <w:jc w:val="both"/>
      </w:pPr>
      <w:r>
        <w:rPr>
          <w:rFonts w:ascii="Garamond" w:eastAsia="Garamond" w:hAnsi="Garamond" w:cs="Garamond"/>
          <w:color w:val="2A2A2A"/>
          <w:sz w:val="22"/>
          <w:szCs w:val="22"/>
        </w:rPr>
        <w:t xml:space="preserve">(2) Every constitutional act, order, finding, certification, designation, declaration, and determination made under this Constitution is published to the NRS as a permanent record; no provision need state this obligation individually.</w:t>
      </w:r>
    </w:p>
    <w:p>
      <w:pPr>
        <w:spacing w:after="120"/>
        <w:ind w:left="431"/>
        <w:jc w:val="both"/>
      </w:pPr>
      <w:r>
        <w:rPr>
          <w:rFonts w:ascii="Garamond" w:eastAsia="Garamond" w:hAnsi="Garamond" w:cs="Garamond"/>
          <w:color w:val="2A2A2A"/>
          <w:sz w:val="22"/>
          <w:szCs w:val="22"/>
        </w:rPr>
        <w:t xml:space="preserve">(3) All electoral records — voter registration, ballot counts, audit trails, and certification documents — must be published to the NRS within the timeframes specified by the Elections Panel's constitutional mandate under Article XI; no classification exception applies to electoral records.</w:t>
      </w:r>
    </w:p>
    <w:p>
      <w:pPr>
        <w:spacing w:after="120"/>
        <w:ind w:left="431"/>
        <w:jc w:val="both"/>
      </w:pPr>
      <w:r>
        <w:rPr>
          <w:rFonts w:ascii="Garamond" w:eastAsia="Garamond" w:hAnsi="Garamond" w:cs="Garamond"/>
          <w:color w:val="2A2A2A"/>
          <w:sz w:val="22"/>
          <w:szCs w:val="22"/>
        </w:rPr>
        <w:t xml:space="preserve">(4) Where a specific publication timeline is provided it governs; otherwise publication occurs at or before the effective moment of the act.</w:t>
      </w:r>
    </w:p>
    <w:p>
      <w:pPr>
        <w:spacing w:after="120"/>
        <w:ind w:left="431"/>
        <w:jc w:val="both"/>
      </w:pPr>
      <w:r>
        <w:rPr>
          <w:rFonts w:ascii="Garamond" w:eastAsia="Garamond" w:hAnsi="Garamond" w:cs="Garamond"/>
          <w:color w:val="2A2A2A"/>
          <w:sz w:val="22"/>
          <w:szCs w:val="22"/>
        </w:rPr>
        <w:t xml:space="preserve">(5) Records may not be deleted, altered, or reclassified after publication; corrections are published as new entries alongside the original.</w:t>
      </w:r>
    </w:p>
    <w:p>
      <w:pPr>
        <w:spacing w:after="120"/>
        <w:ind w:left="431"/>
        <w:jc w:val="both"/>
      </w:pPr>
      <w:r>
        <w:rPr>
          <w:rFonts w:ascii="Garamond" w:eastAsia="Garamond" w:hAnsi="Garamond" w:cs="Garamond"/>
          <w:color w:val="2A2A2A"/>
          <w:sz w:val="22"/>
          <w:szCs w:val="22"/>
        </w:rPr>
        <w:t xml:space="preserve">(6) Where the NRS Panel determines by unanimous vote that a record poses an imminent, specific, and documented threat to individual safety, it may temporarily restrict access for up to 30 days pending judicial review; the reviewing court must rule within 14 days; the record is permanently restored unless the court confirms the restriction on the narrowest possible grounds; the applicable court is designated by statute. The original timestamp and the restriction record both remain as permanent NRS entries.</w:t>
      </w:r>
    </w:p>
    <w:p>
      <w:pPr>
        <w:spacing w:after="120"/>
        <w:ind w:left="431"/>
        <w:jc w:val="both"/>
      </w:pPr>
      <w:r>
        <w:rPr>
          <w:rFonts w:ascii="Garamond" w:eastAsia="Garamond" w:hAnsi="Garamond" w:cs="Garamond"/>
          <w:color w:val="2A2A2A"/>
          <w:sz w:val="22"/>
          <w:szCs w:val="22"/>
        </w:rPr>
        <w:t xml:space="preserve">(7) Government acts take legal effect from the moment of issuance regardless of NRS status — the NRS is the record of government, not a condition of it.</w:t>
      </w:r>
    </w:p>
    <w:p>
      <w:pPr>
        <w:spacing w:after="120"/>
        <w:ind w:left="431"/>
        <w:jc w:val="both"/>
      </w:pPr>
      <w:r>
        <w:rPr>
          <w:rFonts w:ascii="Garamond" w:eastAsia="Garamond" w:hAnsi="Garamond" w:cs="Garamond"/>
          <w:color w:val="2A2A2A"/>
          <w:sz w:val="22"/>
          <w:szCs w:val="22"/>
        </w:rPr>
        <w:t xml:space="preserve">(8) The JM maintains a continuously operating parallel authentication system, physically independent of the NRS, capable of preserving all constitutional acts with full constitutional effect from issuance; upon NRS restoration, parallel records migrate with their original timestamps. Where the NRS has not been restored within 180 days, the parallel system becomes the constitutional record; the Legislature must establish permanent restoration obligations by statute within 90 days of that threshold.</w:t>
      </w:r>
    </w:p>
    <w:p>
      <w:pPr>
        <w:spacing w:after="120"/>
        <w:ind w:left="431"/>
        <w:jc w:val="both"/>
      </w:pPr>
      <w:r>
        <w:rPr>
          <w:rFonts w:ascii="Garamond" w:eastAsia="Garamond" w:hAnsi="Garamond" w:cs="Garamond"/>
          <w:color w:val="2A2A2A"/>
          <w:sz w:val="22"/>
          <w:szCs w:val="22"/>
        </w:rPr>
        <w:t xml:space="preserve">(9) The Legislature defines technical standards for both systems by statute. Records published by any Republic jurisdiction are recognized as authentic without re-certification. Monitor reports are permanently exempt from classification. Classification used to conceal a constitutional violation or illegal order is a constitutional offense.</w:t>
      </w:r>
    </w:p>
    <w:p w14:paraId="0A9AFFF0" w14:textId="77777777" w:rsidR="00AF3D56" w:rsidRDefault="00000000">
      <w:pPr>
        <w:spacing w:before="200" w:after="60"/>
        <w:ind w:left="431"/>
      </w:pPr>
      <w:r>
        <w:rPr>
          <w:rFonts w:ascii="Courier New" w:eastAsia="Courier New" w:hAnsi="Courier New" w:cs="Courier New"/>
          <w:b/>
          <w:bCs/>
          <w:color w:val="2A2A2A"/>
          <w:sz w:val="18"/>
          <w:szCs w:val="18"/>
        </w:rPr>
        <w:t xml:space="preserve">§10.2  </w:t>
      </w:r>
      <w:r>
        <w:rPr>
          <w:rFonts w:ascii="Garamond" w:eastAsia="Garamond" w:hAnsi="Garamond" w:cs="Garamond"/>
          <w:i/>
          <w:iCs/>
          <w:color w:val="1B2A4A"/>
          <w:sz w:val="22"/>
          <w:szCs w:val="22"/>
        </w:rPr>
        <w:t>Classification Criteria</w:t>
      </w:r>
    </w:p>
    <w:p w14:paraId="77595E98" w14:textId="77777777" w:rsidR="00AF3D56" w:rsidRDefault="00000000">
      <w:pPr>
        <w:spacing w:after="120"/>
        <w:ind w:left="431"/>
        <w:jc w:val="both"/>
      </w:pPr>
      <w:r>
        <w:rPr>
          <w:rFonts w:ascii="Garamond" w:eastAsia="Garamond" w:hAnsi="Garamond" w:cs="Garamond"/>
          <w:color w:val="2A2A2A"/>
          <w:sz w:val="22"/>
          <w:szCs w:val="22"/>
        </w:rPr>
        <w:t>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 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14:paraId="3A8EE734"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 — NRS Panel and Elections Panel</w:t>
      </w:r>
    </w:p>
    <w:p w14:paraId="174884A5" w14:textId="77777777" w:rsidR="00AF3D56" w:rsidRDefault="00000000">
      <w:pPr>
        <w:spacing w:before="200" w:after="60"/>
        <w:ind w:left="431"/>
      </w:pPr>
      <w:r>
        <w:rPr>
          <w:rFonts w:ascii="Courier New" w:eastAsia="Courier New" w:hAnsi="Courier New" w:cs="Courier New"/>
          <w:b/>
          <w:bCs/>
          <w:color w:val="2A2A2A"/>
          <w:sz w:val="18"/>
          <w:szCs w:val="18"/>
        </w:rPr>
        <w:t xml:space="preserve">§11.1  </w:t>
      </w:r>
      <w:r>
        <w:rPr>
          <w:rFonts w:ascii="Garamond" w:eastAsia="Garamond" w:hAnsi="Garamond" w:cs="Garamond"/>
          <w:i/>
          <w:iCs/>
          <w:color w:val="1B2A4A"/>
          <w:sz w:val="22"/>
          <w:szCs w:val="22"/>
        </w:rPr>
        <w:t>NRS Panel and Elections Panel</w:t>
      </w:r>
    </w:p>
    <w:p>
      <w:pPr>
        <w:spacing w:after="120"/>
        <w:ind w:left="431"/>
        <w:jc w:val="both"/>
      </w:pPr>
      <w:r>
        <w:rPr>
          <w:rFonts w:ascii="Garamond" w:eastAsia="Garamond" w:hAnsi="Garamond" w:cs="Garamond"/>
          <w:color w:val="2A2A2A"/>
          <w:sz w:val="22"/>
          <w:szCs w:val="22"/>
        </w:rPr>
        <w:t xml:space="preserve">(1) Two constitutionally independent panels — the NRS Panel and the Elections Panel — operate the Republic's permanent record infrastructure and electoral systems respectively.</w:t>
      </w:r>
    </w:p>
    <w:p>
      <w:pPr>
        <w:spacing w:after="120"/>
        <w:ind w:left="431"/>
        <w:jc w:val="both"/>
      </w:pPr>
      <w:r>
        <w:rPr>
          <w:rFonts w:ascii="Garamond" w:eastAsia="Garamond" w:hAnsi="Garamond" w:cs="Garamond"/>
          <w:color w:val="2A2A2A"/>
          <w:sz w:val="22"/>
          <w:szCs w:val="22"/>
        </w:rPr>
        <w:t xml:space="preserve">(2) The NRS Panel operates the National Record System.</w:t>
      </w:r>
    </w:p>
    <w:p>
      <w:pPr>
        <w:spacing w:after="120"/>
        <w:ind w:left="431"/>
        <w:jc w:val="both"/>
      </w:pPr>
      <w:r>
        <w:rPr>
          <w:rFonts w:ascii="Garamond" w:eastAsia="Garamond" w:hAnsi="Garamond" w:cs="Garamond"/>
          <w:color w:val="2A2A2A"/>
          <w:sz w:val="22"/>
          <w:szCs w:val="22"/>
        </w:rPr>
        <w:t xml:space="preserve">(3) The Elections Panel establishes and maintains the National Voting System, sets administrative and technical standards for federal elections, certifies election equipment for state procurement, audits state compliance with federal election standards, administers referenda and confirmation votes, and certifies all federal election results.</w:t>
      </w:r>
    </w:p>
    <w:p>
      <w:pPr>
        <w:spacing w:after="120"/>
        <w:ind w:left="431"/>
        <w:jc w:val="both"/>
      </w:pPr>
      <w:r>
        <w:rPr>
          <w:rFonts w:ascii="Garamond" w:eastAsia="Garamond" w:hAnsi="Garamond" w:cs="Garamond"/>
          <w:color w:val="2A2A2A"/>
          <w:sz w:val="22"/>
          <w:szCs w:val="22"/>
        </w:rPr>
        <w:t xml:space="preserve">(4) Where the Elections Panel certifies a State's election system as non-compliant before an election, the Panel may withhold result certification for affected districts pending compliance or a special election under §7.2.a.</w:t>
      </w:r>
    </w:p>
    <w:p>
      <w:pPr>
        <w:spacing w:after="120"/>
        <w:ind w:left="431"/>
        <w:jc w:val="both"/>
      </w:pPr>
      <w:r>
        <w:rPr>
          <w:rFonts w:ascii="Garamond" w:eastAsia="Garamond" w:hAnsi="Garamond" w:cs="Garamond"/>
          <w:color w:val="2A2A2A"/>
          <w:sz w:val="22"/>
          <w:szCs w:val="22"/>
        </w:rPr>
        <w:t xml:space="preserve">(5) Each panel is operationally independent of the other, of both executives, and of the Legislature in the exercise of its functions.</w:t>
      </w:r>
    </w:p>
    <w:p>
      <w:pPr>
        <w:spacing w:after="120"/>
        <w:ind w:left="431"/>
        <w:jc w:val="both"/>
      </w:pPr>
      <w:r>
        <w:rPr>
          <w:rFonts w:ascii="Garamond" w:eastAsia="Garamond" w:hAnsi="Garamond" w:cs="Garamond"/>
          <w:color w:val="2A2A2A"/>
          <w:sz w:val="22"/>
          <w:szCs w:val="22"/>
        </w:rPr>
        <w:t xml:space="preserve">(6)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w:t>
      </w:r>
    </w:p>
    <w:p>
      <w:pPr>
        <w:spacing w:after="120"/>
        <w:ind w:left="431"/>
        <w:jc w:val="both"/>
      </w:pPr>
      <w:r>
        <w:rPr>
          <w:rFonts w:ascii="Garamond" w:eastAsia="Garamond" w:hAnsi="Garamond" w:cs="Garamond"/>
          <w:color w:val="2A2A2A"/>
          <w:sz w:val="22"/>
          <w:szCs w:val="22"/>
        </w:rPr>
        <w:t xml:space="preserve">(7) The Chair of each panel is its most senior member by continuous service; where two or more members have equal continuous service, the Chair is determined by lot conducted by the JMC.</w:t>
      </w:r>
    </w:p>
    <w:p>
      <w:pPr>
        <w:spacing w:after="120"/>
        <w:ind w:left="431"/>
        <w:jc w:val="both"/>
      </w:pPr>
      <w:r>
        <w:rPr>
          <w:rFonts w:ascii="Garamond" w:eastAsia="Garamond" w:hAnsi="Garamond" w:cs="Garamond"/>
          <w:color w:val="2A2A2A"/>
          <w:sz w:val="22"/>
          <w:szCs w:val="22"/>
        </w:rPr>
        <w:t xml:space="preserve">(8) Each panel exercises only those ministerial functions expressly granted by this Constitution and by statute. The Legislature must establish by statute a procedure for each panel to adopt temporary technical measures in response to imminent security threats or system failures within its domain; such measures may not change electoral rules, timelines, or NRS record permanence, and expire within 72 hours unless ratified by a majority of the panel's seated members.</w:t>
      </w:r>
    </w:p>
    <w:p>
      <w:pPr>
        <w:spacing w:after="120"/>
        <w:ind w:left="431"/>
        <w:jc w:val="both"/>
      </w:pPr>
      <w:r>
        <w:rPr>
          <w:rFonts w:ascii="Garamond" w:eastAsia="Garamond" w:hAnsi="Garamond" w:cs="Garamond"/>
          <w:color w:val="2A2A2A"/>
          <w:sz w:val="22"/>
          <w:szCs w:val="22"/>
        </w:rPr>
        <w:t xml:space="preserve">(9) Where either Panel falls below the five-member floor through resignation, removal, disqualification, or any other cause, the Civic Consul may appoint a qualified civil servant employed by that Panel to serve as Acting member, not to exceed the period defined by statute, which may not exceed 180 days; the Acting member may exercise all authorities of a full member during that period and the appointment does not affect the ordinary process for filling the vacancy permanently.</w:t>
      </w:r>
    </w:p>
    <w:p w14:paraId="52BA3DE1" w14:textId="77777777" w:rsidR="00AF3D56" w:rsidRDefault="00000000">
      <w:pPr>
        <w:spacing w:before="200" w:after="60"/>
        <w:ind w:left="431"/>
      </w:pPr>
      <w:r>
        <w:rPr>
          <w:rFonts w:ascii="Courier New" w:eastAsia="Courier New" w:hAnsi="Courier New" w:cs="Courier New"/>
          <w:b/>
          <w:bCs/>
          <w:color w:val="2A2A2A"/>
          <w:sz w:val="18"/>
          <w:szCs w:val="18"/>
        </w:rPr>
        <w:t xml:space="preserve">§11.2  </w:t>
      </w:r>
      <w:r>
        <w:rPr>
          <w:rFonts w:ascii="Garamond" w:eastAsia="Garamond" w:hAnsi="Garamond" w:cs="Garamond"/>
          <w:i/>
          <w:iCs/>
          <w:color w:val="1B2A4A"/>
          <w:sz w:val="22"/>
          <w:szCs w:val="22"/>
        </w:rPr>
        <w:t>NVS Properties and Voting Rights</w:t>
      </w:r>
    </w:p>
    <w:p w14:paraId="4DE4C43E" w14:textId="77777777" w:rsidR="00AF3D56" w:rsidRDefault="00000000">
      <w:pPr>
        <w:spacing w:after="120"/>
        <w:ind w:left="431"/>
        <w:jc w:val="both"/>
      </w:pPr>
      <w:r>
        <w:rPr>
          <w:rFonts w:ascii="Garamond" w:eastAsia="Garamond" w:hAnsi="Garamond" w:cs="Garamond"/>
          <w:color w:val="2A2A2A"/>
          <w:sz w:val="22"/>
          <w:szCs w:val="22"/>
        </w:rPr>
        <w:t>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14:paraId="5C4960C1" w14:textId="77777777" w:rsidR="00AF3D56" w:rsidRDefault="00000000">
      <w:pPr>
        <w:spacing w:before="200" w:after="60"/>
        <w:ind w:left="431"/>
      </w:pPr>
      <w:r>
        <w:rPr>
          <w:rFonts w:ascii="Courier New" w:eastAsia="Courier New" w:hAnsi="Courier New" w:cs="Courier New"/>
          <w:b/>
          <w:bCs/>
          <w:color w:val="2A2A2A"/>
          <w:sz w:val="18"/>
          <w:szCs w:val="18"/>
        </w:rPr>
        <w:t xml:space="preserve">§11.3  </w:t>
      </w:r>
      <w:r>
        <w:rPr>
          <w:rFonts w:ascii="Garamond" w:eastAsia="Garamond" w:hAnsi="Garamond" w:cs="Garamond"/>
          <w:i/>
          <w:iCs/>
          <w:color w:val="1B2A4A"/>
          <w:sz w:val="22"/>
          <w:szCs w:val="22"/>
        </w:rPr>
        <w:t>State Election Non-Compliance</w:t>
      </w:r>
    </w:p>
    <w:p w14:paraId="0611AAFA" w14:textId="77777777" w:rsidR="00AF3D56" w:rsidRDefault="00000000">
      <w:pPr>
        <w:spacing w:after="120"/>
        <w:ind w:left="431"/>
        <w:jc w:val="both"/>
      </w:pPr>
      <w:r>
        <w:rPr>
          <w:rFonts w:ascii="Garamond" w:eastAsia="Garamond" w:hAnsi="Garamond" w:cs="Garamond"/>
          <w:color w:val="2A2A2A"/>
          <w:sz w:val="22"/>
          <w:szCs w:val="22"/>
        </w:rPr>
        <w:t xml:space="preserve">Where the Elections Panel finds through audit that a State's election administration materially fails to meet the constitutional standards required under §11.1, it publishes the finding to the NRS and notifies the State formally. The State has the period defined by statute to cure the identified failures. Where the State does not cure within that period, the Elections Panel administers the relevant federal election directly within </w:t>
        <w:lastRenderedPageBreak/>
        <w:t>that State for that electoral period only; State administration resumes automatically at the conclusion of that period. The State may challenge the Elections Panel’s finding under §4.5’s original jurisdiction provisions governing State-federal disputes; the process and timeline are defined by statute. A finding of non-compliance does not affect the validity of votes cast; the Elections Panel's administration obligation is to ensure constitutional standards are met going forward.</w:t>
      </w:r>
    </w:p>
    <w:p w14:paraId="6ED8EAA5"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XII — Social State and Economic Rights</w:t>
      </w:r>
    </w:p>
    <w:p w14:paraId="12AEB421" w14:textId="77777777" w:rsidR="00AF3D56" w:rsidRDefault="00000000">
      <w:pPr>
        <w:spacing w:before="200" w:after="60"/>
        <w:ind w:left="431"/>
      </w:pPr>
      <w:r>
        <w:rPr>
          <w:rFonts w:ascii="Courier New" w:eastAsia="Courier New" w:hAnsi="Courier New" w:cs="Courier New"/>
          <w:b/>
          <w:bCs/>
          <w:color w:val="2A2A2A"/>
          <w:sz w:val="18"/>
          <w:szCs w:val="18"/>
        </w:rPr>
        <w:t xml:space="preserve">§12.1  </w:t>
      </w:r>
      <w:r>
        <w:rPr>
          <w:rFonts w:ascii="Garamond" w:eastAsia="Garamond" w:hAnsi="Garamond" w:cs="Garamond"/>
          <w:i/>
          <w:iCs/>
          <w:color w:val="1B2A4A"/>
          <w:sz w:val="22"/>
          <w:szCs w:val="22"/>
        </w:rPr>
        <w:t>The Social State and Monetary Authority</w:t>
      </w:r>
    </w:p>
    <w:p w14:paraId="534116F3" w14:textId="77777777" w:rsidR="00AF3D56" w:rsidRDefault="00000000">
      <w:pPr>
        <w:spacing w:after="120"/>
        <w:ind w:left="431"/>
        <w:jc w:val="both"/>
      </w:pPr>
      <w:r>
        <w:rPr>
          <w:rFonts w:ascii="Garamond" w:eastAsia="Garamond" w:hAnsi="Garamond" w:cs="Garamond"/>
          <w:color w:val="2A2A2A"/>
          <w:sz w:val="22"/>
          <w:szCs w:val="22"/>
        </w:rPr>
        <w:t>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w:t>
      </w:r>
    </w:p>
    <w:p w14:paraId="031A54A1" w14:textId="77777777" w:rsidR="00AF3D56" w:rsidRDefault="00000000">
      <w:pPr>
        <w:spacing w:before="200" w:after="60"/>
        <w:ind w:left="431"/>
      </w:pPr>
      <w:r>
        <w:rPr>
          <w:rFonts w:ascii="Courier New" w:eastAsia="Courier New" w:hAnsi="Courier New" w:cs="Courier New"/>
          <w:b/>
          <w:bCs/>
          <w:color w:val="2A2A2A"/>
          <w:sz w:val="18"/>
          <w:szCs w:val="18"/>
        </w:rPr>
        <w:t xml:space="preserve">§12.1.a  </w:t>
      </w:r>
      <w:r>
        <w:rPr>
          <w:rFonts w:ascii="Garamond" w:eastAsia="Garamond" w:hAnsi="Garamond" w:cs="Garamond"/>
          <w:i/>
          <w:iCs/>
          <w:color w:val="1B2A4A"/>
          <w:sz w:val="22"/>
          <w:szCs w:val="22"/>
        </w:rPr>
        <w:t>The Monetary Authority</w:t>
      </w:r>
    </w:p>
    <w:p w14:paraId="242D4AA1" w14:textId="77777777" w:rsidR="00AF3D56" w:rsidRDefault="00000000">
      <w:pPr>
        <w:spacing w:after="120"/>
        <w:ind w:left="431"/>
        <w:jc w:val="both"/>
      </w:pPr>
      <w:r>
        <w:rPr>
          <w:rFonts w:ascii="Garamond" w:eastAsia="Garamond" w:hAnsi="Garamond" w:cs="Garamond"/>
          <w:color w:val="2A2A2A"/>
          <w:sz w:val="22"/>
          <w:szCs w:val="22"/>
        </w:rPr>
        <w:t>The Legislature must establish the Monetary Authority as an independent agency under §3.9, responsible for monetary policy, currency issuance, and fiscal integrity certification. The MA has exclusive authority to issue the Republic’s currency; no State, Territory, or other body may issue instruments intended to function as legal tender within the Republic. The Legislature may not define MA independence standards in a manner that compromises the credibility of its certification functions; the EM audits MA operations and independence annually and publishes findings to the NRS.</w:t>
      </w:r>
    </w:p>
    <w:p w14:paraId="7B1C2D01" w14:textId="77777777" w:rsidR="00AF3D56" w:rsidRDefault="00000000">
      <w:pPr>
        <w:spacing w:before="200" w:after="60"/>
        <w:ind w:left="431"/>
      </w:pPr>
      <w:r>
        <w:rPr>
          <w:rFonts w:ascii="Courier New" w:eastAsia="Courier New" w:hAnsi="Courier New" w:cs="Courier New"/>
          <w:b/>
          <w:bCs/>
          <w:color w:val="2A2A2A"/>
          <w:sz w:val="18"/>
          <w:szCs w:val="18"/>
        </w:rPr>
        <w:t xml:space="preserve">§12.1.b  </w:t>
      </w:r>
      <w:r>
        <w:rPr>
          <w:rFonts w:ascii="Garamond" w:eastAsia="Garamond" w:hAnsi="Garamond" w:cs="Garamond"/>
          <w:i/>
          <w:iCs/>
          <w:color w:val="1B2A4A"/>
          <w:sz w:val="22"/>
          <w:szCs w:val="22"/>
        </w:rPr>
        <w:t>Monetary Authority Reporting</w:t>
      </w:r>
    </w:p>
    <w:p w14:paraId="7B1C2D02" w14:textId="77777777" w:rsidR="00AF3D56" w:rsidRDefault="00000000">
      <w:pPr>
        <w:spacing w:after="120"/>
        <w:ind w:left="431"/>
        <w:jc w:val="both"/>
      </w:pPr>
      <w:r>
        <w:rPr>
          <w:rFonts w:ascii="Garamond" w:eastAsia="Garamond" w:hAnsi="Garamond" w:cs="Garamond"/>
          <w:color w:val="2A2A2A"/>
          <w:sz w:val="22"/>
          <w:szCs w:val="22"/>
        </w:rPr>
        <w:t>The Monetary Authority publishes a State of the Economy report to the Assembly, the Legat Consul, and the Civic Consul no less than semi-annually; the Legislature may by statute require a more frequent cycle. Each report includes the Monetary Authority’s account of relevant findings from the preceding period under §9.1.b and any applicable §9.5.a compliance findings. The Monetary Authority may publish additional reports at any time circumstances warrant, addressed to the same recipients. Where a Monitor publishes a Fail the publishing Monitor identifies as relevant to the Monetary Authority’s mandate, the Monetary Authority must, within 30 days, submit a report addressing the finding to the Assembly, the Legat Consul, and the Civic Consul, published to the NRS. Submission of that report discharges the Monetary Authority’s obligation under this provision; further action is a matter for the Legislature.</w:t>
      </w:r>
    </w:p>
    <w:p w14:paraId="7894C76C" w14:textId="77777777" w:rsidR="00AF3D56" w:rsidRDefault="00000000">
      <w:pPr>
        <w:spacing w:before="200" w:after="60"/>
        <w:ind w:left="431"/>
      </w:pPr>
      <w:r>
        <w:rPr>
          <w:rFonts w:ascii="Courier New" w:eastAsia="Courier New" w:hAnsi="Courier New" w:cs="Courier New"/>
          <w:b/>
          <w:bCs/>
          <w:color w:val="2A2A2A"/>
          <w:sz w:val="18"/>
          <w:szCs w:val="18"/>
        </w:rPr>
        <w:t xml:space="preserve">§12.2  </w:t>
      </w:r>
      <w:r>
        <w:rPr>
          <w:rFonts w:ascii="Garamond" w:eastAsia="Garamond" w:hAnsi="Garamond" w:cs="Garamond"/>
          <w:i/>
          <w:iCs/>
          <w:color w:val="1B2A4A"/>
          <w:sz w:val="22"/>
          <w:szCs w:val="22"/>
        </w:rPr>
        <w:t>Fiscal Accountability</w:t>
      </w:r>
    </w:p>
    <w:p>
      <w:pPr>
        <w:spacing w:after="120"/>
        <w:ind w:left="431"/>
        <w:jc w:val="both"/>
      </w:pPr>
      <w:r>
        <w:rPr>
          <w:rFonts w:ascii="Garamond" w:eastAsia="Garamond" w:hAnsi="Garamond" w:cs="Garamond"/>
          <w:color w:val="2A2A2A"/>
          <w:sz w:val="22"/>
          <w:szCs w:val="22"/>
        </w:rPr>
        <w:t xml:space="preserve">(1) The annual budget originates in the Assembly. Each Consul prepares and submits to the Assembly a proposed budget for their respective domain, published to the NRS upon submission, by the deadline defined by statute; absent a statutory deadline, no later than 120 days before the start of the fiscal year.</w:t>
      </w:r>
    </w:p>
    <w:p>
      <w:pPr>
        <w:spacing w:after="120"/>
        <w:ind w:left="431"/>
        <w:jc w:val="both"/>
      </w:pPr>
      <w:r>
        <w:rPr>
          <w:rFonts w:ascii="Garamond" w:eastAsia="Garamond" w:hAnsi="Garamond" w:cs="Garamond"/>
          <w:color w:val="2A2A2A"/>
          <w:sz w:val="22"/>
          <w:szCs w:val="22"/>
        </w:rPr>
        <w:t xml:space="preserve">(2) The Assembly gives the Consuls' proposals due consideration in preparing the annual budget and is not bound by them.</w:t>
      </w:r>
    </w:p>
    <w:p>
      <w:pPr>
        <w:spacing w:after="120"/>
        <w:ind w:left="431"/>
        <w:jc w:val="both"/>
      </w:pPr>
      <w:r>
        <w:rPr>
          <w:rFonts w:ascii="Garamond" w:eastAsia="Garamond" w:hAnsi="Garamond" w:cs="Garamond"/>
          <w:color w:val="2A2A2A"/>
          <w:sz w:val="22"/>
          <w:szCs w:val="22"/>
        </w:rPr>
        <w:t xml:space="preserve">(3) A Consul's failure to submit a domain proposal does not delay or bar the budget process; the failure is published to the NRS and the Assembly proceeds.</w:t>
      </w:r>
    </w:p>
    <w:p>
      <w:pPr>
        <w:spacing w:after="120"/>
        <w:ind w:left="431"/>
        <w:jc w:val="both"/>
      </w:pPr>
      <w:r>
        <w:rPr>
          <w:rFonts w:ascii="Garamond" w:eastAsia="Garamond" w:hAnsi="Garamond" w:cs="Garamond"/>
          <w:color w:val="2A2A2A"/>
          <w:sz w:val="22"/>
          <w:szCs w:val="22"/>
        </w:rPr>
        <w:t xml:space="preserve">(4) The Legislature must pass a balanced budget or publish a structural deficit justification reviewed by the MA for fiscal accuracy.</w:t>
      </w:r>
    </w:p>
    <w:p>
      <w:pPr>
        <w:spacing w:after="120"/>
        <w:ind w:left="431"/>
        <w:jc w:val="both"/>
      </w:pPr>
      <w:r>
        <w:rPr>
          <w:rFonts w:ascii="Garamond" w:eastAsia="Garamond" w:hAnsi="Garamond" w:cs="Garamond"/>
          <w:color w:val="2A2A2A"/>
          <w:sz w:val="22"/>
          <w:szCs w:val="22"/>
        </w:rPr>
        <w:t xml:space="preserve">(5) Structural deficits above the threshold defined by the MA require a published plan for return to balance.</w:t>
      </w:r>
    </w:p>
    <w:p>
      <w:pPr>
        <w:spacing w:after="120"/>
        <w:ind w:left="431"/>
        <w:jc w:val="both"/>
      </w:pPr>
      <w:r>
        <w:rPr>
          <w:rFonts w:ascii="Garamond" w:eastAsia="Garamond" w:hAnsi="Garamond" w:cs="Garamond"/>
          <w:color w:val="2A2A2A"/>
          <w:sz w:val="22"/>
          <w:szCs w:val="22"/>
        </w:rPr>
        <w:t xml:space="preserve">(6) Where the Legislature fails to enact a budget by the constitutional deadline defined by statute, an interim automatic appropriation takes effect by constitutional operation covering:</w:t>
      </w:r>
    </w:p>
    <w:p>
      <w:pPr>
        <w:spacing w:after="120"/>
        <w:ind w:left="720"/>
        <w:jc w:val="both"/>
      </w:pPr>
      <w:r>
        <w:rPr>
          <w:rFonts w:ascii="Garamond" w:eastAsia="Garamond" w:hAnsi="Garamond" w:cs="Garamond"/>
          <w:color w:val="2A2A2A"/>
          <w:sz w:val="22"/>
          <w:szCs w:val="22"/>
        </w:rPr>
        <w:t xml:space="preserve">— judicial operations, active defense authorizations under §14.2, and social state continuity under §12.1;</w:t>
      </w:r>
    </w:p>
    <w:p>
      <w:pPr>
        <w:spacing w:after="120"/>
        <w:ind w:left="720"/>
        <w:jc w:val="both"/>
      </w:pPr>
      <w:r>
        <w:rPr>
          <w:rFonts w:ascii="Garamond" w:eastAsia="Garamond" w:hAnsi="Garamond" w:cs="Garamond"/>
          <w:color w:val="2A2A2A"/>
          <w:sz w:val="22"/>
          <w:szCs w:val="22"/>
        </w:rPr>
        <w:t xml:space="preserve">— civil service compensation;</w:t>
      </w:r>
    </w:p>
    <w:p>
      <w:pPr>
        <w:spacing w:after="120"/>
        <w:ind w:left="720"/>
        <w:jc w:val="both"/>
      </w:pPr>
      <w:r>
        <w:rPr>
          <w:rFonts w:ascii="Garamond" w:eastAsia="Garamond" w:hAnsi="Garamond" w:cs="Garamond"/>
          <w:color w:val="2A2A2A"/>
          <w:sz w:val="22"/>
          <w:szCs w:val="22"/>
        </w:rPr>
        <w:t xml:space="preserve">— and debt service obligations.</w:t>
      </w:r>
    </w:p>
    <w:p>
      <w:pPr>
        <w:spacing w:after="120"/>
        <w:ind w:left="431"/>
        <w:jc w:val="both"/>
      </w:pPr>
      <w:r>
        <w:rPr>
          <w:rFonts w:ascii="Garamond" w:eastAsia="Garamond" w:hAnsi="Garamond" w:cs="Garamond"/>
          <w:color w:val="2A2A2A"/>
          <w:sz w:val="22"/>
          <w:szCs w:val="22"/>
        </w:rPr>
        <w:t xml:space="preserve">(7) The interim appropriation continues at the prior fiscal year's inflation-adjusted level until a budget is enacted; no new programs may be initiated or expanded under the interim appropriation.</w:t>
      </w:r>
    </w:p>
    <w:p>
      <w:pPr>
        <w:spacing w:after="120"/>
        <w:ind w:left="431"/>
        <w:jc w:val="both"/>
      </w:pPr>
      <w:r>
        <w:rPr>
          <w:rFonts w:ascii="Garamond" w:eastAsia="Garamond" w:hAnsi="Garamond" w:cs="Garamond"/>
          <w:color w:val="2A2A2A"/>
          <w:sz w:val="22"/>
          <w:szCs w:val="22"/>
        </w:rPr>
        <w:t xml:space="preserve">(8)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adequately fund the Endowment is a constitutional compliance breach.</w:t>
      </w:r>
    </w:p>
    <w:p w14:paraId="44C09FA1" w14:textId="77777777" w:rsidR="00AF3D56" w:rsidRDefault="00000000">
      <w:pPr>
        <w:spacing w:before="200" w:after="60"/>
        <w:ind w:left="431"/>
      </w:pPr>
      <w:r>
        <w:rPr>
          <w:rFonts w:ascii="Courier New" w:eastAsia="Courier New" w:hAnsi="Courier New" w:cs="Courier New"/>
          <w:b/>
          <w:bCs/>
          <w:color w:val="2A2A2A"/>
          <w:sz w:val="18"/>
          <w:szCs w:val="18"/>
        </w:rPr>
        <w:t xml:space="preserve">§12.3  </w:t>
      </w:r>
      <w:r>
        <w:rPr>
          <w:rFonts w:ascii="Garamond" w:eastAsia="Garamond" w:hAnsi="Garamond" w:cs="Garamond"/>
          <w:i/>
          <w:iCs/>
          <w:color w:val="1B2A4A"/>
          <w:sz w:val="22"/>
          <w:szCs w:val="22"/>
        </w:rPr>
        <w:t>Taxing Power and National Revenue Fund</w:t>
      </w:r>
    </w:p>
    <w:p w14:paraId="2CB8BD2E" w14:textId="77777777" w:rsidR="00AF3D56" w:rsidRDefault="00000000">
      <w:pPr>
        <w:spacing w:after="120"/>
        <w:ind w:left="431"/>
        <w:jc w:val="both"/>
      </w:pPr>
      <w:r>
        <w:rPr>
          <w:rFonts w:ascii="Garamond" w:eastAsia="Garamond" w:hAnsi="Garamond" w:cs="Garamond"/>
          <w:color w:val="2A2A2A"/>
          <w:sz w:val="22"/>
          <w:szCs w:val="22"/>
        </w:rPr>
        <w:t>The Legislature has exclusive authority to levy taxes, duties, and tariffs by statute; no other federal body may impose a tax, duty, or levy of any kind. States, Territories, and local governments retain authority to tax within their own jurisdictions, subject to §12.7 and the non-discrimination requirements of §1.6. All public money received by the Republic — including tax revenue, fees, and other receipts — is deposited into the National Revenue Fund. No money may be withdrawn from the National Revenue Fund except by legislative appropriation. The EM audits the Fund's receipts and disbursements as part of its annual fiscal mandate and publishes findings to the NRS. No tax may discriminate on the basis of the characteristics listed in §1.6. Tariff rates established by a ratified treaty or approved trade agreement under §3.6 constitute legislatively authorized rates for the duration of that instrument; the Legislature may set tariff schedules within which the Legat Consul may negotiate specific rates.</w:t>
      </w:r>
    </w:p>
    <w:p w14:paraId="463E5172" w14:textId="77777777" w:rsidR="00AF3D56" w:rsidRDefault="00000000">
      <w:pPr>
        <w:spacing w:before="200" w:after="60"/>
        <w:ind w:left="431"/>
      </w:pPr>
      <w:r>
        <w:rPr>
          <w:rFonts w:ascii="Courier New" w:eastAsia="Courier New" w:hAnsi="Courier New" w:cs="Courier New"/>
          <w:b/>
          <w:bCs/>
          <w:color w:val="2A2A2A"/>
          <w:sz w:val="18"/>
          <w:szCs w:val="18"/>
        </w:rPr>
        <w:t xml:space="preserve">§12.4  </w:t>
      </w:r>
      <w:r>
        <w:rPr>
          <w:rFonts w:ascii="Garamond" w:eastAsia="Garamond" w:hAnsi="Garamond" w:cs="Garamond"/>
          <w:i/>
          <w:iCs/>
          <w:color w:val="1B2A4A"/>
          <w:sz w:val="22"/>
          <w:szCs w:val="22"/>
        </w:rPr>
        <w:t>Ethics and Conflict of Interest</w:t>
      </w:r>
    </w:p>
    <w:p>
      <w:pPr>
        <w:spacing w:after="120"/>
        <w:ind w:left="431"/>
        <w:jc w:val="both"/>
      </w:pPr>
      <w:r>
        <w:rPr>
          <w:rFonts w:ascii="Garamond" w:eastAsia="Garamond" w:hAnsi="Garamond" w:cs="Garamond"/>
          <w:color w:val="2A2A2A"/>
          <w:sz w:val="22"/>
          <w:szCs w:val="22"/>
        </w:rPr>
        <w:t xml:space="preserve">(1) A financial interest includes any holding, income source, liability, business relationship, or similar economic interest; a financial interest is disqualifying where it creates a direct and material conflict between an officer's personal economic interest and the impartial exercise of their official duties, with statute permitted to further specify categories and thresholds consistent with this standard.</w:t>
      </w:r>
    </w:p>
    <w:p>
      <w:pPr>
        <w:spacing w:after="120"/>
        <w:ind w:left="431"/>
        <w:jc w:val="both"/>
      </w:pPr>
      <w:r>
        <w:rPr>
          <w:rFonts w:ascii="Garamond" w:eastAsia="Garamond" w:hAnsi="Garamond" w:cs="Garamond"/>
          <w:color w:val="2A2A2A"/>
          <w:sz w:val="22"/>
          <w:szCs w:val="22"/>
        </w:rPr>
        <w:t xml:space="preserve">(2) All constitutional officers must disclose all financial interests, holdings, income sources, and liabilities to their respective Monitor — the LM for members of the Legislature; the EM for both Consuls, executive branch officers, and military officers; the JM for judicial officers — within the period defined by statute after taking office and annually thereafter; disclosure records are published to the NRS.</w:t>
      </w:r>
    </w:p>
    <w:p>
      <w:pPr>
        <w:spacing w:after="120"/>
        <w:ind w:left="431"/>
        <w:jc w:val="both"/>
      </w:pPr>
      <w:r>
        <w:rPr>
          <w:rFonts w:ascii="Garamond" w:eastAsia="Garamond" w:hAnsi="Garamond" w:cs="Garamond"/>
          <w:color w:val="2A2A2A"/>
          <w:sz w:val="22"/>
          <w:szCs w:val="22"/>
        </w:rPr>
        <w:t xml:space="preserve">(3) Candidates for a Monitor General's own candidate pool are audited for financial disclosure by the other two Monitors jointly rather than by the Monitor whose pool they would join, as provided in §9.3 and §9.4.</w:t>
      </w:r>
    </w:p>
    <w:p>
      <w:pPr>
        <w:spacing w:after="120"/>
        <w:ind w:left="431"/>
        <w:jc w:val="both"/>
      </w:pPr>
      <w:r>
        <w:rPr>
          <w:rFonts w:ascii="Garamond" w:eastAsia="Garamond" w:hAnsi="Garamond" w:cs="Garamond"/>
          <w:color w:val="2A2A2A"/>
          <w:sz w:val="22"/>
          <w:szCs w:val="22"/>
        </w:rPr>
        <w:t xml:space="preserve">(4) Any officer with a direct financial interest in a decision within their authority must recuse themselves; recusal is self-executing.</w:t>
      </w:r>
    </w:p>
    <w:p>
      <w:pPr>
        <w:spacing w:after="120"/>
        <w:ind w:left="431"/>
        <w:jc w:val="both"/>
      </w:pPr>
      <w:r>
        <w:rPr>
          <w:rFonts w:ascii="Garamond" w:eastAsia="Garamond" w:hAnsi="Garamond" w:cs="Garamond"/>
          <w:color w:val="2A2A2A"/>
          <w:sz w:val="22"/>
          <w:szCs w:val="22"/>
        </w:rPr>
        <w:t xml:space="preserve">(5) Any decision made without required recusal is voidable; the relevant chamber may void the decision by simple majority within 90 days of the conflict becoming a matter of public record on the NRS.</w:t>
      </w:r>
    </w:p>
    <w:p>
      <w:pPr>
        <w:spacing w:after="120"/>
        <w:ind w:left="431"/>
        <w:jc w:val="both"/>
      </w:pPr>
      <w:r>
        <w:rPr>
          <w:rFonts w:ascii="Garamond" w:eastAsia="Garamond" w:hAnsi="Garamond" w:cs="Garamond"/>
          <w:color w:val="2A2A2A"/>
          <w:sz w:val="22"/>
          <w:szCs w:val="22"/>
        </w:rPr>
        <w:t xml:space="preserve">(6) Constitutional officers may not, for a period defined by statute after leaving office — which may not be less than two years — engage in any activity that monetizes or draws on non-public information, relationships, or access accumulated during service; the respective Monitor audits post-service activities of constitutional officers for compliance with this restriction and publishes findings to the NRS; enforcement is through the appropriate legal authority.</w:t>
      </w:r>
    </w:p>
    <w:p>
      <w:pPr>
        <w:spacing w:after="120"/>
        <w:ind w:left="431"/>
        <w:jc w:val="both"/>
      </w:pPr>
      <w:r>
        <w:rPr>
          <w:rFonts w:ascii="Garamond" w:eastAsia="Garamond" w:hAnsi="Garamond" w:cs="Garamond"/>
          <w:color w:val="2A2A2A"/>
          <w:sz w:val="22"/>
          <w:szCs w:val="22"/>
        </w:rPr>
        <w:t xml:space="preserve">(7) Officers may not accept gifts above a de minimis threshold; all gifts above the threshold must be disclosed to their respective Monitor and deposited with the relevant treasury.</w:t>
      </w:r>
    </w:p>
    <w:p>
      <w:pPr>
        <w:spacing w:after="120"/>
        <w:ind w:left="431"/>
        <w:jc w:val="both"/>
      </w:pPr>
      <w:r>
        <w:rPr>
          <w:rFonts w:ascii="Garamond" w:eastAsia="Garamond" w:hAnsi="Garamond" w:cs="Garamond"/>
          <w:color w:val="2A2A2A"/>
          <w:sz w:val="22"/>
          <w:szCs w:val="22"/>
        </w:rPr>
        <w:t xml:space="preserve">(8) All records created in the exercise of official functions are public records and may not be retained, destroyed, or removed by departing officers.</w:t>
      </w:r>
    </w:p>
    <w:p>
      <w:pPr>
        <w:spacing w:after="120"/>
        <w:ind w:left="431"/>
        <w:jc w:val="both"/>
      </w:pPr>
      <w:r>
        <w:rPr>
          <w:rFonts w:ascii="Garamond" w:eastAsia="Garamond" w:hAnsi="Garamond" w:cs="Garamond"/>
          <w:color w:val="2A2A2A"/>
          <w:sz w:val="22"/>
          <w:szCs w:val="22"/>
        </w:rPr>
        <w:t xml:space="preserve">(9) Each Monitor investigates alleged violations of this section within their respective jurisdiction and publishes findings to the NRS; where findings warrant further action, the Monitor refers to the appropriate authority.</w:t>
      </w:r>
    </w:p>
    <w:p w14:paraId="7F55EDD5" w14:textId="77777777" w:rsidR="00AF3D56" w:rsidRDefault="00000000">
      <w:pPr>
        <w:spacing w:before="200" w:after="60"/>
        <w:ind w:left="431"/>
      </w:pPr>
      <w:r>
        <w:rPr>
          <w:rFonts w:ascii="Courier New" w:eastAsia="Courier New" w:hAnsi="Courier New" w:cs="Courier New"/>
          <w:b/>
          <w:bCs/>
          <w:color w:val="2A2A2A"/>
          <w:sz w:val="18"/>
          <w:szCs w:val="18"/>
        </w:rPr>
        <w:t xml:space="preserve">§12.4.a  </w:t>
      </w:r>
      <w:r>
        <w:rPr>
          <w:rFonts w:ascii="Garamond" w:eastAsia="Garamond" w:hAnsi="Garamond" w:cs="Garamond"/>
          <w:i/>
          <w:iCs/>
          <w:color w:val="1B2A4A"/>
          <w:sz w:val="22"/>
          <w:szCs w:val="22"/>
        </w:rPr>
        <w:t>Codes of Conduct and Recusal</w:t>
      </w:r>
    </w:p>
    <w:p w14:paraId="1E91FD8A" w14:textId="77777777" w:rsidR="00AF3D56" w:rsidRDefault="00000000">
      <w:pPr>
        <w:spacing w:after="120"/>
        <w:ind w:left="431"/>
        <w:jc w:val="both"/>
      </w:pPr>
      <w:r>
        <w:rPr>
          <w:rFonts w:ascii="Garamond" w:eastAsia="Garamond" w:hAnsi="Garamond" w:cs="Garamond"/>
          <w:color w:val="2A2A2A"/>
          <w:sz w:val="22"/>
          <w:szCs w:val="22"/>
        </w:rPr>
        <w:t>The Legislature may by statute establish codes of conduct and procedural rules for any constitutionally established office outside the Legislature, including standards for recusal from specific proceedings, disclosure obligations beyond those required by §12.4, and disciplinary procedures for conduct falling short of removal grounds under §9.9. Such rules must be consistent with the independence protections of the relevant office and may not be used to constrain the substantive exercise of any constitutionally assigned function. In the absence of statute establishing recusal standards for a given office, an officer must recuse where their impartiality could reasonably be questioned. An officer who fails to recuse in circumstances requiring recusal — whether defined by statute or this default standard — acts in constitutional breach; the act or determination in which they participated remains subject to challenge on that ground. No statute enacted under this provision may be amended or repealed within the legislative session immediately following the session of its enactment; thereafter, amendment or repeal requires a 2/3 majority of both chambers.</w:t>
      </w:r>
    </w:p>
    <w:p w14:paraId="61B86608" w14:textId="77777777" w:rsidR="00AF3D56" w:rsidRDefault="00000000">
      <w:pPr>
        <w:spacing w:before="200" w:after="60"/>
        <w:ind w:left="431"/>
      </w:pPr>
      <w:r>
        <w:rPr>
          <w:rFonts w:ascii="Courier New" w:eastAsia="Courier New" w:hAnsi="Courier New" w:cs="Courier New"/>
          <w:b/>
          <w:bCs/>
          <w:color w:val="2A2A2A"/>
          <w:sz w:val="18"/>
          <w:szCs w:val="18"/>
        </w:rPr>
        <w:t xml:space="preserve">§12.4.b  </w:t>
      </w:r>
      <w:r>
        <w:rPr>
          <w:rFonts w:ascii="Garamond" w:eastAsia="Garamond" w:hAnsi="Garamond" w:cs="Garamond"/>
          <w:i/>
          <w:iCs/>
          <w:color w:val="1B2A4A"/>
          <w:sz w:val="22"/>
          <w:szCs w:val="22"/>
        </w:rPr>
        <w:t>Monitor General Disclosure</w:t>
      </w:r>
    </w:p>
    <w:p w14:paraId="7A2F2502" w14:textId="77777777" w:rsidR="00AF3D56" w:rsidRDefault="00000000">
      <w:pPr>
        <w:spacing w:after="120"/>
        <w:ind w:left="431"/>
        <w:jc w:val="both"/>
      </w:pPr>
      <w:r>
        <w:rPr>
          <w:rFonts w:ascii="Garamond" w:eastAsia="Garamond" w:hAnsi="Garamond" w:cs="Garamond"/>
          <w:color w:val="2A2A2A"/>
          <w:sz w:val="22"/>
          <w:szCs w:val="22"/>
        </w:rPr>
        <w:t>Monitor Generals disclose under the same requirements and schedule as other constitutional officers under §12.4, published directly to the NRS; no Monitor reviews another Monitor’s disclosure. Self-executing recusal applies as under §12.4, but the voidable-decision remedy does not apply to Monitor General functions. The Legislature must include concealment of a disqualifying financial interest, or failure to recuse where required, among the statutory removal categories established for Monitor Generals under §9.9.</w:t>
      </w:r>
    </w:p>
    <w:p w14:paraId="7DABB156" w14:textId="77777777" w:rsidR="00AF3D56" w:rsidRDefault="00000000">
      <w:pPr>
        <w:spacing w:before="200" w:after="60"/>
        <w:ind w:left="431"/>
      </w:pPr>
      <w:r>
        <w:rPr>
          <w:rFonts w:ascii="Courier New" w:eastAsia="Courier New" w:hAnsi="Courier New" w:cs="Courier New"/>
          <w:b/>
          <w:bCs/>
          <w:color w:val="2A2A2A"/>
          <w:sz w:val="18"/>
          <w:szCs w:val="18"/>
        </w:rPr>
        <w:t xml:space="preserve">§12.4.c  </w:t>
      </w:r>
      <w:r>
        <w:rPr>
          <w:rFonts w:ascii="Garamond" w:eastAsia="Garamond" w:hAnsi="Garamond" w:cs="Garamond"/>
          <w:i/>
          <w:iCs/>
          <w:color w:val="1B2A4A"/>
          <w:sz w:val="22"/>
          <w:szCs w:val="22"/>
        </w:rPr>
        <w:t>Federal Employee and Military Disclosure</w:t>
      </w:r>
    </w:p>
    <w:p w14:paraId="3EBF3AEF" w14:textId="77777777" w:rsidR="00AF3D56" w:rsidRDefault="00000000">
      <w:pPr>
        <w:spacing w:after="120"/>
        <w:ind w:left="431"/>
        <w:jc w:val="both"/>
      </w:pPr>
      <w:r>
        <w:rPr>
          <w:rFonts w:ascii="Garamond" w:eastAsia="Garamond" w:hAnsi="Garamond" w:cs="Garamond"/>
          <w:color w:val="2A2A2A"/>
          <w:sz w:val="22"/>
          <w:szCs w:val="22"/>
        </w:rPr>
        <w:t>The Legislature must by statute establish disclosure and recusal requirements for federal government employees and military personnel whose duties create material conflict-of-interest risk, including procurement, regulatory, and senior civil service positions. The respective Monitor audits the administering agency’s compliance with this requirement and publishes findings to the NRS; this audit is systemic and does not require individual-filing review by the Monitor.</w:t>
      </w:r>
    </w:p>
    <w:p w14:paraId="4944C50E" w14:textId="77777777" w:rsidR="00AF3D56" w:rsidRDefault="00000000">
      <w:pPr>
        <w:spacing w:before="200" w:after="60"/>
        <w:ind w:left="431"/>
      </w:pPr>
      <w:r>
        <w:rPr>
          <w:rFonts w:ascii="Courier New" w:eastAsia="Courier New" w:hAnsi="Courier New" w:cs="Courier New"/>
          <w:b/>
          <w:bCs/>
          <w:color w:val="2A2A2A"/>
          <w:sz w:val="18"/>
          <w:szCs w:val="18"/>
        </w:rPr>
        <w:t xml:space="preserve">§12.5  </w:t>
      </w:r>
      <w:r>
        <w:rPr>
          <w:rFonts w:ascii="Garamond" w:eastAsia="Garamond" w:hAnsi="Garamond" w:cs="Garamond"/>
          <w:i/>
          <w:iCs/>
          <w:color w:val="1B2A4A"/>
          <w:sz w:val="22"/>
          <w:szCs w:val="22"/>
        </w:rPr>
        <w:t>National Endowment</w:t>
      </w:r>
    </w:p>
    <w:p w14:paraId="6E4888F1" w14:textId="77777777" w:rsidR="00AF3D56" w:rsidRDefault="00000000">
      <w:pPr>
        <w:spacing w:after="120"/>
        <w:ind w:left="431"/>
        <w:jc w:val="both"/>
      </w:pPr>
      <w:r>
        <w:rPr>
          <w:rFonts w:ascii="Garamond" w:eastAsia="Garamond" w:hAnsi="Garamond" w:cs="Garamond"/>
          <w:color w:val="2A2A2A"/>
          <w:sz w:val="22"/>
          <w:szCs w:val="22"/>
        </w:rPr>
        <w:lastRenderedPageBreak/>
        <w:t>The National Endowment is a constitutionally established reserve fund that backstops the Republic’s social state obligations under §12.1 during periods of Severe Revenue Contraction, as certified by the Monetary Authority. The Endowment operates independently of the annual budget process and is managed by the Monetary Authority as part of its constitutional mandate; the Monetary Authority’s sole obligation with respect to the Endowment is to preserve and grow it for social state backstop purposes. Disbursements are activated on Monetary Authority certification of Severe Revenue Contraction and continue until the Monetary Authority certifies the contraction has ended. The EM audits the Monetary Authority’s management of the Endowment annually and publishes findings to the NRS. Where a certified Severe Revenue Contraction continues beyond 12 months, continued Endowment disbursement requires authorization by statute, enacted through the ordinary legislative process and renewed at intervals not to exceed 12 months for the duration of the contraction. Where authorization is not renewed, disbursements cease and any adequacy-standard reduction under §1.16 or §1.17 lapses with them. The Monetary Authority's certification of the contraction's end terminates disbursements and any such reduction regardless of authorization status.</w:t>
      </w:r>
    </w:p>
    <w:p w14:paraId="6FBA841A" w14:textId="77777777" w:rsidR="00AF3D56" w:rsidRDefault="00000000">
      <w:pPr>
        <w:spacing w:before="200" w:after="60"/>
        <w:ind w:left="431"/>
      </w:pPr>
      <w:r>
        <w:rPr>
          <w:rFonts w:ascii="Courier New" w:eastAsia="Courier New" w:hAnsi="Courier New" w:cs="Courier New"/>
          <w:b/>
          <w:bCs/>
          <w:color w:val="2A2A2A"/>
          <w:sz w:val="18"/>
          <w:szCs w:val="18"/>
        </w:rPr>
        <w:t xml:space="preserve">§12.6  </w:t>
      </w:r>
      <w:r>
        <w:rPr>
          <w:rFonts w:ascii="Garamond" w:eastAsia="Garamond" w:hAnsi="Garamond" w:cs="Garamond"/>
          <w:i/>
          <w:iCs/>
          <w:color w:val="1B2A4A"/>
          <w:sz w:val="22"/>
          <w:szCs w:val="22"/>
        </w:rPr>
        <w:t>Compensation of Public Officials</w:t>
      </w:r>
    </w:p>
    <w:p w14:paraId="616AD1B4" w14:textId="77777777" w:rsidR="00AF3D56" w:rsidRDefault="00000000">
      <w:pPr>
        <w:spacing w:after="120"/>
        <w:ind w:left="431"/>
        <w:jc w:val="both"/>
      </w:pPr>
      <w:r>
        <w:rPr>
          <w:rFonts w:ascii="Garamond" w:eastAsia="Garamond" w:hAnsi="Garamond" w:cs="Garamond"/>
          <w:color w:val="2A2A2A"/>
          <w:sz w:val="22"/>
          <w:szCs w:val="22"/>
        </w:rPr>
        <w:t>No government official may set their own compensation or the compensation of their direct supervisors. All official compensation is set by statute and is a public record on the NRS. The Legislature may by statute set the compensation of elected constitutional officers; no such change takes effect until after the next election for the relevant office following the session in which it was enacted. Official benefits and accommodations reflect the functional requirements of the office, not the status of the officeholder; no benefit may exceed what the function genuinely requires.</w:t>
      </w:r>
    </w:p>
    <w:p w14:paraId="59FBD4C2" w14:textId="77777777" w:rsidR="00AF3D56" w:rsidRDefault="00000000">
      <w:pPr>
        <w:spacing w:before="200" w:after="60"/>
        <w:ind w:left="431"/>
      </w:pPr>
      <w:r>
        <w:rPr>
          <w:rFonts w:ascii="Courier New" w:eastAsia="Courier New" w:hAnsi="Courier New" w:cs="Courier New"/>
          <w:b/>
          <w:bCs/>
          <w:color w:val="2A2A2A"/>
          <w:sz w:val="18"/>
          <w:szCs w:val="18"/>
        </w:rPr>
        <w:t xml:space="preserve">§12.7  </w:t>
      </w:r>
      <w:r>
        <w:rPr>
          <w:rFonts w:ascii="Garamond" w:eastAsia="Garamond" w:hAnsi="Garamond" w:cs="Garamond"/>
          <w:i/>
          <w:iCs/>
          <w:color w:val="1B2A4A"/>
          <w:sz w:val="22"/>
          <w:szCs w:val="22"/>
        </w:rPr>
        <w:t>Internal Commerce</w:t>
      </w:r>
    </w:p>
    <w:p w14:paraId="2D1E05AC" w14:textId="77777777" w:rsidR="00AF3D56" w:rsidRDefault="00000000">
      <w:pPr>
        <w:spacing w:after="120"/>
        <w:ind w:left="431"/>
        <w:jc w:val="both"/>
      </w:pPr>
      <w:r>
        <w:rPr>
          <w:rFonts w:ascii="Garamond" w:eastAsia="Garamond" w:hAnsi="Garamond" w:cs="Garamond"/>
          <w:color w:val="2A2A2A"/>
          <w:sz w:val="22"/>
          <w:szCs w:val="22"/>
        </w:rPr>
        <w:t>No State or Territory may impose requirements on goods, services, or economic activity originating in another State or Territory that are more burdensome than those applied to its own. The Legislature may establish uniform internal commerce standards by statute.</w:t>
      </w:r>
    </w:p>
    <w:p w14:paraId="73CC603D" w14:textId="77777777" w:rsidR="00AF3D56" w:rsidRDefault="00000000">
      <w:pPr>
        <w:spacing w:before="200" w:after="60"/>
        <w:ind w:left="431"/>
      </w:pPr>
      <w:r>
        <w:rPr>
          <w:rFonts w:ascii="Courier New" w:eastAsia="Courier New" w:hAnsi="Courier New" w:cs="Courier New"/>
          <w:b/>
          <w:bCs/>
          <w:color w:val="2A2A2A"/>
          <w:sz w:val="18"/>
          <w:szCs w:val="18"/>
        </w:rPr>
        <w:t xml:space="preserve">§12.8  </w:t>
      </w:r>
      <w:r>
        <w:rPr>
          <w:rFonts w:ascii="Garamond" w:eastAsia="Garamond" w:hAnsi="Garamond" w:cs="Garamond"/>
          <w:i/>
          <w:iCs/>
          <w:color w:val="1B2A4A"/>
          <w:sz w:val="22"/>
          <w:szCs w:val="22"/>
        </w:rPr>
        <w:t>Fiscal Equalization</w:t>
      </w:r>
    </w:p>
    <w:p w14:paraId="0294EC51" w14:textId="77777777" w:rsidR="00AF3D56" w:rsidRDefault="00000000">
      <w:pPr>
        <w:spacing w:after="120"/>
        <w:ind w:left="431"/>
        <w:jc w:val="both"/>
      </w:pPr>
      <w:r>
        <w:rPr>
          <w:rFonts w:ascii="Garamond" w:eastAsia="Garamond" w:hAnsi="Garamond" w:cs="Garamond"/>
          <w:color w:val="2A2A2A"/>
          <w:sz w:val="22"/>
          <w:szCs w:val="22"/>
        </w:rPr>
        <w:t>The Legislature shall by statute establish a mechanism ensuring that every State and Territory has fiscal capacity reasonably sufficient to fulfill the Social State obligations under §12.1 and the rights guaranteed under Article I. The mechanism is reviewed at intervals the Legislature defines by statute. The EM certifies whether the mechanism is operating as required and publishes its finding to the NRS annually. Where the EM finds the mechanism has failed, the Legislature publishes its response to the NRS within 90 days.</w:t>
      </w:r>
    </w:p>
    <w:p w14:paraId="263A7EF9"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XIII — Direct Democracy</w:t>
      </w:r>
    </w:p>
    <w:p w14:paraId="2D25DBFF" w14:textId="77777777" w:rsidR="00AF3D56" w:rsidRDefault="00000000">
      <w:pPr>
        <w:spacing w:before="200" w:after="60"/>
        <w:ind w:left="431"/>
      </w:pPr>
      <w:r>
        <w:rPr>
          <w:rFonts w:ascii="Courier New" w:eastAsia="Courier New" w:hAnsi="Courier New" w:cs="Courier New"/>
          <w:b/>
          <w:bCs/>
          <w:color w:val="2A2A2A"/>
          <w:sz w:val="18"/>
          <w:szCs w:val="18"/>
        </w:rPr>
        <w:t xml:space="preserve">§13.1  </w:t>
      </w:r>
      <w:r>
        <w:rPr>
          <w:rFonts w:ascii="Garamond" w:eastAsia="Garamond" w:hAnsi="Garamond" w:cs="Garamond"/>
          <w:i/>
          <w:iCs/>
          <w:color w:val="1B2A4A"/>
          <w:sz w:val="22"/>
          <w:szCs w:val="22"/>
        </w:rPr>
        <w:t>Optional Referendum</w:t>
      </w:r>
    </w:p>
    <w:p>
      <w:pPr>
        <w:spacing w:after="120"/>
        <w:ind w:left="431"/>
        <w:jc w:val="both"/>
      </w:pPr>
      <w:r>
        <w:rPr>
          <w:rFonts w:ascii="Garamond" w:eastAsia="Garamond" w:hAnsi="Garamond" w:cs="Garamond"/>
          <w:color w:val="2A2A2A"/>
          <w:sz w:val="22"/>
          <w:szCs w:val="22"/>
        </w:rPr>
        <w:t xml:space="preserve">(1) Citizens may initiate a national referendum to repeal enacted legislation. The petition process begins within 90 days of enactment and proceeds in two phases, each authenticated through the NVS using Citizen Voting Credentials.</w:t>
      </w:r>
    </w:p>
    <w:p>
      <w:pPr>
        <w:spacing w:after="120"/>
        <w:ind w:left="431"/>
        <w:jc w:val="both"/>
      </w:pPr>
      <w:r>
        <w:rPr>
          <w:rFonts w:ascii="Garamond" w:eastAsia="Garamond" w:hAnsi="Garamond" w:cs="Garamond"/>
          <w:color w:val="2A2A2A"/>
          <w:sz w:val="22"/>
          <w:szCs w:val="22"/>
        </w:rPr>
        <w:t xml:space="preserve">(2) Phase One, lasting up to 8 months, requires signatures from citizens equal to a percentage of eligible voters — defined by statute at not less than 0.5% nor more than 3% — in each of at least one-third of all States and Territories.</w:t>
      </w:r>
    </w:p>
    <w:p>
      <w:pPr>
        <w:spacing w:after="120"/>
        <w:ind w:left="431"/>
        <w:jc w:val="both"/>
      </w:pPr>
      <w:r>
        <w:rPr>
          <w:rFonts w:ascii="Garamond" w:eastAsia="Garamond" w:hAnsi="Garamond" w:cs="Garamond"/>
          <w:color w:val="2A2A2A"/>
          <w:sz w:val="22"/>
          <w:szCs w:val="22"/>
        </w:rPr>
        <w:t xml:space="preserve">(3) Phase Two, lasting up to 8 months following Phase One's completion, requires signatures from 5% of eligible voters nationally; signatures gathered in Phase One carry over and count toward this threshold.</w:t>
      </w:r>
    </w:p>
    <w:p>
      <w:pPr>
        <w:spacing w:after="120"/>
        <w:ind w:left="431"/>
        <w:jc w:val="both"/>
      </w:pPr>
      <w:r>
        <w:rPr>
          <w:rFonts w:ascii="Garamond" w:eastAsia="Garamond" w:hAnsi="Garamond" w:cs="Garamond"/>
          <w:color w:val="2A2A2A"/>
          <w:sz w:val="22"/>
          <w:szCs w:val="22"/>
        </w:rPr>
        <w:t xml:space="preserve">(4) Laws that solely or primarily expand an Article I right, budget laws, and laws implementing a constitutionally mandated obligation are ineligible.</w:t>
      </w:r>
    </w:p>
    <w:p>
      <w:pPr>
        <w:spacing w:after="120"/>
        <w:ind w:left="431"/>
        <w:jc w:val="both"/>
      </w:pPr>
      <w:r>
        <w:rPr>
          <w:rFonts w:ascii="Garamond" w:eastAsia="Garamond" w:hAnsi="Garamond" w:cs="Garamond"/>
          <w:color w:val="2A2A2A"/>
          <w:sz w:val="22"/>
          <w:szCs w:val="22"/>
        </w:rPr>
        <w:t xml:space="preserve">(5)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w:t>
      </w:r>
    </w:p>
    <w:p>
      <w:pPr>
        <w:spacing w:after="120"/>
        <w:ind w:left="431"/>
        <w:jc w:val="both"/>
      </w:pPr>
      <w:r>
        <w:rPr>
          <w:rFonts w:ascii="Garamond" w:eastAsia="Garamond" w:hAnsi="Garamond" w:cs="Garamond"/>
          <w:color w:val="2A2A2A"/>
          <w:sz w:val="22"/>
          <w:szCs w:val="22"/>
        </w:rPr>
        <w:t xml:space="preserve">(6) If the threshold is met, the Elections Panel administers the referendum within 90 days of verification. A simple majority of votes cast, subject to a turnout threshold defined by the Legislature of not less than 30% and not to exceed 50%, repeals the law immediately upon certification.</w:t>
      </w:r>
    </w:p>
    <w:p>
      <w:pPr>
        <w:spacing w:after="120"/>
        <w:ind w:left="431"/>
        <w:jc w:val="both"/>
      </w:pPr>
      <w:r>
        <w:rPr>
          <w:rFonts w:ascii="Garamond" w:eastAsia="Garamond" w:hAnsi="Garamond" w:cs="Garamond"/>
          <w:color w:val="2A2A2A"/>
          <w:sz w:val="22"/>
          <w:szCs w:val="22"/>
        </w:rPr>
        <w:t xml:space="preserve">(7) A failed referendum may not be re-initiated on the same or substantially similar grounds; the Legislature may re-enact a repealed law, which is again subject to referendum.</w:t>
      </w:r>
    </w:p>
    <w:p w14:paraId="56A2B479" w14:textId="77777777" w:rsidR="00AF3D56" w:rsidRDefault="00000000">
      <w:pPr>
        <w:spacing w:before="200" w:after="60"/>
        <w:ind w:left="431"/>
      </w:pPr>
      <w:r>
        <w:rPr>
          <w:rFonts w:ascii="Courier New" w:eastAsia="Courier New" w:hAnsi="Courier New" w:cs="Courier New"/>
          <w:b/>
          <w:bCs/>
          <w:color w:val="2A2A2A"/>
          <w:sz w:val="18"/>
          <w:szCs w:val="18"/>
        </w:rPr>
        <w:t xml:space="preserve">§13.2  </w:t>
      </w:r>
      <w:r>
        <w:rPr>
          <w:rFonts w:ascii="Garamond" w:eastAsia="Garamond" w:hAnsi="Garamond" w:cs="Garamond"/>
          <w:i/>
          <w:iCs/>
          <w:color w:val="1B2A4A"/>
          <w:sz w:val="22"/>
          <w:szCs w:val="22"/>
        </w:rPr>
        <w:t>Citizen Legislative Initiative</w:t>
      </w:r>
    </w:p>
    <w:p w14:paraId="3AF26292" w14:textId="77777777" w:rsidR="00AF3D56" w:rsidRDefault="00000000">
      <w:pPr>
        <w:spacing w:after="120"/>
        <w:ind w:left="431"/>
        <w:jc w:val="both"/>
      </w:pPr>
      <w:r>
        <w:rPr>
          <w:rFonts w:ascii="Garamond" w:eastAsia="Garamond" w:hAnsi="Garamond" w:cs="Garamond"/>
          <w:color w:val="2A2A2A"/>
          <w:sz w:val="22"/>
          <w:szCs w:val="22"/>
        </w:rPr>
        <w:t>Citizens may propose legislation directly to the Legislature. The petition process proceeds in two phases, each authenticated through the NVS using Citizen Voting Credentials. Phase One, lasting up to 10 months, requires signatures from citizens equal to a percentage of eligible voters — defined by statute at not less than 0.5% nor more than 3% — in each of at least one-third of all States and Territories. Phase Two, lasting up to 10 months following Phase One’s completion, requires signatures from 10% of eligible voters nationally; signatures gathered in Phase One carry over and count toward this threshold. Once the threshold is met, the Legislature must vote on the proposal within 90 days; if it fails or is not voted on, the proposal proceeds to a direct citizen referendum; passage requires 60% of votes cast with at least 50% citizen participation. A failed initiative may not be re-initiated on the same or substantially similar grounds.</w:t>
      </w:r>
    </w:p>
    <w:p w14:paraId="7FBC41FE" w14:textId="77777777" w:rsidR="00AF3D56" w:rsidRDefault="00000000">
      <w:pPr>
        <w:spacing w:before="200" w:after="60"/>
        <w:ind w:left="431"/>
      </w:pPr>
      <w:r>
        <w:rPr>
          <w:rFonts w:ascii="Courier New" w:eastAsia="Courier New" w:hAnsi="Courier New" w:cs="Courier New"/>
          <w:b/>
          <w:bCs/>
          <w:color w:val="2A2A2A"/>
          <w:sz w:val="18"/>
          <w:szCs w:val="18"/>
        </w:rPr>
        <w:t xml:space="preserve">§7.3  </w:t>
      </w:r>
      <w:r>
        <w:rPr>
          <w:rFonts w:ascii="Garamond" w:eastAsia="Garamond" w:hAnsi="Garamond" w:cs="Garamond"/>
          <w:i/>
          <w:iCs/>
          <w:color w:val="1B2A4A"/>
          <w:sz w:val="22"/>
          <w:szCs w:val="22"/>
        </w:rPr>
        <w:t>Electoral Supermajority Threshold</w:t>
      </w:r>
    </w:p>
    <w:p w14:paraId="743CADFF" w14:textId="77777777" w:rsidR="00AF3D56" w:rsidRDefault="00000000">
      <w:pPr>
        <w:spacing w:after="120"/>
        <w:ind w:left="431"/>
        <w:jc w:val="both"/>
      </w:pPr>
      <w:r>
        <w:rPr>
          <w:rFonts w:ascii="Garamond" w:eastAsia="Garamond" w:hAnsi="Garamond" w:cs="Garamond"/>
          <w:color w:val="2A2A2A"/>
          <w:sz w:val="22"/>
          <w:szCs w:val="22"/>
        </w:rPr>
        <w:t>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(§7.1); public confirmation of a Supreme Court justice under the Senate bypass mechanism (§4.4.a); public recall of the Legat Consul under §2.13; and the national independence referendum under §15.9. The Legislature may not set a higher or lower threshold for any direct electoral supermajority determination without a constitutional amendment. This provision does not govern the optional referendum under §13.1 (simple majority of votes cast subject to a 50% turnout ceiling) or the citizen legislative initiative under §13.2 (60% of votes cast with at least 50% participation where the Legislature has not acted); it governs determinations that require constitutional supermajority democratic consent.</w:t>
      </w:r>
    </w:p>
    <w:p w14:paraId="7FBC41FE" w14:textId="77777777" w:rsidR="00AF3D56" w:rsidRDefault="00000000">
      <w:pPr>
        <w:spacing w:before="200" w:after="60"/>
        <w:ind w:left="431"/>
      </w:pPr>
      <w:r>
        <w:rPr>
          <w:rFonts w:ascii="Courier New" w:eastAsia="Courier New" w:hAnsi="Courier New" w:cs="Courier New"/>
          <w:b/>
          <w:bCs/>
          <w:color w:val="2A2A2A"/>
          <w:sz w:val="18"/>
          <w:szCs w:val="18"/>
        </w:rPr>
        <w:t xml:space="preserve">§7.4  </w:t>
      </w:r>
      <w:r>
        <w:rPr>
          <w:rFonts w:ascii="Garamond" w:eastAsia="Garamond" w:hAnsi="Garamond" w:cs="Garamond"/>
          <w:i/>
          <w:iCs/>
          <w:color w:val="1B2A4A"/>
          <w:sz w:val="22"/>
          <w:szCs w:val="22"/>
        </w:rPr>
        <w:t>Eligibility and Disclosure for Federal Office</w:t>
      </w:r>
    </w:p>
    <w:p>
      <w:pPr>
        <w:spacing w:after="120"/>
        <w:ind w:left="431"/>
        <w:jc w:val="both"/>
      </w:pPr>
      <w:r>
        <w:rPr>
          <w:rFonts w:ascii="Garamond" w:eastAsia="Garamond" w:hAnsi="Garamond" w:cs="Garamond"/>
          <w:color w:val="2A2A2A"/>
          <w:sz w:val="22"/>
          <w:szCs w:val="22"/>
        </w:rPr>
        <w:t xml:space="preserve">(1) Every candidate for federal office, and every person selected or elevated to a federal office without standing for election, shall disclose their criminal history on the official candidacy or acceptance filing, under penalty of perjury; the disclosure is published to the NRS and is available to voters and to any body that selects the officeholder.</w:t>
      </w:r>
    </w:p>
    <w:p>
      <w:pPr>
        <w:spacing w:after="120"/>
        <w:ind w:left="431"/>
        <w:jc w:val="both"/>
      </w:pPr>
      <w:r>
        <w:rPr>
          <w:rFonts w:ascii="Garamond" w:eastAsia="Garamond" w:hAnsi="Garamond" w:cs="Garamond"/>
          <w:color w:val="2A2A2A"/>
          <w:sz w:val="22"/>
          <w:szCs w:val="22"/>
        </w:rPr>
        <w:t xml:space="preserve">(2) A person who has made a current disclosure for one federal office satisfies this requirement for elevation to another so long as the disclosure remains accurate.</w:t>
      </w:r>
    </w:p>
    <w:p>
      <w:pPr>
        <w:spacing w:after="120"/>
        <w:ind w:left="431"/>
        <w:jc w:val="both"/>
      </w:pPr>
      <w:r>
        <w:rPr>
          <w:rFonts w:ascii="Garamond" w:eastAsia="Garamond" w:hAnsi="Garamond" w:cs="Garamond"/>
          <w:color w:val="2A2A2A"/>
          <w:sz w:val="22"/>
          <w:szCs w:val="22"/>
        </w:rPr>
        <w:t xml:space="preserve">(3) A false or incomplete disclosure is itself a federal offense.</w:t>
      </w:r>
    </w:p>
    <w:p>
      <w:pPr>
        <w:spacing w:after="120"/>
        <w:ind w:left="431"/>
        <w:jc w:val="both"/>
      </w:pPr>
      <w:r>
        <w:rPr>
          <w:rFonts w:ascii="Garamond" w:eastAsia="Garamond" w:hAnsi="Garamond" w:cs="Garamond"/>
          <w:color w:val="2A2A2A"/>
          <w:sz w:val="22"/>
          <w:szCs w:val="22"/>
        </w:rPr>
        <w:t xml:space="preserve">(4) No criminal conviction bars a person from federal office except as provided in this section; the weight of a disclosed history is for the voters, or for the selecting body, to judge.</w:t>
      </w:r>
    </w:p>
    <w:p>
      <w:pPr>
        <w:spacing w:after="120"/>
        <w:ind w:left="431"/>
        <w:jc w:val="both"/>
      </w:pPr>
      <w:r>
        <w:rPr>
          <w:rFonts w:ascii="Garamond" w:eastAsia="Garamond" w:hAnsi="Garamond" w:cs="Garamond"/>
          <w:color w:val="2A2A2A"/>
          <w:sz w:val="22"/>
          <w:szCs w:val="22"/>
        </w:rPr>
        <w:t xml:space="preserve">(5) A person convicted of insurrection against the Republic, rebellion against the Republic, treason against the Republic, or subversion of a federal election is barred from holding any federal office. These grounds are exhaustive; no other conviction bars a person from federal office, and any change to these grounds requires constitutional amendment.</w:t>
      </w:r>
    </w:p>
    <w:p>
      <w:pPr>
        <w:spacing w:after="120"/>
        <w:ind w:left="431"/>
        <w:jc w:val="both"/>
      </w:pPr>
      <w:r>
        <w:rPr>
          <w:rFonts w:ascii="Garamond" w:eastAsia="Garamond" w:hAnsi="Garamond" w:cs="Garamond"/>
          <w:color w:val="2A2A2A"/>
          <w:sz w:val="22"/>
          <w:szCs w:val="22"/>
        </w:rPr>
        <w:t xml:space="preserve">(6) This bar requires a conviction, not an accusation or a pending charge.</w:t>
      </w:r>
    </w:p>
    <w:p>
      <w:pPr>
        <w:spacing w:after="120"/>
        <w:ind w:left="431"/>
        <w:jc w:val="both"/>
      </w:pPr>
      <w:r>
        <w:rPr>
          <w:rFonts w:ascii="Garamond" w:eastAsia="Garamond" w:hAnsi="Garamond" w:cs="Garamond"/>
          <w:color w:val="2A2A2A"/>
          <w:sz w:val="22"/>
          <w:szCs w:val="22"/>
        </w:rPr>
        <w:t xml:space="preserve">(7) A person removed from a federal office by an affirmative removal process -- including impeachment, a for-cause removal, a constructive vote of no confidence, or recall -- may not hold or seek that office until the remainder of the electoral cycle in which the removal occurred and one full electoral cycle thereafter have passed. The ordinary expiration of a term, and loss of office through an election, are not removals for purposes of this section.</w:t>
      </w:r>
    </w:p>
    <w:p>
      <w:pPr>
        <w:spacing w:after="120"/>
        <w:ind w:left="431"/>
        <w:jc w:val="both"/>
      </w:pPr>
      <w:r>
        <w:rPr>
          <w:rFonts w:ascii="Garamond" w:eastAsia="Garamond" w:hAnsi="Garamond" w:cs="Garamond"/>
          <w:color w:val="2A2A2A"/>
          <w:sz w:val="22"/>
          <w:szCs w:val="22"/>
        </w:rPr>
        <w:t xml:space="preserve">(8) Where this Constitution bars a person from holding an office, no election, succession, elevation, designation, or automatic assumption may place that person in that office or in an acting exercise of its authority, except where this Constitution expressly provides otherwise. Where an order of succession or acting authority would otherwise place a barred person, the role passes to the next eligible person in the applicable order as if that person were unable to serve.</w:t>
      </w:r>
    </w:p>
    <w:p w14:paraId="56EC121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XIV — Military Authorization and Accountability</w:t>
      </w:r>
    </w:p>
    <w:p w14:paraId="397EB8F9" w14:textId="77777777" w:rsidR="00AF3D56" w:rsidRDefault="00000000">
      <w:pPr>
        <w:spacing w:before="200" w:after="60"/>
        <w:ind w:left="431"/>
      </w:pPr>
      <w:r>
        <w:rPr>
          <w:rFonts w:ascii="Courier New" w:eastAsia="Courier New" w:hAnsi="Courier New" w:cs="Courier New"/>
          <w:b/>
          <w:bCs/>
          <w:color w:val="2A2A2A"/>
          <w:sz w:val="18"/>
          <w:szCs w:val="18"/>
        </w:rPr>
        <w:t xml:space="preserve">§14.1  </w:t>
      </w:r>
      <w:r>
        <w:rPr>
          <w:rFonts w:ascii="Garamond" w:eastAsia="Garamond" w:hAnsi="Garamond" w:cs="Garamond"/>
          <w:i/>
          <w:iCs/>
          <w:color w:val="1B2A4A"/>
          <w:sz w:val="22"/>
          <w:szCs w:val="22"/>
        </w:rPr>
        <w:t>Authorized Purposes for Military Force</w:t>
      </w:r>
    </w:p>
    <w:p w14:paraId="4D8B0046" w14:textId="77777777" w:rsidR="00AF3D56" w:rsidRDefault="00000000">
      <w:pPr>
        <w:spacing w:after="120"/>
        <w:ind w:left="431"/>
        <w:jc w:val="both"/>
      </w:pPr>
      <w:r>
        <w:rPr>
          <w:rFonts w:ascii="Garamond" w:eastAsia="Garamond" w:hAnsi="Garamond" w:cs="Garamond"/>
          <w:color w:val="2A2A2A"/>
          <w:sz w:val="22"/>
          <w:szCs w:val="22"/>
        </w:rPr>
        <w:t>Military force serves two authorized purposes: protection of the Republic's territory, citizens, and treaty allies; and, with legislative authorization stating the specific grounds, response to crimes against humanity as defined under international law. The Legislature applies that definition directly in each authorization; no prior international recognition or finding is required.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 The SC’s review under this section is limited to whether the Legislature linked the authorization to one of the purposes enumerated above; the SC does not review whether the underlying facts satisfy that purpose’s legal threshold.</w:t>
      </w:r>
    </w:p>
    <w:p w14:paraId="689652C5" w14:textId="77777777" w:rsidR="00AF3D56" w:rsidRDefault="00000000">
      <w:pPr>
        <w:spacing w:before="200" w:after="60"/>
        <w:ind w:left="431"/>
      </w:pPr>
      <w:r>
        <w:rPr>
          <w:rFonts w:ascii="Courier New" w:eastAsia="Courier New" w:hAnsi="Courier New" w:cs="Courier New"/>
          <w:b/>
          <w:bCs/>
          <w:color w:val="2A2A2A"/>
          <w:sz w:val="18"/>
          <w:szCs w:val="18"/>
        </w:rPr>
        <w:t xml:space="preserve">§14.2  </w:t>
      </w:r>
      <w:r>
        <w:rPr>
          <w:rFonts w:ascii="Garamond" w:eastAsia="Garamond" w:hAnsi="Garamond" w:cs="Garamond"/>
          <w:i/>
          <w:iCs/>
          <w:color w:val="1B2A4A"/>
          <w:sz w:val="22"/>
          <w:szCs w:val="22"/>
        </w:rPr>
        <w:t>Defense Authorization and Allocation</w:t>
      </w:r>
    </w:p>
    <w:p w14:paraId="69F24B7F" w14:textId="77777777" w:rsidR="00AF3D56" w:rsidRDefault="00000000">
      <w:pPr>
        <w:spacing w:after="120"/>
        <w:ind w:left="431"/>
        <w:jc w:val="both"/>
      </w:pPr>
      <w:r>
        <w:rPr>
          <w:rFonts w:ascii="Garamond" w:eastAsia="Garamond" w:hAnsi="Garamond" w:cs="Garamond"/>
          <w:color w:val="2A2A2A"/>
          <w:sz w:val="22"/>
          <w:szCs w:val="22"/>
        </w:rPr>
        <w:t>Military expenditure requires legislative authorization under §14.1 and budget passage under §12.2; the Legat Consul executes that funding. Where authorization specifies categories or amounts, the Legat Consul is bound by them; otherwise, the Legat Consul determines allocation within the authorized total. The Legat Consul answers public questions before the Senate at intervals defined by statute and provides classified briefings to the Senate during active operations. Neither obligation constitutes Senate approval or conditions the Legat Consul’s authority to act. The Legat Consul keeps the Civic Consul informed of expenditure and its budgetary implications through the Council of Ministers under §2.14. When legislative authorization expires or lapses, all expenditure ceases; contracts may wind down for up to 90 days, with no new commitments permitted after expiration. The EM audits expenditure during active operations and publishes findings to the NRS, including intelligence activities conducted in support of those operations, published in classified summary form. The EM publishes a comprehensive accountability report within 180 days of an operation’s conclusion.</w:t>
      </w:r>
    </w:p>
    <w:p w14:paraId="0F47319D" w14:textId="77777777" w:rsidR="00AF3D56" w:rsidRDefault="00000000">
      <w:pPr>
        <w:spacing w:before="200" w:after="60"/>
        <w:ind w:left="431"/>
      </w:pPr>
      <w:r>
        <w:rPr>
          <w:rFonts w:ascii="Courier New" w:eastAsia="Courier New" w:hAnsi="Courier New" w:cs="Courier New"/>
          <w:b/>
          <w:bCs/>
          <w:color w:val="2A2A2A"/>
          <w:sz w:val="18"/>
          <w:szCs w:val="18"/>
        </w:rPr>
        <w:t xml:space="preserve">§14.3  </w:t>
      </w:r>
      <w:r>
        <w:rPr>
          <w:rFonts w:ascii="Garamond" w:eastAsia="Garamond" w:hAnsi="Garamond" w:cs="Garamond"/>
          <w:i/>
          <w:iCs/>
          <w:color w:val="1B2A4A"/>
          <w:sz w:val="22"/>
          <w:szCs w:val="22"/>
        </w:rPr>
        <w:t>Military Accountability</w:t>
      </w:r>
    </w:p>
    <w:p w14:paraId="39470BC8" w14:textId="77777777" w:rsidR="00AF3D56" w:rsidRDefault="00000000">
      <w:pPr>
        <w:spacing w:after="120"/>
        <w:ind w:left="431"/>
        <w:jc w:val="both"/>
      </w:pPr>
      <w:r>
        <w:rPr>
          <w:rFonts w:ascii="Garamond" w:eastAsia="Garamond" w:hAnsi="Garamond" w:cs="Garamond"/>
          <w:color w:val="2A2A2A"/>
          <w:sz w:val="22"/>
          <w:szCs w:val="22"/>
        </w:rPr>
        <w:t>Within the period defined by statute following legislative military authorization being renewed for a second time, the Legat Consul submits a Transition and Reconstruction Plan to the Senate specifying the Republic’s post-conflict obligations: status of alliance obligations, civilian reconstruction support, transitional justice support, and withdrawal timeline. The Senate reviews and approves the Plan, and may amend it in consultation and coordination with the Legat Consul. The approved Plan is published to the NRS and is binding on both executives within their respective domains. Legislative authorization may not be renewed beyond that point unless the Senate has approved a Plan; where authorization is not renewed, expenditure ceases under §14.2.</w:t>
      </w:r>
    </w:p>
    <w:p w14:paraId="759BD6E3" w14:textId="77777777" w:rsidR="00AF3D56" w:rsidRDefault="00000000">
      <w:pPr>
        <w:spacing w:before="200" w:after="60"/>
        <w:ind w:left="431"/>
      </w:pPr>
      <w:r>
        <w:rPr>
          <w:rFonts w:ascii="Courier New" w:eastAsia="Courier New" w:hAnsi="Courier New" w:cs="Courier New"/>
          <w:b/>
          <w:bCs/>
          <w:color w:val="2A2A2A"/>
          <w:sz w:val="18"/>
          <w:szCs w:val="18"/>
        </w:rPr>
        <w:t xml:space="preserve">§14.4  </w:t>
      </w:r>
      <w:r>
        <w:rPr>
          <w:rFonts w:ascii="Garamond" w:eastAsia="Garamond" w:hAnsi="Garamond" w:cs="Garamond"/>
          <w:i/>
          <w:iCs/>
          <w:color w:val="1B2A4A"/>
          <w:sz w:val="22"/>
          <w:szCs w:val="22"/>
        </w:rPr>
        <w:t>Treaty-Based Military Authorization</w:t>
      </w:r>
    </w:p>
    <w:p w14:paraId="768FBD7E" w14:textId="77777777" w:rsidR="00AF3D56" w:rsidRDefault="00000000">
      <w:pPr>
        <w:spacing w:after="120"/>
        <w:ind w:left="431"/>
        <w:jc w:val="both"/>
      </w:pPr>
      <w:r>
        <w:rPr>
          <w:rFonts w:ascii="Garamond" w:eastAsia="Garamond" w:hAnsi="Garamond" w:cs="Garamond"/>
          <w:color w:val="2A2A2A"/>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The oversight and accountability provisions of §14.2 apply from the moment of action. Where the SC determines that a treaty’s trigger conditions were not met, military operations are limited to a defensive posture, and both chambers of the Legislature must vote on whether to authorize continuation of the action no later than 30 days after the SC’s decision is published. An affirmative vote in both chambers constitutes legislative </w:t>
        <w:lastRenderedPageBreak/>
        <w:t>authorization, and the action proceeds under the ordinary terms of this Article from that point. Absent an affirmative vote within the 30-day period, §14.2’s expiration and wind-down provisions apply.</w:t>
      </w:r>
    </w:p>
    <w:p w14:paraId="036594B8"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 — Territorial Structure and Statehood</w:t>
      </w:r>
    </w:p>
    <w:p w14:paraId="6B0719C1" w14:textId="77777777" w:rsidR="00AF3D56" w:rsidRDefault="00000000">
      <w:pPr>
        <w:spacing w:before="200" w:after="60"/>
        <w:ind w:left="431"/>
      </w:pPr>
      <w:r>
        <w:rPr>
          <w:rFonts w:ascii="Courier New" w:eastAsia="Courier New" w:hAnsi="Courier New" w:cs="Courier New"/>
          <w:b/>
          <w:bCs/>
          <w:color w:val="2A2A2A"/>
          <w:sz w:val="18"/>
          <w:szCs w:val="18"/>
        </w:rPr>
        <w:t xml:space="preserve">§15.1  </w:t>
      </w:r>
      <w:r>
        <w:rPr>
          <w:rFonts w:ascii="Garamond" w:eastAsia="Garamond" w:hAnsi="Garamond" w:cs="Garamond"/>
          <w:i/>
          <w:iCs/>
          <w:color w:val="1B2A4A"/>
          <w:sz w:val="22"/>
          <w:szCs w:val="22"/>
        </w:rPr>
        <w:t>Territorial Compact</w:t>
      </w:r>
    </w:p>
    <w:p w14:paraId="0A73E2D3" w14:textId="77777777" w:rsidR="00AF3D56" w:rsidRDefault="00000000">
      <w:pPr>
        <w:spacing w:after="120"/>
        <w:ind w:left="431"/>
        <w:jc w:val="both"/>
      </w:pPr>
      <w:r>
        <w:rPr>
          <w:rFonts w:ascii="Garamond" w:eastAsia="Garamond" w:hAnsi="Garamond" w:cs="Garamond"/>
          <w:color w:val="2A2A2A"/>
          <w:sz w:val="22"/>
          <w:szCs w:val="22"/>
        </w:rPr>
        <w:t>A Territory operates under a Territorial Compact — the restructuring agreement under §15.4 or the incorporation agreement under §15.6 where the Territory results from one of those processes, or otherwise a standard statutory framework the Legislature defines, which must provide for an elected local governing authority over matters of local concern —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14:paraId="2D3E4F01" w14:textId="77777777" w:rsidR="00AF3D56" w:rsidRDefault="00000000">
      <w:pPr>
        <w:spacing w:before="200" w:after="60"/>
        <w:ind w:left="431"/>
      </w:pPr>
      <w:r>
        <w:rPr>
          <w:rFonts w:ascii="Courier New" w:eastAsia="Courier New" w:hAnsi="Courier New" w:cs="Courier New"/>
          <w:b/>
          <w:bCs/>
          <w:color w:val="2A2A2A"/>
          <w:sz w:val="18"/>
          <w:szCs w:val="18"/>
        </w:rPr>
        <w:t xml:space="preserve">§15.1.a  </w:t>
      </w:r>
      <w:r>
        <w:rPr>
          <w:rFonts w:ascii="Garamond" w:eastAsia="Garamond" w:hAnsi="Garamond" w:cs="Garamond"/>
          <w:i/>
          <w:iCs/>
          <w:color w:val="1B2A4A"/>
          <w:sz w:val="22"/>
          <w:szCs w:val="22"/>
        </w:rPr>
        <w:t>Provisional Status</w:t>
      </w:r>
    </w:p>
    <w:p w14:paraId="2D3E4F02" w14:textId="77777777" w:rsidR="00AF3D56" w:rsidRDefault="00000000">
      <w:pPr>
        <w:spacing w:after="120"/>
        <w:ind w:left="431"/>
        <w:jc w:val="both"/>
      </w:pPr>
      <w:r>
        <w:rPr>
          <w:rFonts w:ascii="Garamond" w:eastAsia="Garamond" w:hAnsi="Garamond" w:cs="Garamond"/>
          <w:color w:val="2A2A2A"/>
          <w:sz w:val="22"/>
          <w:szCs w:val="22"/>
        </w:rPr>
        <w:t>Provisional status is the intermediate constitutional stage between Territory and full State. A jurisdiction in Provisional status retains full self-governing authority — its legislature, executive, courts, administrative functions, State-level electoral processes, social state access, and Article I protections continue without interruption. No federal Senate elections may be held for a jurisdiction in Provisional status; sitting senators complete their current terms; Senate seats are not filled upon expiry during Provisional status. Full Statehood takes effect automatically and immediately upon publication of a second consecutive clean Statehood Audit finding while in Provisional status to the NRS; no additional vote, legislative act, or executive confirmation is required. Further rules governing transition support, fiscal coordination, and administrative assistance during Provisional status are defined by statute.</w:t>
      </w:r>
    </w:p>
    <w:p w14:paraId="1AD166BC" w14:textId="77777777" w:rsidR="00AF3D56" w:rsidRDefault="00000000">
      <w:pPr>
        <w:spacing w:before="200" w:after="60"/>
        <w:ind w:left="431"/>
      </w:pPr>
      <w:r>
        <w:rPr>
          <w:rFonts w:ascii="Courier New" w:eastAsia="Courier New" w:hAnsi="Courier New" w:cs="Courier New"/>
          <w:b/>
          <w:bCs/>
          <w:color w:val="2A2A2A"/>
          <w:sz w:val="18"/>
          <w:szCs w:val="18"/>
        </w:rPr>
        <w:t xml:space="preserve">§15.2  </w:t>
      </w:r>
      <w:r>
        <w:rPr>
          <w:rFonts w:ascii="Garamond" w:eastAsia="Garamond" w:hAnsi="Garamond" w:cs="Garamond"/>
          <w:i/>
          <w:iCs/>
          <w:color w:val="1B2A4A"/>
          <w:sz w:val="22"/>
          <w:szCs w:val="22"/>
        </w:rPr>
        <w:t>The Statehood Audit</w:t>
      </w:r>
    </w:p>
    <w:p w14:paraId="6E5F08F8" w14:textId="77777777" w:rsidR="00AF3D56" w:rsidRDefault="00000000">
      <w:pPr>
        <w:spacing w:after="120"/>
        <w:ind w:left="431"/>
        <w:jc w:val="both"/>
      </w:pPr>
      <w:r>
        <w:rPr>
          <w:rFonts w:ascii="Garamond" w:eastAsia="Garamond" w:hAnsi="Garamond" w:cs="Garamond"/>
          <w:color w:val="2A2A2A"/>
          <w:sz w:val="22"/>
          <w:szCs w:val="22"/>
        </w:rPr>
        <w:t>The pathway from Territory to State proceeds through Provisional status under §15.1.a upon passing the Statehood Audit — no political vote is required. The JMC administers the Statehood Audit; the Legislature defines audit components, methodology, and resubmission timelines by statute, subject to 2/3 majority of both chambers. A jurisdiction that fails receives specific published findings and may resubmit after addressing the failures. Upon passing, the Territory enters Provisional status immediately. Every State must maintain three ongoing conditions: functioning electoral processes, basic rule of law and judicial function, and Article I rights compliance; annual audit verifies continued compliance. Where active conflict prevents completion of an annual audit in a significant portion of a State's territory, the LM may publish a provisional audit status finding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14:paraId="4EE807A8" w14:textId="77777777" w:rsidR="00AF3D56" w:rsidRDefault="00000000">
      <w:pPr>
        <w:spacing w:before="200" w:after="60"/>
        <w:ind w:left="431"/>
      </w:pPr>
      <w:r>
        <w:rPr>
          <w:rFonts w:ascii="Courier New" w:eastAsia="Courier New" w:hAnsi="Courier New" w:cs="Courier New"/>
          <w:b/>
          <w:bCs/>
          <w:color w:val="2A2A2A"/>
          <w:sz w:val="18"/>
          <w:szCs w:val="18"/>
        </w:rPr>
        <w:t xml:space="preserve">§15.3  </w:t>
      </w:r>
      <w:r>
        <w:rPr>
          <w:rFonts w:ascii="Garamond" w:eastAsia="Garamond" w:hAnsi="Garamond" w:cs="Garamond"/>
          <w:i/>
          <w:iCs/>
          <w:color w:val="1B2A4A"/>
          <w:sz w:val="22"/>
          <w:szCs w:val="22"/>
        </w:rPr>
        <w:t>Mandatory Devolution</w:t>
      </w:r>
    </w:p>
    <w:p>
      <w:pPr>
        <w:spacing w:after="120"/>
        <w:ind w:left="431"/>
        <w:jc w:val="both"/>
      </w:pPr>
      <w:r>
        <w:rPr>
          <w:rFonts w:ascii="Garamond" w:eastAsia="Garamond" w:hAnsi="Garamond" w:cs="Garamond"/>
          <w:color w:val="2A2A2A"/>
          <w:sz w:val="22"/>
          <w:szCs w:val="22"/>
        </w:rPr>
        <w:t xml:space="preserve">(1) A State enters Mandatory Devolution upon three consecutive annual Statehood Audit findings of failure published by the JMC.</w:t>
      </w:r>
    </w:p>
    <w:p>
      <w:pPr>
        <w:spacing w:after="120"/>
        <w:ind w:left="431"/>
        <w:jc w:val="both"/>
      </w:pPr>
      <w:r>
        <w:rPr>
          <w:rFonts w:ascii="Garamond" w:eastAsia="Garamond" w:hAnsi="Garamond" w:cs="Garamond"/>
          <w:color w:val="2A2A2A"/>
          <w:sz w:val="22"/>
          <w:szCs w:val="22"/>
        </w:rPr>
        <w:t xml:space="preserve">(2) After each failing audit, the JMC publishes an Early Warning specifying compliance requirements; the State must publish a Remediation Plan within the period defined by statute. Upon three consecutive failures, the State enters Provisional status under §15.1.a.</w:t>
      </w:r>
    </w:p>
    <w:p>
      <w:pPr>
        <w:spacing w:after="120"/>
        <w:ind w:left="431"/>
        <w:jc w:val="both"/>
      </w:pPr>
      <w:r>
        <w:rPr>
          <w:rFonts w:ascii="Garamond" w:eastAsia="Garamond" w:hAnsi="Garamond" w:cs="Garamond"/>
          <w:color w:val="2A2A2A"/>
          <w:sz w:val="22"/>
          <w:szCs w:val="22"/>
        </w:rPr>
        <w:t xml:space="preserve">(3) A Provisional Audit Council activates upon a State entering Provisional status under this section. The Council comprises two officers appointed by the Civic Consul through the standard executive officer appointment process and two delegates appointed by the State legislature; appointments may be changed through the same process by which they were made.</w:t>
      </w:r>
    </w:p>
    <w:p>
      <w:pPr>
        <w:spacing w:after="120"/>
        <w:ind w:left="431"/>
        <w:jc w:val="both"/>
      </w:pPr>
      <w:r>
        <w:rPr>
          <w:rFonts w:ascii="Garamond" w:eastAsia="Garamond" w:hAnsi="Garamond" w:cs="Garamond"/>
          <w:color w:val="2A2A2A"/>
          <w:sz w:val="22"/>
          <w:szCs w:val="22"/>
        </w:rPr>
        <w:t xml:space="preserve">(4) The Council reviews audit findings, proposes remediation plans, and publishes its findings and recommendations to the NRS; the State must publish a formal response within the period defined by statute; the form of response and preparation process are defined by statute. The Council is advisory only — the State legislature retains full legislative authority over all remediation decisions. The Council dissolves automatically upon Statehood restoration.</w:t>
      </w:r>
    </w:p>
    <w:p>
      <w:pPr>
        <w:spacing w:after="120"/>
        <w:ind w:left="431"/>
        <w:jc w:val="both"/>
      </w:pPr>
      <w:r>
        <w:rPr>
          <w:rFonts w:ascii="Garamond" w:eastAsia="Garamond" w:hAnsi="Garamond" w:cs="Garamond"/>
          <w:color w:val="2A2A2A"/>
          <w:sz w:val="22"/>
          <w:szCs w:val="22"/>
        </w:rPr>
        <w:t xml:space="preserve">(5) Upon entering Provisional status under this section, the Elections Panel administers a citizen vote on the principle of pursuing devolution on the same terms as §15.4's voluntary process; upon each subsequent annual audit failure while in Provisional status and no §15.4 negotiation is actively underway following a prior affirmative vote under this section, the Elections Panel administers another citizen vote on the same terms.</w:t>
      </w:r>
    </w:p>
    <w:p>
      <w:pPr>
        <w:spacing w:after="120"/>
        <w:ind w:left="431"/>
        <w:jc w:val="both"/>
      </w:pPr>
      <w:r>
        <w:rPr>
          <w:rFonts w:ascii="Garamond" w:eastAsia="Garamond" w:hAnsi="Garamond" w:cs="Garamond"/>
          <w:color w:val="2A2A2A"/>
          <w:sz w:val="22"/>
          <w:szCs w:val="22"/>
        </w:rPr>
        <w:t xml:space="preserve">(6) An affirmative vote proceeds through negotiation and Senate ratification under §15.4; the State remains in Provisional status throughout that process; absent an affirmative vote, the State continues in Provisional status under this section.</w:t>
      </w:r>
    </w:p>
    <w:p>
      <w:pPr>
        <w:spacing w:after="120"/>
        <w:ind w:left="431"/>
        <w:jc w:val="both"/>
      </w:pPr>
      <w:r>
        <w:rPr>
          <w:rFonts w:ascii="Garamond" w:eastAsia="Garamond" w:hAnsi="Garamond" w:cs="Garamond"/>
          <w:color w:val="2A2A2A"/>
          <w:sz w:val="22"/>
          <w:szCs w:val="22"/>
        </w:rPr>
        <w:t xml:space="preserve">(7) Within 30 days of entering Provisional status under this section, the State may petition the courts on the sole ground that the audit findings are factually insufficient to establish three consecutive failures; the court reviews only the factual basis; process and timeline are defined by statute.</w:t>
      </w:r>
    </w:p>
    <w:p w14:paraId="173529F2" w14:textId="77777777" w:rsidR="00AF3D56" w:rsidRDefault="00000000">
      <w:pPr>
        <w:spacing w:before="200" w:after="60"/>
        <w:ind w:left="431"/>
      </w:pPr>
      <w:r>
        <w:rPr>
          <w:rFonts w:ascii="Courier New" w:eastAsia="Courier New" w:hAnsi="Courier New" w:cs="Courier New"/>
          <w:b/>
          <w:bCs/>
          <w:color w:val="2A2A2A"/>
          <w:sz w:val="18"/>
          <w:szCs w:val="18"/>
        </w:rPr>
        <w:t xml:space="preserve">§15.4  </w:t>
      </w:r>
      <w:r>
        <w:rPr>
          <w:rFonts w:ascii="Garamond" w:eastAsia="Garamond" w:hAnsi="Garamond" w:cs="Garamond"/>
          <w:i/>
          <w:iCs/>
          <w:color w:val="1B2A4A"/>
          <w:sz w:val="22"/>
          <w:szCs w:val="22"/>
        </w:rPr>
        <w:t>Voluntary Devolution and Merger</w:t>
      </w:r>
    </w:p>
    <w:p w14:paraId="6D96E42E" w14:textId="77777777" w:rsidR="00AF3D56" w:rsidRDefault="00000000">
      <w:pPr>
        <w:spacing w:after="120"/>
        <w:ind w:left="431"/>
        <w:jc w:val="both"/>
      </w:pPr>
      <w:r>
        <w:rPr>
          <w:rFonts w:ascii="Garamond" w:eastAsia="Garamond" w:hAnsi="Garamond" w:cs="Garamond"/>
          <w:color w:val="2A2A2A"/>
          <w:sz w:val="22"/>
          <w:szCs w:val="22"/>
        </w:rPr>
        <w:t xml:space="preserve">A State may voluntarily restructure its relationship with the Republic. The process requires, first, a State referendum achieving 60% approval of eligible voters on the principle of pursuing devolution; and second, upon approval, negotiation of a restructuring agreement between the State and the Legislature, ratified by </w:t>
        <w:lastRenderedPageBreak/>
        <w:t>Senate approval by 2/3 majority. The agreement specifies asset and liability allocation, transition timeline, constitutional status of successor jurisdictions, fiscal obligations to the Republic, and continuing obligations; it is published to the NRS and legally binding. Where devolution is initiated under this section without prior entry into Provisional status under §15.3, the State retains full State status — including Senate representation — throughout; State status is unchanged unless and until the restructuring agreement takes effect upon Senate ratification. Social state protections and Article I rights continue through the transition.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14:paraId="50BCAC8D" w14:textId="77777777" w:rsidR="00AF3D56" w:rsidRDefault="00000000">
      <w:pPr>
        <w:spacing w:before="200" w:after="60"/>
        <w:ind w:left="431"/>
      </w:pPr>
      <w:r>
        <w:rPr>
          <w:rFonts w:ascii="Courier New" w:eastAsia="Courier New" w:hAnsi="Courier New" w:cs="Courier New"/>
          <w:b/>
          <w:bCs/>
          <w:color w:val="2A2A2A"/>
          <w:sz w:val="18"/>
          <w:szCs w:val="18"/>
        </w:rPr>
        <w:t xml:space="preserve">§15.5  </w:t>
      </w:r>
      <w:r>
        <w:rPr>
          <w:rFonts w:ascii="Garamond" w:eastAsia="Garamond" w:hAnsi="Garamond" w:cs="Garamond"/>
          <w:i/>
          <w:iCs/>
          <w:color w:val="1B2A4A"/>
          <w:sz w:val="22"/>
          <w:szCs w:val="22"/>
        </w:rPr>
        <w:t>Re-Qualification Pathway</w:t>
      </w:r>
    </w:p>
    <w:p w14:paraId="71347004" w14:textId="77777777" w:rsidR="00AF3D56" w:rsidRDefault="00000000">
      <w:pPr>
        <w:spacing w:after="120"/>
        <w:ind w:left="431"/>
        <w:jc w:val="both"/>
      </w:pPr>
      <w:r>
        <w:rPr>
          <w:rFonts w:ascii="Garamond" w:eastAsia="Garamond" w:hAnsi="Garamond" w:cs="Garamond"/>
          <w:color w:val="2A2A2A"/>
          <w:sz w:val="22"/>
          <w:szCs w:val="22"/>
        </w:rPr>
        <w:t>A Territory resulting from mandatory or voluntary devolution enters the §15.2 pathway immediately upon the effective date of devolution — no additional political vote is required. Where a defined geographic subdivision of the Territory separately achieves Statehood under §15.2 or merges with an existing State under §15.4, the remainder continues as Territory without interruption.</w:t>
      </w:r>
    </w:p>
    <w:p w14:paraId="03BA3EA5" w14:textId="77777777" w:rsidR="00AF3D56" w:rsidRDefault="00000000">
      <w:pPr>
        <w:spacing w:before="200" w:after="60"/>
        <w:ind w:left="431"/>
      </w:pPr>
      <w:r>
        <w:rPr>
          <w:rFonts w:ascii="Courier New" w:eastAsia="Courier New" w:hAnsi="Courier New" w:cs="Courier New"/>
          <w:b/>
          <w:bCs/>
          <w:color w:val="2A2A2A"/>
          <w:sz w:val="18"/>
          <w:szCs w:val="18"/>
        </w:rPr>
        <w:t xml:space="preserve">§15.6  </w:t>
      </w:r>
      <w:r>
        <w:rPr>
          <w:rFonts w:ascii="Garamond" w:eastAsia="Garamond" w:hAnsi="Garamond" w:cs="Garamond"/>
          <w:i/>
          <w:iCs/>
          <w:color w:val="1B2A4A"/>
          <w:sz w:val="22"/>
          <w:szCs w:val="22"/>
        </w:rPr>
        <w:t>Voluntary Incorporation</w:t>
      </w:r>
    </w:p>
    <w:p w14:paraId="1B01F6B7" w14:textId="77777777" w:rsidR="00AF3D56" w:rsidRDefault="00000000">
      <w:pPr>
        <w:spacing w:after="120"/>
        <w:ind w:left="431"/>
        <w:jc w:val="both"/>
      </w:pPr>
      <w:r>
        <w:rPr>
          <w:rFonts w:ascii="Garamond" w:eastAsia="Garamond" w:hAnsi="Garamond" w:cs="Garamond"/>
          <w:color w:val="2A2A2A"/>
          <w:sz w:val="22"/>
          <w:szCs w:val="22"/>
        </w:rPr>
        <w:t>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Upon confirmation, the entity and the Legislature negotiate an incorporation agreement specifying a transition period not exceeding 48 months; the Legislature ratifies the agreement by 2/3 of both chambers. Under §9.1, either chamber may request a JM assessment of the entity's compliance with §1.19.a before that ratification vote; published JM findings must be given due consideration. Any person with standing may challenge the incorporation before the SC on the ground that the entity systematically violates §1.19.a. No constitutional officer may condition treaty obligations, trade relations, military cooperation, or foreign aid on any entity's decision to initiate or advance this process. During the Transition Window, a recognized indigenous nation proceeds under §16.2; thereafter, a recognized indigenous nation holding Associated Community status petitions under this provision as a sovereign entity.</w:t>
      </w:r>
    </w:p>
    <w:p w14:paraId="35629BDB" w14:textId="77777777" w:rsidR="00AF3D56" w:rsidRDefault="00000000">
      <w:pPr>
        <w:spacing w:before="200" w:after="60"/>
        <w:ind w:left="431"/>
      </w:pPr>
      <w:r>
        <w:rPr>
          <w:rFonts w:ascii="Courier New" w:eastAsia="Courier New" w:hAnsi="Courier New" w:cs="Courier New"/>
          <w:b/>
          <w:bCs/>
          <w:color w:val="2A2A2A"/>
          <w:sz w:val="18"/>
          <w:szCs w:val="18"/>
        </w:rPr>
        <w:t xml:space="preserve">§15.7  </w:t>
      </w:r>
      <w:r>
        <w:rPr>
          <w:rFonts w:ascii="Garamond" w:eastAsia="Garamond" w:hAnsi="Garamond" w:cs="Garamond"/>
          <w:i/>
          <w:iCs/>
          <w:color w:val="1B2A4A"/>
          <w:sz w:val="22"/>
          <w:szCs w:val="22"/>
        </w:rPr>
        <w:t>State Immutability and Territorial Integrity</w:t>
      </w:r>
    </w:p>
    <w:p w14:paraId="2301DE14" w14:textId="77777777" w:rsidR="00AF3D56" w:rsidRDefault="00000000">
      <w:pPr>
        <w:spacing w:after="120"/>
        <w:ind w:left="431"/>
        <w:jc w:val="both"/>
      </w:pPr>
      <w:r>
        <w:rPr>
          <w:rFonts w:ascii="Garamond" w:eastAsia="Garamond" w:hAnsi="Garamond" w:cs="Garamond"/>
          <w:color w:val="2A2A2A"/>
          <w:sz w:val="22"/>
          <w:szCs w:val="22"/>
        </w:rPr>
        <w:t>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 A founding status election under §16.2 constitutes the consent mechanism required by this section for indigenous territorial transitions effected during the Transition Window; no additional Popular Ratification is required. Recognition under §16.4 effects no territorial change; post-founding indigenous territorial transitions proceed under Article XVII. A completed process under §15.9, including its national referendum, constitutes the consent mechanism required by this section; no additional amendment or Popular Ratification is required.</w:t>
      </w:r>
    </w:p>
    <w:p w14:paraId="19B15D9D" w14:textId="77777777" w:rsidR="00AF3D56" w:rsidRDefault="00000000">
      <w:pPr>
        <w:spacing w:before="200" w:after="60"/>
        <w:ind w:left="431"/>
      </w:pPr>
      <w:r>
        <w:rPr>
          <w:rFonts w:ascii="Courier New" w:eastAsia="Courier New" w:hAnsi="Courier New" w:cs="Courier New"/>
          <w:b/>
          <w:bCs/>
          <w:color w:val="2A2A2A"/>
          <w:sz w:val="18"/>
          <w:szCs w:val="18"/>
        </w:rPr>
        <w:t xml:space="preserve">§15.8  </w:t>
      </w:r>
      <w:r>
        <w:rPr>
          <w:rFonts w:ascii="Garamond" w:eastAsia="Garamond" w:hAnsi="Garamond" w:cs="Garamond"/>
          <w:i/>
          <w:iCs/>
          <w:color w:val="1B2A4A"/>
          <w:sz w:val="22"/>
          <w:szCs w:val="22"/>
        </w:rPr>
        <w:t>Local Government</w:t>
      </w:r>
    </w:p>
    <w:p w14:paraId="44611A4A" w14:textId="77777777" w:rsidR="00AF3D56" w:rsidRDefault="00000000">
      <w:pPr>
        <w:spacing w:after="120"/>
        <w:ind w:left="431"/>
        <w:jc w:val="both"/>
      </w:pPr>
      <w:r>
        <w:rPr>
          <w:rFonts w:ascii="Garamond" w:eastAsia="Garamond" w:hAnsi="Garamond" w:cs="Garamond"/>
          <w:color w:val="2A2A2A"/>
          <w:sz w:val="22"/>
          <w:szCs w:val="22"/>
        </w:rPr>
        <w:t>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14:paraId="5C3A62F2" w14:textId="77777777" w:rsidR="00AF3D56" w:rsidRDefault="00000000">
      <w:pPr>
        <w:spacing w:before="200" w:after="60"/>
        <w:ind w:left="431"/>
      </w:pPr>
      <w:r>
        <w:rPr>
          <w:rFonts w:ascii="Courier New" w:eastAsia="Courier New" w:hAnsi="Courier New" w:cs="Courier New"/>
          <w:b/>
          <w:bCs/>
          <w:color w:val="2A2A2A"/>
          <w:sz w:val="18"/>
          <w:szCs w:val="18"/>
        </w:rPr>
        <w:t xml:space="preserve">§15.9  </w:t>
      </w:r>
      <w:r>
        <w:rPr>
          <w:rFonts w:ascii="Garamond" w:eastAsia="Garamond" w:hAnsi="Garamond" w:cs="Garamond"/>
          <w:i/>
          <w:iCs/>
          <w:color w:val="1B2A4A"/>
          <w:sz w:val="22"/>
          <w:szCs w:val="22"/>
        </w:rPr>
        <w:t>Voluntary State Independence</w:t>
      </w:r>
    </w:p>
    <w:p>
      <w:pPr>
        <w:spacing w:after="120"/>
        <w:ind w:left="431"/>
        <w:jc w:val="both"/>
      </w:pPr>
      <w:r>
        <w:rPr>
          <w:rFonts w:ascii="Garamond" w:eastAsia="Garamond" w:hAnsi="Garamond" w:cs="Garamond"/>
          <w:color w:val="2A2A2A"/>
          <w:sz w:val="22"/>
          <w:szCs w:val="22"/>
        </w:rPr>
        <w:t xml:space="preserve">(1) A State may seek independence from the Republic through a three-stage process.</w:t>
      </w:r>
    </w:p>
    <w:p>
      <w:pPr>
        <w:spacing w:after="120"/>
        <w:ind w:left="431"/>
        <w:jc w:val="both"/>
      </w:pPr>
      <w:r>
        <w:rPr>
          <w:rFonts w:ascii="Garamond" w:eastAsia="Garamond" w:hAnsi="Garamond" w:cs="Garamond"/>
          <w:color w:val="2A2A2A"/>
          <w:sz w:val="22"/>
          <w:szCs w:val="22"/>
        </w:rPr>
        <w:t xml:space="preserve">(2) Stage One requires the State legislature to resolve by 2/3 majority to submit the independence question to the State's eligible voters; the referendum must achieve 60% of votes cast with at least 60% participation among the State's eligible voters; a failed referendum may not be reinitiated on the same or substantially similar grounds for five years.</w:t>
      </w:r>
    </w:p>
    <w:p>
      <w:pPr>
        <w:spacing w:after="120"/>
        <w:ind w:left="431"/>
        <w:jc w:val="both"/>
      </w:pPr>
      <w:r>
        <w:rPr>
          <w:rFonts w:ascii="Garamond" w:eastAsia="Garamond" w:hAnsi="Garamond" w:cs="Garamond"/>
          <w:color w:val="2A2A2A"/>
          <w:sz w:val="22"/>
          <w:szCs w:val="22"/>
        </w:rPr>
        <w:t xml:space="preserve">(3) Upon certification of the referendum result, the Elections Panel publishes the independence petition to the NRS; the petition may not be withdrawn by the State while the process continues.</w:t>
      </w:r>
    </w:p>
    <w:p>
      <w:pPr>
        <w:spacing w:after="120"/>
        <w:ind w:left="431"/>
        <w:jc w:val="both"/>
      </w:pPr>
      <w:r>
        <w:rPr>
          <w:rFonts w:ascii="Garamond" w:eastAsia="Garamond" w:hAnsi="Garamond" w:cs="Garamond"/>
          <w:color w:val="2A2A2A"/>
          <w:sz w:val="22"/>
          <w:szCs w:val="22"/>
        </w:rPr>
        <w:t xml:space="preserve">(4) The Republic may not prefer, discourage, or offer inducements toward any independence petition or referendum; the Republic must provide factual information about the process upon request.</w:t>
      </w:r>
    </w:p>
    <w:p>
      <w:pPr>
        <w:spacing w:after="120"/>
        <w:ind w:left="431"/>
        <w:jc w:val="both"/>
      </w:pPr>
      <w:r>
        <w:rPr>
          <w:rFonts w:ascii="Garamond" w:eastAsia="Garamond" w:hAnsi="Garamond" w:cs="Garamond"/>
          <w:color w:val="2A2A2A"/>
          <w:sz w:val="22"/>
          <w:szCs w:val="22"/>
        </w:rPr>
        <w:t xml:space="preserve">(5) Stage Two requires both chambers to hold a concurrent ratification vote within 90 days of NRS publication; Assembly members elected from districts within the petitioning State and senators elected from the petitioning State are recused from this vote, and the required 60% majority and quorum for each chamber are calculated from the remaining seated members; if either chamber fails to achieve 60% or fails to vote within 90 days, the petition lapses and the State may reinitiate Stage One without restriction.</w:t>
      </w:r>
    </w:p>
    <w:p>
      <w:pPr>
        <w:spacing w:after="120"/>
        <w:ind w:left="431"/>
        <w:jc w:val="both"/>
      </w:pPr>
      <w:r>
        <w:rPr>
          <w:rFonts w:ascii="Garamond" w:eastAsia="Garamond" w:hAnsi="Garamond" w:cs="Garamond"/>
          <w:color w:val="2A2A2A"/>
          <w:sz w:val="22"/>
          <w:szCs w:val="22"/>
        </w:rPr>
        <w:t xml:space="preserve">(6) Stage Three requires a national referendum administered by the Elections Panel within 180 days of the Stage Two vote, in which all eligible voters of the Republic — including those of the petitioning State — participate; independence is approved by 60% of votes cast under §7.2 with a minimum 50% citizen participation. Where the referendum fails, the petition lapses and the State may reinitiate Stage One without restriction.</w:t>
      </w:r>
    </w:p>
    <w:p>
      <w:pPr>
        <w:spacing w:after="120"/>
        <w:ind w:left="431"/>
        <w:jc w:val="both"/>
      </w:pPr>
      <w:r>
        <w:rPr>
          <w:rFonts w:ascii="Garamond" w:eastAsia="Garamond" w:hAnsi="Garamond" w:cs="Garamond"/>
          <w:color w:val="2A2A2A"/>
          <w:sz w:val="22"/>
          <w:szCs w:val="22"/>
        </w:rPr>
        <w:t xml:space="preserve">(7) Upon certification of an affirmative Stage Three result, the State and the Legislature negotiate a separation agreement specifying asset and liability allocation, borders, transition timeline, fiscal obligations, and continuing obligations, ratified by the Senate by 2/3 of full seated membership and published to the NRS; independence takes effect on the date the agreement specifies.</w:t>
      </w:r>
    </w:p>
    <w:p w14:paraId="6A68E2CC"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 — Indigenous Sovereignty</w:t>
      </w:r>
    </w:p>
    <w:p w:rsidR="00AF3D56" w:rsidRDefault="00000000">
      <w:pPr>
        <w:spacing w:before="200" w:after="60"/>
        <w:ind w:left="431"/>
      </w:pPr>
      <w:r>
        <w:rPr>
          <w:rFonts w:ascii="Courier New" w:eastAsia="Courier New" w:hAnsi="Courier New" w:cs="Courier New"/>
          <w:b/>
          <w:bCs/>
          <w:color w:val="2A2A2A"/>
          <w:sz w:val="18"/>
          <w:szCs w:val="18"/>
        </w:rPr>
        <w:t xml:space="preserve">§16.1  </w:t>
      </w:r>
      <w:r>
        <w:rPr>
          <w:rFonts w:ascii="Garamond" w:eastAsia="Garamond" w:hAnsi="Garamond" w:cs="Garamond"/>
          <w:i/>
          <w:iCs/>
          <w:color w:val="1B2A4A"/>
          <w:sz w:val="22"/>
          <w:szCs w:val="22"/>
        </w:rPr>
        <w:t>Acknowledgment of Prior Sovereignty and Recognition</w:t>
      </w:r>
    </w:p>
    <w:p w:rsidR="00AF3D56" w:rsidRDefault="00000000">
      <w:pPr>
        <w:spacing w:after="120"/>
        <w:ind w:left="431"/>
        <w:jc w:val="both"/>
      </w:pPr>
      <w:r>
        <w:rPr>
          <w:rFonts w:ascii="Garamond" w:eastAsia="Garamond" w:hAnsi="Garamond" w:cs="Garamond"/>
          <w:color w:val="2A2A2A"/>
          <w:sz w:val="22"/>
          <w:szCs w:val="22"/>
        </w:rPr>
        <w:t>Indigenous Nations hold sovereignty that precedes the Republic. This sovereignty is acknowledged, not granted — the Republic's constitutional framework does not create it and may not extinguish it. The Republic deals with recognized indigenous nations as sovereign nations. A recognized indigenous nation, wherever that term appears in this Constitution, means a nation that, as of Day Zero, held a treaty with, a compact with, or formal recognition from a predecessor government, or a nation recognized under §16.4. The joint Monitor panel under §19.3 compiles the founding register of recognized nations from the predecessor record and publishes it to the NRS before the close of Phase 1; compilation is ministerial and applies the predecessor record as it stands. A nation omitted from the founding register may appeal to the SC within the period defined by statute on the sole ground that the predecessor record was misapplied. Recognition confers no territorial rights of itself; no act of recognition alters the Article I rights, citizenship, property, or residency of any person.</w:t>
      </w:r>
    </w:p>
    <w:p w:rsidR="00AF3D56" w:rsidRDefault="00000000">
      <w:pPr>
        <w:spacing w:before="200" w:after="60"/>
        <w:ind w:left="431"/>
      </w:pPr>
      <w:r>
        <w:rPr>
          <w:rFonts w:ascii="Courier New" w:eastAsia="Courier New" w:hAnsi="Courier New" w:cs="Courier New"/>
          <w:b/>
          <w:bCs/>
          <w:color w:val="2A2A2A"/>
          <w:sz w:val="18"/>
          <w:szCs w:val="18"/>
        </w:rPr>
        <w:t xml:space="preserve">§16.2  </w:t>
      </w:r>
      <w:r>
        <w:rPr>
          <w:rFonts w:ascii="Garamond" w:eastAsia="Garamond" w:hAnsi="Garamond" w:cs="Garamond"/>
          <w:i/>
          <w:iCs/>
          <w:color w:val="1B2A4A"/>
          <w:sz w:val="22"/>
          <w:szCs w:val="22"/>
        </w:rPr>
        <w:t>Founding Status Election</w:t>
      </w:r>
    </w:p>
    <w:p>
      <w:pPr>
        <w:spacing w:after="120"/>
        <w:ind w:left="431"/>
        <w:jc w:val="both"/>
      </w:pPr>
      <w:r>
        <w:rPr>
          <w:rFonts w:ascii="Garamond" w:eastAsia="Garamond" w:hAnsi="Garamond" w:cs="Garamond"/>
          <w:color w:val="2A2A2A"/>
          <w:sz w:val="22"/>
          <w:szCs w:val="22"/>
        </w:rPr>
        <w:t xml:space="preserve">(1) At ratification, the Republic formally notifies every nation on the founding register of its rights under this section; notification is published to the NRS.</w:t>
      </w:r>
    </w:p>
    <w:p>
      <w:pPr>
        <w:spacing w:after="120"/>
        <w:ind w:left="431"/>
        <w:jc w:val="both"/>
      </w:pPr>
      <w:r>
        <w:rPr>
          <w:rFonts w:ascii="Garamond" w:eastAsia="Garamond" w:hAnsi="Garamond" w:cs="Garamond"/>
          <w:color w:val="2A2A2A"/>
          <w:sz w:val="22"/>
          <w:szCs w:val="22"/>
        </w:rPr>
        <w:t xml:space="preserve">(2) From Day Zero until the close of the Transition Window under §19.2, each recognized nation may elect, by its own democratic or traditional governance process meeting the standards the nation itself defines for major governance decisions, one of the following statuses, published to the NRS: (a) Associated Community — the nation proceeds as a sovereign nation in a compact relationship with the Republic under Article XX; (b) Territorial Integration — the nation enters the Republic as a Territory under §15.1, with the standard §15.2 Statehood pathway available; the published election constitutes the petition and confirmation required by §15.6, and the nation and the Legislature proceed directly to negotiation of the incorporation agreement, ratified by 2/3 of both chambers.</w:t>
      </w:r>
    </w:p>
    <w:p>
      <w:pPr>
        <w:spacing w:after="120"/>
        <w:ind w:left="431"/>
        <w:jc w:val="both"/>
      </w:pPr>
      <w:r>
        <w:rPr>
          <w:rFonts w:ascii="Garamond" w:eastAsia="Garamond" w:hAnsi="Garamond" w:cs="Garamond"/>
          <w:color w:val="2A2A2A"/>
          <w:sz w:val="22"/>
          <w:szCs w:val="22"/>
        </w:rPr>
        <w:t xml:space="preserve">(3) Associated Community status is the default: a nation that makes no election holds Associated Community status by constitutional operation at the close of the Transition Window.</w:t>
      </w:r>
    </w:p>
    <w:p>
      <w:pPr>
        <w:spacing w:after="120"/>
        <w:ind w:left="431"/>
        <w:jc w:val="both"/>
      </w:pPr>
      <w:r>
        <w:rPr>
          <w:rFonts w:ascii="Garamond" w:eastAsia="Garamond" w:hAnsi="Garamond" w:cs="Garamond"/>
          <w:color w:val="2A2A2A"/>
          <w:sz w:val="22"/>
          <w:szCs w:val="22"/>
        </w:rPr>
        <w:t xml:space="preserve">(4) The Republic may not prefer, discourage, or offer inducements toward any status; it must provide factual information about each status upon request.</w:t>
      </w:r>
    </w:p>
    <w:p>
      <w:pPr>
        <w:spacing w:after="120"/>
        <w:ind w:left="431"/>
        <w:jc w:val="both"/>
      </w:pPr>
      <w:r>
        <w:rPr>
          <w:rFonts w:ascii="Garamond" w:eastAsia="Garamond" w:hAnsi="Garamond" w:cs="Garamond"/>
          <w:color w:val="2A2A2A"/>
          <w:sz w:val="22"/>
          <w:szCs w:val="22"/>
        </w:rPr>
        <w:t xml:space="preserve">(5) Article I applies within the territory of each recognized nation throughout the Transition Window unless the nation, by its own governance process, positively rejects that application, published to the NRS; rejection constitutes an early assertion of the default status.</w:t>
      </w:r>
    </w:p>
    <w:p>
      <w:pPr>
        <w:spacing w:after="120"/>
        <w:ind w:left="431"/>
        <w:jc w:val="both"/>
      </w:pPr>
      <w:r>
        <w:rPr>
          <w:rFonts w:ascii="Garamond" w:eastAsia="Garamond" w:hAnsi="Garamond" w:cs="Garamond"/>
          <w:color w:val="2A2A2A"/>
          <w:sz w:val="22"/>
          <w:szCs w:val="22"/>
        </w:rPr>
        <w:t xml:space="preserve">(6) While Article I so applies, any resident of the nation's territory who believes an Article I right has been violated may bring an Emergency Rights Writ directly to the SC under its original jurisdiction in §4.5; the SC must rule within 7 days; the extension and interim protective order provisions of §4.5 apply.</w:t>
      </w:r>
    </w:p>
    <w:p>
      <w:pPr>
        <w:spacing w:after="120"/>
        <w:ind w:left="431"/>
        <w:jc w:val="both"/>
      </w:pPr>
      <w:r>
        <w:rPr>
          <w:rFonts w:ascii="Garamond" w:eastAsia="Garamond" w:hAnsi="Garamond" w:cs="Garamond"/>
          <w:color w:val="2A2A2A"/>
          <w:sz w:val="22"/>
          <w:szCs w:val="22"/>
        </w:rPr>
        <w:t xml:space="preserve">(7) Indigenous nation membership and Republic citizenship are compatible and independent statuses; no status under this section diminishes the Republic citizenship of any person, consistent with §5.1.</w:t>
      </w:r>
    </w:p>
    <w:p w:rsidR="00AF3D56" w:rsidRDefault="00000000">
      <w:pPr>
        <w:spacing w:before="200" w:after="60"/>
        <w:ind w:left="431"/>
      </w:pPr>
      <w:r>
        <w:rPr>
          <w:rFonts w:ascii="Courier New" w:eastAsia="Courier New" w:hAnsi="Courier New" w:cs="Courier New"/>
          <w:b/>
          <w:bCs/>
          <w:color w:val="2A2A2A"/>
          <w:sz w:val="18"/>
          <w:szCs w:val="18"/>
        </w:rPr>
        <w:t xml:space="preserve">§16.3  </w:t>
      </w:r>
      <w:r>
        <w:rPr>
          <w:rFonts w:ascii="Garamond" w:eastAsia="Garamond" w:hAnsi="Garamond" w:cs="Garamond"/>
          <w:i/>
          <w:iCs/>
          <w:color w:val="1B2A4A"/>
          <w:sz w:val="22"/>
          <w:szCs w:val="22"/>
        </w:rPr>
        <w:t>Treaty Supremacy and Continuity</w:t>
      </w:r>
    </w:p>
    <w:p w:rsidR="00AF3D56" w:rsidRDefault="00000000">
      <w:pPr>
        <w:spacing w:after="120"/>
        <w:ind w:left="431"/>
        <w:jc w:val="both"/>
      </w:pPr>
      <w:r>
        <w:rPr>
          <w:rFonts w:ascii="Garamond" w:eastAsia="Garamond" w:hAnsi="Garamond" w:cs="Garamond"/>
          <w:color w:val="2A2A2A"/>
          <w:sz w:val="22"/>
          <w:szCs w:val="22"/>
        </w:rPr>
        <w:t>All treaties entered into by predecessor governments with indigenous nations are binding obligations of the Republic, regardless of the nation's status under this Constitution. Treaty rights cannot be diminished by legislation — they must be honored, renegotiated with consent, or formally superseded by mutual agreement through negotiation between the Legat Consul and the nation, ratified by the Senate under §3.6. Where a treaty's administration depends on a predecessor-government institution or mechanism with no Republic equivalent, the treaty's substantive rights and obligations continue in full regardless; the Legat Consul and the nation must begin discussions to identify an analogous Republic institution or a negotiated substitute mechanism within the Republic's first year, and pending resolution, a ministerial counterpart designated by the Legat Consul and published to the NRS administers the treaty's institutional functions on an interim basis. The EM audits the Republic's compliance with its treaty obligations under this section annually and publishes findings to the NRS.</w:t>
      </w:r>
    </w:p>
    <w:p w:rsidR="00AF3D56" w:rsidRDefault="00000000">
      <w:pPr>
        <w:spacing w:before="200" w:after="60"/>
        <w:ind w:left="431"/>
      </w:pPr>
      <w:r>
        <w:rPr>
          <w:rFonts w:ascii="Courier New" w:eastAsia="Courier New" w:hAnsi="Courier New" w:cs="Courier New"/>
          <w:b/>
          <w:bCs/>
          <w:color w:val="2A2A2A"/>
          <w:sz w:val="18"/>
          <w:szCs w:val="18"/>
        </w:rPr>
        <w:t xml:space="preserve">§16.4  </w:t>
      </w:r>
      <w:r>
        <w:rPr>
          <w:rFonts w:ascii="Garamond" w:eastAsia="Garamond" w:hAnsi="Garamond" w:cs="Garamond"/>
          <w:i/>
          <w:iCs/>
          <w:color w:val="1B2A4A"/>
          <w:sz w:val="22"/>
          <w:szCs w:val="22"/>
        </w:rPr>
        <w:t>Post-Founding Recognition</w:t>
      </w:r>
    </w:p>
    <w:p w:rsidR="00AF3D56" w:rsidRDefault="00000000">
      <w:pPr>
        <w:spacing w:after="120"/>
        <w:ind w:left="431"/>
        <w:jc w:val="both"/>
      </w:pPr>
      <w:r>
        <w:rPr>
          <w:rFonts w:ascii="Garamond" w:eastAsia="Garamond" w:hAnsi="Garamond" w:cs="Garamond"/>
          <w:color w:val="2A2A2A"/>
          <w:sz w:val="22"/>
          <w:szCs w:val="22"/>
        </w:rPr>
        <w:t>A people asserting sovereignty preceding the Republic may submit a claim of prior sovereignty to the JMC at any time after the close of the Transition Window; the claim is published to the NRS. The JMC investigates the claim against the predecessor record and the criteria of §16.1 and publishes its findings to the NRS. The investigation is information-only: the JMC's findings bind no constitutional actor and compel no governmental act. Claimants may present the published findings in a petition for recognition to the Legat Consul, or pursue any legal remedy available under Article I. Where a petition for recognition is submitted, the Legat Consul determines it within the period defined by statute, not to exceed 180 days, with written grounds published to the NRS whether recognition is granted or declined. Recognition under this section activates the Republic's obligations under §16.3, establishes the nation as a collective legal person capable of negotiating with the Republic and entering arrangements under statute and §18.4, and constitutes the factual predicate for any subsequent constitutional amendment under Article XVII concerning the nation's territorial or sovereign status. Recognition under this section confers no territorial rights and effects no change to the Republic's territorial extent; any such change proceeds only under Article XVII, consistent with §15.7. A declined petition may be resubmitted after 5 years or upon a material change in the available record.</w:t>
      </w:r>
    </w:p>
    <w:p w:rsidR="00AF3D56" w:rsidRDefault="00000000">
      <w:pPr>
        <w:spacing w:before="200" w:after="60"/>
        <w:ind w:left="431"/>
      </w:pPr>
      <w:r>
        <w:rPr>
          <w:rFonts w:ascii="Courier New" w:eastAsia="Courier New" w:hAnsi="Courier New" w:cs="Courier New"/>
          <w:b/>
          <w:bCs/>
          <w:color w:val="2A2A2A"/>
          <w:sz w:val="18"/>
          <w:szCs w:val="18"/>
        </w:rPr>
        <w:t xml:space="preserve">§16.5  </w:t>
      </w:r>
      <w:r>
        <w:rPr>
          <w:rFonts w:ascii="Garamond" w:eastAsia="Garamond" w:hAnsi="Garamond" w:cs="Garamond"/>
          <w:i/>
          <w:iCs/>
          <w:color w:val="1B2A4A"/>
          <w:sz w:val="22"/>
          <w:szCs w:val="22"/>
        </w:rPr>
        <w:t>Transition of Existing Arrangements</w:t>
      </w:r>
    </w:p>
    <w:p w:rsidR="00AF3D56" w:rsidRDefault="00000000">
      <w:pPr>
        <w:spacing w:after="120"/>
        <w:ind w:left="431"/>
        <w:jc w:val="both"/>
      </w:pPr>
      <w:r>
        <w:rPr>
          <w:rFonts w:ascii="Garamond" w:eastAsia="Garamond" w:hAnsi="Garamond" w:cs="Garamond"/>
          <w:color w:val="2A2A2A"/>
          <w:sz w:val="22"/>
          <w:szCs w:val="22"/>
        </w:rPr>
        <w:t>Existing arrangements between a recognized nation and the predecessor government — governance, services, land use, borders, trade, and infrastructure — continue provisionally from Day Zero until replaced by an Article XX compact, an incorporation agreement under §16.2, or a treaty instrument under §16.3. For a nation holding Associated Community status, the Republic must open compact negotiations under Article XX within 90 days of the status taking effect and negotiate in good faith; either party may propose terms at any time. Citizenship arrangements follow §5.1 throughout. Either party may petition the SC to resolve specific disputes arising within the provisional framework; nothing in this section delays or conditions the obligations under §16.3.</w:t>
      </w:r>
    </w:p>
    <w:p w14:paraId="5C945061"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XVII — Constitutional Amendments</w:t>
      </w:r>
    </w:p>
    <w:p w14:paraId="40DC85A9" w14:textId="77777777" w:rsidR="00AF3D56" w:rsidRDefault="00000000">
      <w:pPr>
        <w:spacing w:before="200" w:after="60"/>
        <w:ind w:left="431"/>
      </w:pPr>
      <w:r>
        <w:rPr>
          <w:rFonts w:ascii="Courier New" w:eastAsia="Courier New" w:hAnsi="Courier New" w:cs="Courier New"/>
          <w:b/>
          <w:bCs/>
          <w:color w:val="2A2A2A"/>
          <w:sz w:val="18"/>
          <w:szCs w:val="18"/>
        </w:rPr>
        <w:t xml:space="preserve">§17.1  </w:t>
      </w:r>
      <w:r>
        <w:rPr>
          <w:rFonts w:ascii="Garamond" w:eastAsia="Garamond" w:hAnsi="Garamond" w:cs="Garamond"/>
          <w:i/>
          <w:iCs/>
          <w:color w:val="1B2A4A"/>
          <w:sz w:val="22"/>
          <w:szCs w:val="22"/>
        </w:rPr>
        <w:t>Amendment Paths</w:t>
      </w:r>
    </w:p>
    <w:p>
      <w:pPr>
        <w:spacing w:after="120"/>
        <w:ind w:left="431"/>
        <w:jc w:val="both"/>
      </w:pPr>
      <w:r>
        <w:rPr>
          <w:rFonts w:ascii="Garamond" w:eastAsia="Garamond" w:hAnsi="Garamond" w:cs="Garamond"/>
          <w:color w:val="2A2A2A"/>
          <w:sz w:val="22"/>
          <w:szCs w:val="22"/>
        </w:rPr>
        <w:t xml:space="preserve">(1) This Constitution may be amended through the parliamentary path or through citizen initiative. No executive signature is required; no executive veto applies. Every member's vote on any amendment is published to the NRS.</w:t>
      </w:r>
    </w:p>
    <w:p>
      <w:pPr>
        <w:spacing w:after="120"/>
        <w:ind w:left="431"/>
        <w:jc w:val="both"/>
      </w:pPr>
      <w:r>
        <w:rPr>
          <w:rFonts w:ascii="Garamond" w:eastAsia="Garamond" w:hAnsi="Garamond" w:cs="Garamond"/>
          <w:color w:val="2A2A2A"/>
          <w:sz w:val="22"/>
          <w:szCs w:val="22"/>
        </w:rPr>
        <w:t xml:space="preserve">(2) A parliamentary amendment requires 2/3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w:t>
      </w:r>
    </w:p>
    <w:p>
      <w:pPr>
        <w:spacing w:after="120"/>
        <w:ind w:left="431"/>
        <w:jc w:val="both"/>
      </w:pPr>
      <w:r>
        <w:rPr>
          <w:rFonts w:ascii="Garamond" w:eastAsia="Garamond" w:hAnsi="Garamond" w:cs="Garamond"/>
          <w:color w:val="2A2A2A"/>
          <w:sz w:val="22"/>
          <w:szCs w:val="22"/>
        </w:rPr>
        <w:t xml:space="preserve">(3) Citizen Initiative Amendment: A proposed constitutional amendment proceeds through the same two-phase petition process as §13.2, with Phase Two requiring signatures from 15% of eligible voters nationally rather than §13.2's 10%. Once the Phase Two threshold is met, the proposal proceeds directly to a national referendum, with no legislative or executive action required to place it on the ballot; the Elections Panel administers the referendum within 180 days of Phase Two threshold verification. Passage requires 70% of votes cast with a minimum 65% citizen participation; where the participation floor is not met the initiative fails and may not be resubmitted on the same or substantially similar grounds for five years. Citizen initiative amendments are subject to §17.3 consistency analysis by the JM, advisory only.</w:t>
      </w:r>
    </w:p>
    <w:p>
      <w:pPr>
        <w:spacing w:after="120"/>
        <w:ind w:left="431"/>
        <w:jc w:val="both"/>
      </w:pPr>
      <w:r>
        <w:rPr>
          <w:rFonts w:ascii="Garamond" w:eastAsia="Garamond" w:hAnsi="Garamond" w:cs="Garamond"/>
          <w:color w:val="2A2A2A"/>
          <w:sz w:val="22"/>
          <w:szCs w:val="22"/>
        </w:rPr>
        <w:t xml:space="preserve">(4) Amendment of the following provisions requires Popular Ratification regardless of the amendment's origin: the Monitor selection mechanisms and independence protections (§9.2–§9.4), the Monitor information-only mandate and non-dependency principle (§9.1), the Monitor funding guarantee (§9.5), the NRS architecture and permanence requirements (§10.1), and the Elections Panel and NRS Panel independence (§11.1). These provisions may not be amended by State Ratification alone; a Citizen Initiative Amendment satisfies this requirement through its own referendum under this section without separately clearing the Popular Ratification threshold.</w:t>
      </w:r>
    </w:p>
    <w:p w14:paraId="18034077" w14:textId="77777777" w:rsidR="00AF3D56" w:rsidRDefault="00000000">
      <w:pPr>
        <w:spacing w:before="200" w:after="60"/>
        <w:ind w:left="431"/>
      </w:pPr>
      <w:r>
        <w:rPr>
          <w:rFonts w:ascii="Courier New" w:eastAsia="Courier New" w:hAnsi="Courier New" w:cs="Courier New"/>
          <w:b/>
          <w:bCs/>
          <w:color w:val="2A2A2A"/>
          <w:sz w:val="18"/>
          <w:szCs w:val="18"/>
        </w:rPr>
        <w:t xml:space="preserve">§17.2  </w:t>
      </w:r>
      <w:r>
        <w:rPr>
          <w:rFonts w:ascii="Garamond" w:eastAsia="Garamond" w:hAnsi="Garamond" w:cs="Garamond"/>
          <w:i/>
          <w:iCs/>
          <w:color w:val="1B2A4A"/>
          <w:sz w:val="22"/>
          <w:szCs w:val="22"/>
        </w:rPr>
        <w:t>No Executive Veto; Amendment Takes Effect</w:t>
      </w:r>
    </w:p>
    <w:p w14:paraId="4FCCCD47" w14:textId="77777777" w:rsidR="00AF3D56" w:rsidRDefault="00000000">
      <w:pPr>
        <w:spacing w:after="120"/>
        <w:ind w:left="431"/>
        <w:jc w:val="both"/>
      </w:pPr>
      <w:r>
        <w:rPr>
          <w:rFonts w:ascii="Garamond" w:eastAsia="Garamond" w:hAnsi="Garamond" w:cs="Garamond"/>
          <w:color w:val="2A2A2A"/>
          <w:sz w:val="22"/>
          <w:szCs w:val="22"/>
        </w:rPr>
        <w:t>Neither the Legat Consul nor the Civic Consul has any role in the constitutional amendment process. No signature required. No veto available. An amendment takes effect immediately upon LM certification (State Ratification), Elections Panel certification (Popular Ratification), or Elections Panel certification (Citizen Initiative Amendment), and NRS publication — no implementation delay, no executive discretion over timing.</w:t>
      </w:r>
    </w:p>
    <w:p w14:paraId="7EEBF189" w14:textId="77777777" w:rsidR="00AF3D56" w:rsidRDefault="00000000">
      <w:pPr>
        <w:spacing w:before="200" w:after="60"/>
        <w:ind w:left="431"/>
      </w:pPr>
      <w:r>
        <w:rPr>
          <w:rFonts w:ascii="Courier New" w:eastAsia="Courier New" w:hAnsi="Courier New" w:cs="Courier New"/>
          <w:b/>
          <w:bCs/>
          <w:color w:val="2A2A2A"/>
          <w:sz w:val="18"/>
          <w:szCs w:val="18"/>
        </w:rPr>
        <w:t xml:space="preserve">§17.3  </w:t>
      </w:r>
      <w:r>
        <w:rPr>
          <w:rFonts w:ascii="Garamond" w:eastAsia="Garamond" w:hAnsi="Garamond" w:cs="Garamond"/>
          <w:i/>
          <w:iCs/>
          <w:color w:val="1B2A4A"/>
          <w:sz w:val="22"/>
          <w:szCs w:val="22"/>
        </w:rPr>
        <w:t>Amendment Consistency and Supremacy</w:t>
      </w:r>
    </w:p>
    <w:p>
      <w:pPr>
        <w:spacing w:after="120"/>
        <w:ind w:left="431"/>
        <w:jc w:val="both"/>
      </w:pPr>
      <w:r>
        <w:rPr>
          <w:rFonts w:ascii="Garamond" w:eastAsia="Garamond" w:hAnsi="Garamond" w:cs="Garamond"/>
          <w:color w:val="2A2A2A"/>
          <w:sz w:val="22"/>
          <w:szCs w:val="22"/>
        </w:rPr>
        <w:t xml:space="preserve">(1) An amendment that is logically inconsistent with an existing provision must either explicitly repeal the inconsistent provision or the inconsistency is treated as void.</w:t>
      </w:r>
    </w:p>
    <w:p>
      <w:pPr>
        <w:spacing w:after="120"/>
        <w:ind w:left="431"/>
        <w:jc w:val="both"/>
      </w:pPr>
      <w:r>
        <w:rPr>
          <w:rFonts w:ascii="Garamond" w:eastAsia="Garamond" w:hAnsi="Garamond" w:cs="Garamond"/>
          <w:color w:val="2A2A2A"/>
          <w:sz w:val="22"/>
          <w:szCs w:val="22"/>
        </w:rPr>
        <w:t xml:space="preserve">(2) The JM publishes a consistency analysis of any proposed amendment within 30 days of passage by both chambers for a parliamentary amendment, or within 30 days of Elections Panel Phase Two threshold verification for a citizen initiative amendment — advisory, but a permanent public record of what the amendment changes.</w:t>
      </w:r>
    </w:p>
    <w:p>
      <w:pPr>
        <w:spacing w:after="120"/>
        <w:ind w:left="431"/>
        <w:jc w:val="both"/>
      </w:pPr>
      <w:r>
        <w:rPr>
          <w:rFonts w:ascii="Garamond" w:eastAsia="Garamond" w:hAnsi="Garamond" w:cs="Garamond"/>
          <w:color w:val="2A2A2A"/>
          <w:sz w:val="22"/>
          <w:szCs w:val="22"/>
        </w:rPr>
        <w:t xml:space="preserve">(3) If a ratified amendment's consistency with existing provisions is disputed, the SC resolves the dispute under its original jurisdiction in §4.5 on petition of any person with standing; the SC may not refuse to apply an amendment that has met its procedural thresholds, except that no constitutional amendment may extinguish a right designated non-derogable under §1.19.a; any amendment purporting to do so is void to the extent of the extinguishment, and the SC must so rule under its original jurisdiction in §4.5 on petition of any person with standing.</w:t>
      </w:r>
    </w:p>
    <w:p>
      <w:pPr>
        <w:spacing w:after="120"/>
        <w:ind w:left="431"/>
        <w:jc w:val="both"/>
      </w:pPr>
      <w:r>
        <w:rPr>
          <w:rFonts w:ascii="Garamond" w:eastAsia="Garamond" w:hAnsi="Garamond" w:cs="Garamond"/>
          <w:color w:val="2A2A2A"/>
          <w:sz w:val="22"/>
          <w:szCs w:val="22"/>
        </w:rPr>
        <w:t xml:space="preserve">(4) Amendments take prospective effect from the date of ratification — they do not retroactively alter the constitutionality of acts that were constitutional when performed.</w:t>
      </w:r>
    </w:p>
    <w:p>
      <w:pPr>
        <w:spacing w:after="120"/>
        <w:ind w:left="431"/>
        <w:jc w:val="both"/>
      </w:pPr>
      <w:r>
        <w:rPr>
          <w:rFonts w:ascii="Garamond" w:eastAsia="Garamond" w:hAnsi="Garamond" w:cs="Garamond"/>
          <w:color w:val="2A2A2A"/>
          <w:sz w:val="22"/>
          <w:szCs w:val="22"/>
        </w:rPr>
        <w:t xml:space="preserve">(5) Two amendments may be simultaneously in the ratification process; if both pass, both are law; where they conflict, the one ratified later prevails; where margins and timing are equal, the LM determines precedence from NRS records.</w:t>
      </w:r>
    </w:p>
    <w:p>
      <w:pPr>
        <w:spacing w:after="120"/>
        <w:ind w:left="431"/>
        <w:jc w:val="both"/>
      </w:pPr>
      <w:r>
        <w:rPr>
          <w:rFonts w:ascii="Garamond" w:eastAsia="Garamond" w:hAnsi="Garamond" w:cs="Garamond"/>
          <w:color w:val="2A2A2A"/>
          <w:sz w:val="22"/>
          <w:szCs w:val="22"/>
        </w:rPr>
        <w:t xml:space="preserve">(6) A proposed amendment may be withdrawn at any point before ratification is certified.</w:t>
      </w:r>
    </w:p>
    <w:p w14:paraId="1458AB82" w14:textId="77777777" w:rsidR="00AF3D56" w:rsidRDefault="00000000">
      <w:pPr>
        <w:spacing w:before="200" w:after="60"/>
        <w:ind w:left="431"/>
      </w:pPr>
      <w:r>
        <w:rPr>
          <w:rFonts w:ascii="Courier New" w:eastAsia="Courier New" w:hAnsi="Courier New" w:cs="Courier New"/>
          <w:b/>
          <w:bCs/>
          <w:color w:val="2A2A2A"/>
          <w:sz w:val="18"/>
          <w:szCs w:val="18"/>
        </w:rPr>
        <w:t xml:space="preserve">§17.4  </w:t>
      </w:r>
      <w:r>
        <w:rPr>
          <w:rFonts w:ascii="Garamond" w:eastAsia="Garamond" w:hAnsi="Garamond" w:cs="Garamond"/>
          <w:i/>
          <w:iCs/>
          <w:color w:val="1B2A4A"/>
          <w:sz w:val="22"/>
          <w:szCs w:val="22"/>
        </w:rPr>
        <w:t>Supremacy of This Constitution</w:t>
      </w:r>
    </w:p>
    <w:p w14:paraId="28B84EFA" w14:textId="77777777" w:rsidR="00AF3D56" w:rsidRDefault="00000000">
      <w:pPr>
        <w:spacing w:after="120"/>
        <w:ind w:left="431"/>
        <w:jc w:val="both"/>
      </w:pPr>
      <w:r>
        <w:rPr>
          <w:rFonts w:ascii="Garamond" w:eastAsia="Garamond" w:hAnsi="Garamond" w:cs="Garamond"/>
          <w:color w:val="2A2A2A"/>
          <w:sz w:val="22"/>
          <w:szCs w:val="22"/>
        </w:rPr>
        <w:lastRenderedPageBreak/>
        <w:t>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14:paraId="41BAA1DD"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XVIII — Federal Property and National Trust</w:t>
      </w:r>
    </w:p>
    <w:p w14:paraId="2FE07B58" w14:textId="77777777" w:rsidR="00AF3D56" w:rsidRDefault="00000000">
      <w:pPr>
        <w:spacing w:before="200" w:after="60"/>
        <w:ind w:left="431"/>
      </w:pPr>
      <w:r>
        <w:rPr>
          <w:rFonts w:ascii="Courier New" w:eastAsia="Courier New" w:hAnsi="Courier New" w:cs="Courier New"/>
          <w:b/>
          <w:bCs/>
          <w:color w:val="2A2A2A"/>
          <w:sz w:val="18"/>
          <w:szCs w:val="18"/>
        </w:rPr>
        <w:t xml:space="preserve">§18.1  </w:t>
      </w:r>
      <w:r>
        <w:rPr>
          <w:rFonts w:ascii="Garamond" w:eastAsia="Garamond" w:hAnsi="Garamond" w:cs="Garamond"/>
          <w:i/>
          <w:iCs/>
          <w:color w:val="1B2A4A"/>
          <w:sz w:val="22"/>
          <w:szCs w:val="22"/>
        </w:rPr>
        <w:t>The Use Doctrine</w:t>
      </w:r>
    </w:p>
    <w:p w14:paraId="51E8B390" w14:textId="77777777" w:rsidR="00AF3D56" w:rsidRDefault="00000000">
      <w:pPr>
        <w:spacing w:after="120"/>
        <w:ind w:left="431"/>
        <w:jc w:val="both"/>
      </w:pPr>
      <w:r>
        <w:rPr>
          <w:rFonts w:ascii="Garamond" w:eastAsia="Garamond" w:hAnsi="Garamond" w:cs="Garamond"/>
          <w:color w:val="2A2A2A"/>
          <w:sz w:val="22"/>
          <w:szCs w:val="22"/>
        </w:rPr>
        <w:t>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 disputes over registration validity are resolved under §18.3.</w:t>
      </w:r>
    </w:p>
    <w:p w14:paraId="673D77EC" w14:textId="77777777" w:rsidR="00AF3D56" w:rsidRDefault="00000000">
      <w:pPr>
        <w:spacing w:before="200" w:after="60"/>
        <w:ind w:left="431"/>
      </w:pPr>
      <w:r>
        <w:rPr>
          <w:rFonts w:ascii="Courier New" w:eastAsia="Courier New" w:hAnsi="Courier New" w:cs="Courier New"/>
          <w:b/>
          <w:bCs/>
          <w:color w:val="2A2A2A"/>
          <w:sz w:val="18"/>
          <w:szCs w:val="18"/>
        </w:rPr>
        <w:t xml:space="preserve">§18.2  </w:t>
      </w:r>
      <w:r>
        <w:rPr>
          <w:rFonts w:ascii="Garamond" w:eastAsia="Garamond" w:hAnsi="Garamond" w:cs="Garamond"/>
          <w:i/>
          <w:iCs/>
          <w:color w:val="1B2A4A"/>
          <w:sz w:val="22"/>
          <w:szCs w:val="22"/>
        </w:rPr>
        <w:t>Seat of Government</w:t>
      </w:r>
    </w:p>
    <w:p w14:paraId="3C2E860E" w14:textId="77777777" w:rsidR="00AF3D56" w:rsidRDefault="00000000">
      <w:pPr>
        <w:spacing w:after="120"/>
        <w:ind w:left="431"/>
        <w:jc w:val="both"/>
      </w:pPr>
      <w:r>
        <w:rPr>
          <w:rFonts w:ascii="Garamond" w:eastAsia="Garamond" w:hAnsi="Garamond" w:cs="Garamond"/>
          <w:color w:val="2A2A2A"/>
          <w:sz w:val="22"/>
          <w:szCs w:val="22"/>
        </w:rPr>
        <w:t>The Republic holds no territorial sovereignty at its Seat of Government. The Seat is hosted by a State or Territory selected through a competitive process defined by statute; any State or Territory may submit a bid, and the selected host must satisfy minimum requirements published to the NRS in advance of the selection. A State or Territory whose bid is rejected may challenge the selection before the SC on the ground that the selected bid did not satisfy the published requirements. The hosting arrangement grants the federal government Operational Use Rights over the designated footprint under §18.1;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host selection must be reconsidered through a new competitive process no less often than every 20 years; the Legislature may not suspend or indefinitely extend this requirement by statute. Absent a qualifying new selection, the existing arrangement continues.</w:t>
      </w:r>
    </w:p>
    <w:p w14:paraId="5FD9A173" w14:textId="77777777" w:rsidR="00AF3D56" w:rsidRDefault="00000000">
      <w:pPr>
        <w:spacing w:before="200" w:after="60"/>
        <w:ind w:left="431"/>
      </w:pPr>
      <w:r>
        <w:rPr>
          <w:rFonts w:ascii="Courier New" w:eastAsia="Courier New" w:hAnsi="Courier New" w:cs="Courier New"/>
          <w:b/>
          <w:bCs/>
          <w:color w:val="2A2A2A"/>
          <w:sz w:val="18"/>
          <w:szCs w:val="18"/>
        </w:rPr>
        <w:t xml:space="preserve">§18.3  </w:t>
      </w:r>
      <w:r>
        <w:rPr>
          <w:rFonts w:ascii="Garamond" w:eastAsia="Garamond" w:hAnsi="Garamond" w:cs="Garamond"/>
          <w:i/>
          <w:iCs/>
          <w:color w:val="1B2A4A"/>
          <w:sz w:val="22"/>
          <w:szCs w:val="22"/>
        </w:rPr>
        <w:t>Operational Use Rights</w:t>
      </w:r>
    </w:p>
    <w:p w14:paraId="3B1394DD" w14:textId="77777777" w:rsidR="00AF3D56" w:rsidRDefault="00000000">
      <w:pPr>
        <w:spacing w:after="120"/>
        <w:ind w:left="431"/>
        <w:jc w:val="both"/>
      </w:pPr>
      <w:r>
        <w:rPr>
          <w:rFonts w:ascii="Garamond" w:eastAsia="Garamond" w:hAnsi="Garamond" w:cs="Garamond"/>
          <w:color w:val="2A2A2A"/>
          <w:sz w:val="22"/>
          <w:szCs w:val="22"/>
        </w:rPr>
        <w:t>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registration validity, or improvement valuation go to the SC on an expedited track; neither party may occupy or alter disputed land during pending resolution.</w:t>
      </w:r>
    </w:p>
    <w:p w14:paraId="7942C530" w14:textId="77777777" w:rsidR="00AF3D56" w:rsidRDefault="00000000">
      <w:pPr>
        <w:spacing w:before="200" w:after="60"/>
        <w:ind w:left="431"/>
      </w:pPr>
      <w:r>
        <w:rPr>
          <w:rFonts w:ascii="Courier New" w:eastAsia="Courier New" w:hAnsi="Courier New" w:cs="Courier New"/>
          <w:b/>
          <w:bCs/>
          <w:color w:val="2A2A2A"/>
          <w:sz w:val="18"/>
          <w:szCs w:val="18"/>
        </w:rPr>
        <w:t xml:space="preserve">§18.4  </w:t>
      </w:r>
      <w:r>
        <w:rPr>
          <w:rFonts w:ascii="Garamond" w:eastAsia="Garamond" w:hAnsi="Garamond" w:cs="Garamond"/>
          <w:i/>
          <w:iCs/>
          <w:color w:val="1B2A4A"/>
          <w:sz w:val="22"/>
          <w:szCs w:val="22"/>
        </w:rPr>
        <w:t>The National Trust</w:t>
      </w:r>
    </w:p>
    <w:p w14:paraId="1193B9A7" w14:textId="77777777" w:rsidR="00AF3D56" w:rsidRDefault="00000000">
      <w:pPr>
        <w:spacing w:after="120"/>
        <w:ind w:left="431"/>
        <w:jc w:val="both"/>
      </w:pPr>
      <w:r>
        <w:rPr>
          <w:rFonts w:ascii="Garamond" w:eastAsia="Garamond" w:hAnsi="Garamond" w:cs="Garamond"/>
          <w:color w:val="2A2A2A"/>
          <w:sz w:val="22"/>
          <w:szCs w:val="22"/>
        </w:rPr>
        <w:t>The National Trust holds all federal land not conveyed by statute to States, recognized indigenous nations, or private parties. Land disposal requires statute — the executive cannot convey or encumber public land unilaterally. National Trust designation requires a 2/3 vote of both chambers with host State consent; removal from Trust designation requires the same 2/3 legislative threshold plus a national referendum administered by the Elections Panel within 180 days of the legislative vote, achieving 60% of votes cast with a minimum 50% citizen participation, and must comply with existing treaties and other obligations established in this article.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14:paraId="6B45EED7" w14:textId="77777777" w:rsidR="00AF3D56" w:rsidRDefault="00000000">
      <w:pPr>
        <w:spacing w:before="200" w:after="60"/>
        <w:ind w:left="431"/>
      </w:pPr>
      <w:r>
        <w:rPr>
          <w:rFonts w:ascii="Courier New" w:eastAsia="Courier New" w:hAnsi="Courier New" w:cs="Courier New"/>
          <w:b/>
          <w:bCs/>
          <w:color w:val="2A2A2A"/>
          <w:sz w:val="18"/>
          <w:szCs w:val="18"/>
        </w:rPr>
        <w:t xml:space="preserve">§18.5  </w:t>
      </w:r>
      <w:r>
        <w:rPr>
          <w:rFonts w:ascii="Garamond" w:eastAsia="Garamond" w:hAnsi="Garamond" w:cs="Garamond"/>
          <w:i/>
          <w:iCs/>
          <w:color w:val="1B2A4A"/>
          <w:sz w:val="22"/>
          <w:szCs w:val="22"/>
        </w:rPr>
        <w:t>Federal Property in Territories</w:t>
      </w:r>
    </w:p>
    <w:p w14:paraId="74E8B0A1" w14:textId="77777777" w:rsidR="00AF3D56" w:rsidRDefault="00000000">
      <w:pPr>
        <w:spacing w:after="120"/>
        <w:ind w:left="431"/>
        <w:jc w:val="both"/>
      </w:pPr>
      <w:r>
        <w:rPr>
          <w:rFonts w:ascii="Garamond" w:eastAsia="Garamond" w:hAnsi="Garamond" w:cs="Garamond"/>
          <w:color w:val="2A2A2A"/>
          <w:sz w:val="22"/>
          <w:szCs w:val="22"/>
        </w:rPr>
        <w:lastRenderedPageBreak/>
        <w:t>Federal operational use rights in Territories follow the same framework as in States under §18.3 and §18.4. Where §18.4 requires host State legislative consent, that consent is not required for a Territory because Territories have no State legislature; instead, the Territory's representative body must publish a written position to the NRS within 60 days of the proposed use right registration; where no position is published within 60 days, registration may proceed; the LM's ongoing audit of territorial use rights encompasses verification of Territory publication compliance and publishes findings to the NRS.</w:t>
      </w:r>
    </w:p>
    <w:p w14:paraId="1DCCFA5D"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XIX — Transition and Ratification</w:t>
      </w:r>
    </w:p>
    <w:p w14:paraId="5BAD8E96" w14:textId="77777777" w:rsidR="00AF3D56" w:rsidRDefault="00000000">
      <w:pPr>
        <w:spacing w:before="200" w:after="60"/>
        <w:ind w:left="431"/>
      </w:pPr>
      <w:r>
        <w:rPr>
          <w:rFonts w:ascii="Courier New" w:eastAsia="Courier New" w:hAnsi="Courier New" w:cs="Courier New"/>
          <w:b/>
          <w:bCs/>
          <w:color w:val="2A2A2A"/>
          <w:sz w:val="18"/>
          <w:szCs w:val="18"/>
        </w:rPr>
        <w:t xml:space="preserve">§19.1  </w:t>
      </w:r>
      <w:r>
        <w:rPr>
          <w:rFonts w:ascii="Garamond" w:eastAsia="Garamond" w:hAnsi="Garamond" w:cs="Garamond"/>
          <w:i/>
          <w:iCs/>
          <w:color w:val="1B2A4A"/>
          <w:sz w:val="22"/>
          <w:szCs w:val="22"/>
        </w:rPr>
        <w:t>Activation Threshold and Ratification</w:t>
      </w:r>
    </w:p>
    <w:p w14:paraId="2C43F14D" w14:textId="77777777" w:rsidR="00AF3D56" w:rsidRDefault="00000000">
      <w:pPr>
        <w:spacing w:after="120"/>
        <w:ind w:left="431"/>
        <w:jc w:val="both"/>
      </w:pPr>
      <w:r>
        <w:rPr>
          <w:rFonts w:ascii="Garamond" w:eastAsia="Garamond" w:hAnsi="Garamond" w:cs="Garamond"/>
          <w:color w:val="2A2A2A"/>
          <w:sz w:val="22"/>
          <w:szCs w:val="22"/>
        </w:rPr>
        <w:t>This constitution takes effect upon: (1) interim Elections Panel certification that the NVS is operational and meets §11.2; and (2) a national ratification vote achieving 60% of votes cast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 Where the Legislature fails to meet this deadline, the LM publishes a compliance finding to the NRS, and the LM's ongoing audit encompasses the unresolved relationship until the statute is passed.</w:t>
      </w:r>
    </w:p>
    <w:p w14:paraId="458CE486" w14:textId="77777777" w:rsidR="00AF3D56" w:rsidRDefault="00000000">
      <w:pPr>
        <w:spacing w:before="200" w:after="60"/>
        <w:ind w:left="431"/>
      </w:pPr>
      <w:r>
        <w:rPr>
          <w:rFonts w:ascii="Courier New" w:eastAsia="Courier New" w:hAnsi="Courier New" w:cs="Courier New"/>
          <w:b/>
          <w:bCs/>
          <w:color w:val="2A2A2A"/>
          <w:sz w:val="18"/>
          <w:szCs w:val="18"/>
        </w:rPr>
        <w:t xml:space="preserve">§19.2  </w:t>
      </w:r>
      <w:r>
        <w:rPr>
          <w:rFonts w:ascii="Garamond" w:eastAsia="Garamond" w:hAnsi="Garamond" w:cs="Garamond"/>
          <w:i/>
          <w:iCs/>
          <w:color w:val="1B2A4A"/>
          <w:sz w:val="22"/>
          <w:szCs w:val="22"/>
        </w:rPr>
        <w:t>Day Zero and Transition</w:t>
      </w:r>
    </w:p>
    <w:p w14:paraId="4927C272" w14:textId="77777777" w:rsidR="00AF3D56" w:rsidRDefault="00000000">
      <w:pPr>
        <w:spacing w:after="120"/>
        <w:ind w:left="431"/>
        <w:jc w:val="both"/>
      </w:pPr>
      <w:r>
        <w:rPr>
          <w:rFonts w:ascii="Garamond" w:eastAsia="Garamond" w:hAnsi="Garamond" w:cs="Garamond"/>
          <w:color w:val="2A2A2A"/>
          <w:sz w:val="22"/>
          <w:szCs w:val="22"/>
        </w:rPr>
        <w:t>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14:paraId="155B5A1F" w14:textId="77777777" w:rsidR="00AF3D56" w:rsidRDefault="00000000">
      <w:pPr>
        <w:spacing w:before="200" w:after="60"/>
        <w:ind w:left="431"/>
      </w:pPr>
      <w:r>
        <w:rPr>
          <w:rFonts w:ascii="Courier New" w:eastAsia="Courier New" w:hAnsi="Courier New" w:cs="Courier New"/>
          <w:b/>
          <w:bCs/>
          <w:color w:val="2A2A2A"/>
          <w:sz w:val="18"/>
          <w:szCs w:val="18"/>
        </w:rPr>
        <w:t xml:space="preserve">§19.3  </w:t>
      </w:r>
      <w:r>
        <w:rPr>
          <w:rFonts w:ascii="Garamond" w:eastAsia="Garamond" w:hAnsi="Garamond" w:cs="Garamond"/>
          <w:i/>
          <w:iCs/>
          <w:color w:val="1B2A4A"/>
          <w:sz w:val="22"/>
          <w:szCs w:val="22"/>
        </w:rPr>
        <w:t>Caretaker Status</w:t>
      </w:r>
    </w:p>
    <w:p w14:paraId="6C9D0E68" w14:textId="77777777" w:rsidR="00AF3D56" w:rsidRDefault="00000000">
      <w:pPr>
        <w:spacing w:after="120"/>
        <w:ind w:left="431"/>
        <w:jc w:val="both"/>
      </w:pPr>
      <w:r>
        <w:rPr>
          <w:rFonts w:ascii="Garamond" w:eastAsia="Garamond" w:hAnsi="Garamond" w:cs="Garamond"/>
          <w:color w:val="2A2A2A"/>
          <w:sz w:val="22"/>
          <w:szCs w:val="22"/>
        </w:rPr>
        <w:t>All existing government officials serve as caretakers during the Transition Window — restricted to maintaining existing services only; no new permanent legislation. Legislation enacted in violation of this restriction is void; the joint Monitor panel's supervision includes monitoring for such violations and publishing findings to the NRS; any Inhabitant may challenge such legislation before a court of competent jurisdiction.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14:paraId="603E9FFE" w14:textId="77777777" w:rsidR="00AF3D56" w:rsidRDefault="00000000">
      <w:pPr>
        <w:spacing w:before="200" w:after="60"/>
        <w:ind w:left="431"/>
      </w:pPr>
      <w:r>
        <w:rPr>
          <w:rFonts w:ascii="Courier New" w:eastAsia="Courier New" w:hAnsi="Courier New" w:cs="Courier New"/>
          <w:b/>
          <w:bCs/>
          <w:color w:val="2A2A2A"/>
          <w:sz w:val="18"/>
          <w:szCs w:val="18"/>
        </w:rPr>
        <w:t xml:space="preserve">§19.4  </w:t>
      </w:r>
      <w:r>
        <w:rPr>
          <w:rFonts w:ascii="Garamond" w:eastAsia="Garamond" w:hAnsi="Garamond" w:cs="Garamond"/>
          <w:i/>
          <w:iCs/>
          <w:color w:val="1B2A4A"/>
          <w:sz w:val="22"/>
          <w:szCs w:val="22"/>
        </w:rPr>
        <w:t>Pre-Constitutional Classified Documents</w:t>
      </w:r>
    </w:p>
    <w:p w14:paraId="5D8CC8FC" w14:textId="77777777" w:rsidR="00AF3D56" w:rsidRDefault="00000000">
      <w:pPr>
        <w:spacing w:after="120"/>
        <w:ind w:left="431"/>
        <w:jc w:val="both"/>
      </w:pPr>
      <w:r>
        <w:rPr>
          <w:rFonts w:ascii="Garamond" w:eastAsia="Garamond" w:hAnsi="Garamond" w:cs="Garamond"/>
          <w:color w:val="2A2A2A"/>
          <w:sz w:val="22"/>
          <w:szCs w:val="22"/>
        </w:rPr>
        <w:t>The Legislature must establish a Classification Review Commission within 90 days of Phase 4 activation. Where the Legislature fails to meet this deadline, the LM publishes a compliance finding to the NRS, and the LM's ongoing audit encompasses the unestablished Commission until it is created.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14:paraId="7D075318"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§19.5  </w:t>
      </w:r>
      <w:r>
        <w:rPr>
          <w:rFonts w:ascii="Garamond" w:eastAsia="Garamond" w:hAnsi="Garamond" w:cs="Garamond"/>
          <w:i/>
          <w:iCs/>
          <w:color w:val="1B2A4A"/>
          <w:sz w:val="22"/>
          <w:szCs w:val="22"/>
        </w:rPr>
        <w:t>Pre-Existing Obligations</w:t>
      </w:r>
    </w:p>
    <w:p>
      <w:pPr>
        <w:spacing w:after="120"/>
        <w:ind w:left="431"/>
        <w:jc w:val="both"/>
      </w:pPr>
      <w:r>
        <w:rPr>
          <w:rFonts w:ascii="Garamond" w:eastAsia="Garamond" w:hAnsi="Garamond" w:cs="Garamond"/>
          <w:color w:val="2A2A2A"/>
          <w:sz w:val="22"/>
          <w:szCs w:val="22"/>
        </w:rPr>
        <w:t xml:space="preserve">(1) The Republic assumes the public debt obligations of its predecessor government as a constitutional matter — it does not inherit a clean slate.</w:t>
      </w:r>
    </w:p>
    <w:p>
      <w:pPr>
        <w:spacing w:after="120"/>
        <w:ind w:left="431"/>
        <w:jc w:val="both"/>
      </w:pPr>
      <w:r>
        <w:rPr>
          <w:rFonts w:ascii="Garamond" w:eastAsia="Garamond" w:hAnsi="Garamond" w:cs="Garamond"/>
          <w:color w:val="2A2A2A"/>
          <w:sz w:val="22"/>
          <w:szCs w:val="22"/>
        </w:rPr>
        <w:t xml:space="preserve">(2) Active military operations of the prior government continue under existing authorization until the §2.2 military authorization framework can apply; the Legat Consul, once inaugurated, must assess each active operation against the authorized purposes under §14.1 and either link it to legislative authorization within 14 days or begin orderly cessation; operations not so linked within 60 days cease unless the Legislature grants a one-time authorization.</w:t>
      </w:r>
    </w:p>
    <w:p>
      <w:pPr>
        <w:spacing w:after="120"/>
        <w:ind w:left="431"/>
        <w:jc w:val="both"/>
      </w:pPr>
      <w:r>
        <w:rPr>
          <w:rFonts w:ascii="Garamond" w:eastAsia="Garamond" w:hAnsi="Garamond" w:cs="Garamond"/>
          <w:color w:val="2A2A2A"/>
          <w:sz w:val="22"/>
          <w:szCs w:val="22"/>
        </w:rPr>
        <w:t xml:space="preserve">(3) Social insurance programs — retirement pensions, disability benefits, health coverage — continue uninterrupted during the Transition Window.</w:t>
      </w:r>
    </w:p>
    <w:p>
      <w:pPr>
        <w:spacing w:after="120"/>
        <w:ind w:left="431"/>
        <w:jc w:val="both"/>
      </w:pPr>
      <w:r>
        <w:rPr>
          <w:rFonts w:ascii="Garamond" w:eastAsia="Garamond" w:hAnsi="Garamond" w:cs="Garamond"/>
          <w:color w:val="2A2A2A"/>
          <w:sz w:val="22"/>
          <w:szCs w:val="22"/>
        </w:rPr>
        <w:t xml:space="preserve">(4) All benefit obligations to persons who served in military or national service under the prior government are inherited and honored; the Legislature must pass a Veterans and National Service Benefits Act within the first budget cycle following Phase 4.</w:t>
      </w:r>
    </w:p>
    <w:p>
      <w:pPr>
        <w:spacing w:after="120"/>
        <w:ind w:left="431"/>
        <w:jc w:val="both"/>
      </w:pPr>
      <w:r>
        <w:rPr>
          <w:rFonts w:ascii="Garamond" w:eastAsia="Garamond" w:hAnsi="Garamond" w:cs="Garamond"/>
          <w:color w:val="2A2A2A"/>
          <w:sz w:val="22"/>
          <w:szCs w:val="22"/>
        </w:rPr>
        <w:t xml:space="preserve">(5) The Republic is the legal continuation of the prior government as a matter of international law; all international obligations, financial commitments, treaty relationships, and contractual obligations of the prior government are assumed as successor sovereign. Where an assumed international obligation conflicts with this constitution, the Republic is bound to renegotiate or formally supersede the obligation through the treaty process under §3.6; until that process is complete, the obligation is honored to the minimum extent required by international law without requiring any constitutional officer to violate Article I or any non-derogable right under §1.19.a.</w:t>
      </w:r>
    </w:p>
    <w:p>
      <w:pPr>
        <w:spacing w:after="120"/>
        <w:ind w:left="431"/>
        <w:jc w:val="both"/>
      </w:pPr>
      <w:r>
        <w:rPr>
          <w:rFonts w:ascii="Garamond" w:eastAsia="Garamond" w:hAnsi="Garamond" w:cs="Garamond"/>
          <w:color w:val="2A2A2A"/>
          <w:sz w:val="22"/>
          <w:szCs w:val="22"/>
        </w:rPr>
        <w:t xml:space="preserve">(6)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14:paraId="66F6D0AB" w14:textId="77777777" w:rsidR="00AF3D56" w:rsidRDefault="00000000">
      <w:pPr>
        <w:spacing w:before="200" w:after="60"/>
        <w:ind w:left="431"/>
      </w:pPr>
      <w:r>
        <w:rPr>
          <w:rFonts w:ascii="Courier New" w:eastAsia="Courier New" w:hAnsi="Courier New" w:cs="Courier New"/>
          <w:b/>
          <w:bCs/>
          <w:color w:val="2A2A2A"/>
          <w:sz w:val="18"/>
          <w:szCs w:val="18"/>
        </w:rPr>
        <w:t xml:space="preserve">§19.6  </w:t>
      </w:r>
      <w:r>
        <w:rPr>
          <w:rFonts w:ascii="Garamond" w:eastAsia="Garamond" w:hAnsi="Garamond" w:cs="Garamond"/>
          <w:i/>
          <w:iCs/>
          <w:color w:val="1B2A4A"/>
          <w:sz w:val="22"/>
          <w:szCs w:val="22"/>
        </w:rPr>
        <w:t>Transition Territories</w:t>
      </w:r>
    </w:p>
    <w:p>
      <w:pPr>
        <w:spacing w:after="120"/>
        <w:ind w:left="431"/>
        <w:jc w:val="both"/>
      </w:pPr>
      <w:r>
        <w:rPr>
          <w:rFonts w:ascii="Garamond" w:eastAsia="Garamond" w:hAnsi="Garamond" w:cs="Garamond"/>
          <w:color w:val="2A2A2A"/>
          <w:sz w:val="22"/>
          <w:szCs w:val="22"/>
        </w:rPr>
        <w:t xml:space="preserve">(1) Territories or subdivisions meeting the Statehood Audit by Phase 2 end may petition to enter as State or Territory. Those failing the Statehood Audit enter as Territory and may begin the Statehood Audit immediately.</w:t>
      </w:r>
    </w:p>
    <w:p>
      <w:pPr>
        <w:spacing w:after="120"/>
        <w:ind w:left="431"/>
        <w:jc w:val="both"/>
      </w:pPr>
      <w:r>
        <w:rPr>
          <w:rFonts w:ascii="Garamond" w:eastAsia="Garamond" w:hAnsi="Garamond" w:cs="Garamond"/>
          <w:color w:val="2A2A2A"/>
          <w:sz w:val="22"/>
          <w:szCs w:val="22"/>
        </w:rPr>
        <w:t xml:space="preserve">(2) Any territory may choose Territory status by simple legislative vote regardless of whether it meets the Statehood Audit.</w:t>
      </w:r>
    </w:p>
    <w:p>
      <w:pPr>
        <w:spacing w:after="120"/>
        <w:ind w:left="431"/>
        <w:jc w:val="both"/>
      </w:pPr>
      <w:r>
        <w:rPr>
          <w:rFonts w:ascii="Garamond" w:eastAsia="Garamond" w:hAnsi="Garamond" w:cs="Garamond"/>
          <w:color w:val="2A2A2A"/>
          <w:sz w:val="22"/>
          <w:szCs w:val="22"/>
        </w:rPr>
        <w:t xml:space="preserve">(3) Prior government states or territories may voluntarily subdivide during the Transition Window by vote of their existing legislative body; new subdivisions are treated as separate petitioning entities.</w:t>
      </w:r>
    </w:p>
    <w:p>
      <w:pPr>
        <w:spacing w:after="120"/>
        <w:ind w:left="431"/>
        <w:jc w:val="both"/>
      </w:pPr>
      <w:r>
        <w:rPr>
          <w:rFonts w:ascii="Garamond" w:eastAsia="Garamond" w:hAnsi="Garamond" w:cs="Garamond"/>
          <w:color w:val="2A2A2A"/>
          <w:sz w:val="22"/>
          <w:szCs w:val="22"/>
        </w:rPr>
        <w:t xml:space="preserve">(4) Where a State fails the Phase 2 Statehood Audit, it enters as a Territory; its population retains all Article I rights and participates in first Assembly elections proportionally.</w:t>
      </w:r>
    </w:p>
    <w:p>
      <w:pPr>
        <w:spacing w:after="120"/>
        <w:ind w:left="431"/>
        <w:jc w:val="both"/>
      </w:pPr>
      <w:r>
        <w:rPr>
          <w:rFonts w:ascii="Garamond" w:eastAsia="Garamond" w:hAnsi="Garamond" w:cs="Garamond"/>
          <w:color w:val="2A2A2A"/>
          <w:sz w:val="22"/>
          <w:szCs w:val="22"/>
        </w:rPr>
        <w:t xml:space="preserve">(5)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120"/>
        <w:ind w:left="431"/>
        <w:jc w:val="both"/>
      </w:pPr>
      <w:r>
        <w:rPr>
          <w:rFonts w:ascii="Garamond" w:eastAsia="Garamond" w:hAnsi="Garamond" w:cs="Garamond"/>
          <w:color w:val="2A2A2A"/>
          <w:sz w:val="22"/>
          <w:szCs w:val="22"/>
        </w:rPr>
        <w:t xml:space="preserve">(6) Political entities that held recognized State or equivalent status immediately prior to ratification and choose to enter the Republic as States do so as full States from Day Zero for the purpose of constituting the Senate and seating their legislators.</w:t>
      </w:r>
    </w:p>
    <w:p>
      <w:pPr>
        <w:spacing w:after="120"/>
        <w:ind w:left="431"/>
        <w:jc w:val="both"/>
      </w:pPr>
      <w:r>
        <w:rPr>
          <w:rFonts w:ascii="Garamond" w:eastAsia="Garamond" w:hAnsi="Garamond" w:cs="Garamond"/>
          <w:color w:val="2A2A2A"/>
          <w:sz w:val="22"/>
          <w:szCs w:val="22"/>
        </w:rPr>
        <w:t xml:space="preserve">(7) The annual Statehood Audit under §15.2 applies to all States from the first full audit cycle following Phase 4 activation; no founding status confers exemption from ongoing audit obligations or the consequences of audit failure. All other status determinations — Territory entry, Statehood qualification during the transition window, and post-founding pathways — follow §15.2.</w:t>
      </w:r>
    </w:p>
    <w:p w14:paraId="714F27F0" w14:textId="77777777" w:rsidR="00AF3D56" w:rsidRDefault="00000000">
      <w:pPr>
        <w:spacing w:before="200" w:after="60"/>
        <w:ind w:left="431"/>
      </w:pPr>
      <w:r>
        <w:rPr>
          <w:rFonts w:ascii="Courier New" w:eastAsia="Courier New" w:hAnsi="Courier New" w:cs="Courier New"/>
          <w:b/>
          <w:bCs/>
          <w:color w:val="2A2A2A"/>
          <w:sz w:val="18"/>
          <w:szCs w:val="18"/>
        </w:rPr>
        <w:t xml:space="preserve">§19.7  </w:t>
      </w:r>
      <w:r>
        <w:rPr>
          <w:rFonts w:ascii="Garamond" w:eastAsia="Garamond" w:hAnsi="Garamond" w:cs="Garamond"/>
          <w:i/>
          <w:iCs/>
          <w:color w:val="1B2A4A"/>
          <w:sz w:val="22"/>
          <w:szCs w:val="22"/>
        </w:rPr>
        <w:t>Transition Candidate Registers</w:t>
      </w:r>
    </w:p>
    <w:p w14:paraId="04BC09BE" w14:textId="77777777" w:rsidR="00AF3D56" w:rsidRDefault="00000000">
      <w:pPr>
        <w:spacing w:after="120"/>
        <w:ind w:left="431"/>
        <w:jc w:val="both"/>
      </w:pPr>
      <w:r>
        <w:rPr>
          <w:rFonts w:ascii="Garamond" w:eastAsia="Garamond" w:hAnsi="Garamond" w:cs="Garamond"/>
          <w:color w:val="2A2A2A"/>
          <w:sz w:val="22"/>
          <w:szCs w:val="22"/>
        </w:rPr>
        <w:t>The joint Monitor panel assembles the initial Candidate Registers for all constitutionally established positions before Phase 3 elections can occur. The panel performs the register-assembly and qualification review function that permanent Monitors will assume after Phase 4; the panel compiles the founding register of recognized indigenous nations under §16.1 and publishes it to the NRS before the close of Phase 1;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the MA Director within 90 days of Phase 4 activation. Where the Civic Consul fails to meet this deadline, the LM publishes a compliance finding to the NRS, and the LM's ongoing audit encompasses the unfilled nomination until it is made.</w:t>
      </w:r>
    </w:p>
    <w:p w14:paraId="3CCE728C" w14:textId="77777777" w:rsidR="00AF3D56" w:rsidRDefault="00000000">
      <w:pPr>
        <w:spacing w:before="200" w:after="60"/>
        <w:ind w:left="431"/>
      </w:pPr>
      <w:r>
        <w:rPr>
          <w:rFonts w:ascii="Courier New" w:eastAsia="Courier New" w:hAnsi="Courier New" w:cs="Courier New"/>
          <w:b/>
          <w:bCs/>
          <w:color w:val="2A2A2A"/>
          <w:sz w:val="18"/>
          <w:szCs w:val="18"/>
        </w:rPr>
        <w:t xml:space="preserve">§19.8  </w:t>
      </w:r>
      <w:r>
        <w:rPr>
          <w:rFonts w:ascii="Garamond" w:eastAsia="Garamond" w:hAnsi="Garamond" w:cs="Garamond"/>
          <w:i/>
          <w:iCs/>
          <w:color w:val="1B2A4A"/>
          <w:sz w:val="22"/>
          <w:szCs w:val="22"/>
        </w:rPr>
        <w:t>Transitional Accountability Mechanism</w:t>
      </w:r>
    </w:p>
    <w:p w14:paraId="570D4B5C" w14:textId="77777777" w:rsidR="00AF3D56" w:rsidRDefault="00000000">
      <w:pPr>
        <w:spacing w:after="120"/>
        <w:ind w:left="431"/>
        <w:jc w:val="both"/>
      </w:pPr>
      <w:r>
        <w:rPr>
          <w:rFonts w:ascii="Garamond" w:eastAsia="Garamond" w:hAnsi="Garamond" w:cs="Garamond"/>
          <w:color w:val="2A2A2A"/>
          <w:sz w:val="22"/>
          <w:szCs w:val="22"/>
        </w:rPr>
        <w:t>Where a ratifying polity’s predecessor government has documented constitutional violations, the Legislature may by statute passed by 2/3 of both chambers establish a Transitional Accountability Mechanism. Such a mechanism must be time-limited — not to exceed ten years in duration —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14:paraId="3410F4D8"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§19.9  </w:t>
      </w:r>
      <w:r>
        <w:rPr>
          <w:rFonts w:ascii="Garamond" w:eastAsia="Garamond" w:hAnsi="Garamond" w:cs="Garamond"/>
          <w:i/>
          <w:iCs/>
          <w:color w:val="1B2A4A"/>
          <w:sz w:val="22"/>
          <w:szCs w:val="22"/>
        </w:rPr>
        <w:t>Required Statutory Agency Establishment</w:t>
      </w:r>
    </w:p>
    <w:p w14:paraId="098DD5F1" w14:textId="77777777" w:rsidR="00AF3D56" w:rsidRDefault="00000000">
      <w:pPr>
        <w:spacing w:after="120"/>
        <w:ind w:left="431"/>
        <w:jc w:val="both"/>
      </w:pPr>
      <w:r>
        <w:rPr>
          <w:rFonts w:ascii="Garamond" w:eastAsia="Garamond" w:hAnsi="Garamond" w:cs="Garamond"/>
          <w:color w:val="2A2A2A"/>
          <w:sz w:val="22"/>
          <w:szCs w:val="22"/>
        </w:rPr>
        <w:t>Where this Constitution assigns a specific function to a statutory independent agency under §3.9, the Legislature must establish that agency within the following timeframes from Phase 4 activation: the civic proficiency assessment administrator under §5.1, within 180 days; the census agency under §3.2, within 18 months; the Monetary Authority under §12.1.a, within 180 days. Where the Legislature fails to meet a deadline, §3.9 applies: the LM publishes a compliance finding to the NRS, and the responsible Monitor’s ongoing audit encompasses the unfilled mandate until the agency is established. The LM publishes a compliance finding to the NRS when any establishment deadline is missed and again when the agency becomes operational. The Legislature may not permanently delegate a constitutionally required statutory function to a Monitor in lieu of establishing the required agency. The Legislature must by statute establish the transition from any predecessor voting infrastructure to the constitutionally required NVS, ensuring no gap in democratic participation.</w:t>
      </w:r>
    </w:p>
    <w:p w14:paraId="21553F5E"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XX — Associated Communities</w:t>
      </w:r>
    </w:p>
    <w:p w14:paraId="5E6CB131" w14:textId="77777777" w:rsidR="00AF3D56" w:rsidRDefault="00000000">
      <w:pPr>
        <w:spacing w:before="200" w:after="60"/>
        <w:ind w:left="431"/>
      </w:pPr>
      <w:r>
        <w:rPr>
          <w:rFonts w:ascii="Courier New" w:eastAsia="Courier New" w:hAnsi="Courier New" w:cs="Courier New"/>
          <w:b/>
          <w:bCs/>
          <w:color w:val="2A2A2A"/>
          <w:sz w:val="18"/>
          <w:szCs w:val="18"/>
        </w:rPr>
        <w:t xml:space="preserve">§20.1  </w:t>
      </w:r>
      <w:r>
        <w:rPr>
          <w:rFonts w:ascii="Garamond" w:eastAsia="Garamond" w:hAnsi="Garamond" w:cs="Garamond"/>
          <w:i/>
          <w:iCs/>
          <w:color w:val="1B2A4A"/>
          <w:sz w:val="22"/>
          <w:szCs w:val="22"/>
        </w:rPr>
        <w:t>Associated Community Status</w:t>
      </w:r>
    </w:p>
    <w:p w14:paraId="0AD69FE9" w14:textId="77777777" w:rsidR="00AF3D56" w:rsidRDefault="00000000">
      <w:pPr>
        <w:spacing w:after="120"/>
        <w:ind w:left="431"/>
        <w:jc w:val="both"/>
      </w:pPr>
      <w:r>
        <w:rPr>
          <w:rFonts w:ascii="Garamond" w:eastAsia="Garamond" w:hAnsi="Garamond" w:cs="Garamond"/>
          <w:color w:val="2A2A2A"/>
          <w:sz w:val="22"/>
          <w:szCs w:val="22"/>
        </w:rPr>
        <w:t>Exclusively for sovereign entities — not a form of State or Territory status, not transitional, not incorporation. Available to recognized indigenous nations holding Associated Community status under §16.2, to sovereign nations that have achieved full sovereignty through the constitutional amendment process, and to independent nations outside the Republic seeking a defined relationship.</w:t>
      </w:r>
    </w:p>
    <w:p w14:paraId="66C171D4" w14:textId="77777777" w:rsidR="00AF3D56" w:rsidRDefault="00000000">
      <w:pPr>
        <w:spacing w:before="200" w:after="60"/>
        <w:ind w:left="431"/>
      </w:pPr>
      <w:r>
        <w:rPr>
          <w:rFonts w:ascii="Courier New" w:eastAsia="Courier New" w:hAnsi="Courier New" w:cs="Courier New"/>
          <w:b/>
          <w:bCs/>
          <w:color w:val="2A2A2A"/>
          <w:sz w:val="18"/>
          <w:szCs w:val="18"/>
        </w:rPr>
        <w:t xml:space="preserve">§20.2  </w:t>
      </w:r>
      <w:r>
        <w:rPr>
          <w:rFonts w:ascii="Garamond" w:eastAsia="Garamond" w:hAnsi="Garamond" w:cs="Garamond"/>
          <w:i/>
          <w:iCs/>
          <w:color w:val="1B2A4A"/>
          <w:sz w:val="22"/>
          <w:szCs w:val="22"/>
        </w:rPr>
        <w:t>Compact Terms and Equal Sovereignty</w:t>
      </w:r>
    </w:p>
    <w:p w14:paraId="2638B719" w14:textId="77777777" w:rsidR="00AF3D56" w:rsidRDefault="00000000">
      <w:pPr>
        <w:spacing w:after="120"/>
        <w:ind w:left="431"/>
        <w:jc w:val="both"/>
      </w:pPr>
      <w:r>
        <w:rPr>
          <w:rFonts w:ascii="Garamond" w:eastAsia="Garamond" w:hAnsi="Garamond" w:cs="Garamond"/>
          <w:color w:val="2A2A2A"/>
          <w:sz w:val="22"/>
          <w:szCs w:val="22"/>
        </w:rPr>
        <w:t>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14:paraId="68D4EED4" w14:textId="77777777" w:rsidR="00AF3D56" w:rsidRDefault="00000000">
      <w:pPr>
        <w:spacing w:before="200" w:after="60"/>
        <w:ind w:left="431"/>
      </w:pPr>
      <w:r>
        <w:rPr>
          <w:rFonts w:ascii="Courier New" w:eastAsia="Courier New" w:hAnsi="Courier New" w:cs="Courier New"/>
          <w:b/>
          <w:bCs/>
          <w:color w:val="2A2A2A"/>
          <w:sz w:val="18"/>
          <w:szCs w:val="18"/>
        </w:rPr>
        <w:t xml:space="preserve">§20.3  </w:t>
      </w:r>
      <w:r>
        <w:rPr>
          <w:rFonts w:ascii="Garamond" w:eastAsia="Garamond" w:hAnsi="Garamond" w:cs="Garamond"/>
          <w:i/>
          <w:iCs/>
          <w:color w:val="1B2A4A"/>
          <w:sz w:val="22"/>
          <w:szCs w:val="22"/>
        </w:rPr>
        <w:t>Compact Conditions and Compliance</w:t>
      </w:r>
    </w:p>
    <w:p>
      <w:pPr>
        <w:spacing w:after="120"/>
        <w:ind w:left="431"/>
        <w:jc w:val="both"/>
      </w:pPr>
      <w:r>
        <w:rPr>
          <w:rFonts w:ascii="Garamond" w:eastAsia="Garamond" w:hAnsi="Garamond" w:cs="Garamond"/>
          <w:color w:val="2A2A2A"/>
          <w:sz w:val="22"/>
          <w:szCs w:val="22"/>
        </w:rPr>
        <w:t xml:space="preserve">(1) No compact may be entered or ratified with any entity whose governance practices include, authorize, or systematically permit violations of any of the non-derogable rights established in §1.19.a, committed against any person within its jurisdiction.</w:t>
      </w:r>
    </w:p>
    <w:p>
      <w:pPr>
        <w:spacing w:after="120"/>
        <w:ind w:left="431"/>
        <w:jc w:val="both"/>
      </w:pPr>
      <w:r>
        <w:rPr>
          <w:rFonts w:ascii="Garamond" w:eastAsia="Garamond" w:hAnsi="Garamond" w:cs="Garamond"/>
          <w:color w:val="2A2A2A"/>
          <w:sz w:val="22"/>
          <w:szCs w:val="22"/>
        </w:rPr>
        <w:t xml:space="preserve">(2) The JM conducts annual compliance reviews and publishes findings to the NRS. Where the JM finds systematic violations of §1.19.a rights or any party challenges a compact on those grounds, the compact is suspended pending review through the compact's independent arbitration mechanism; the arbitration panel must issue a preliminary determination within 90 days of suspension; where no preliminary determination is issued within that period, the suspension lifts and the compact resumes pending the panel's final determination.</w:t>
      </w:r>
    </w:p>
    <w:p>
      <w:pPr>
        <w:spacing w:after="120"/>
        <w:ind w:left="431"/>
        <w:jc w:val="both"/>
      </w:pPr>
      <w:r>
        <w:rPr>
          <w:rFonts w:ascii="Garamond" w:eastAsia="Garamond" w:hAnsi="Garamond" w:cs="Garamond"/>
          <w:color w:val="2A2A2A"/>
          <w:sz w:val="22"/>
          <w:szCs w:val="22"/>
        </w:rPr>
        <w:t xml:space="preserve">(3) The arbitration panel may determine compact termination on confirmed violations without remediation within the period the compact specifies.</w:t>
      </w:r>
    </w:p>
    <w:p>
      <w:pPr>
        <w:spacing w:after="120"/>
        <w:ind w:left="431"/>
        <w:jc w:val="both"/>
      </w:pPr>
      <w:r>
        <w:rPr>
          <w:rFonts w:ascii="Garamond" w:eastAsia="Garamond" w:hAnsi="Garamond" w:cs="Garamond"/>
          <w:color w:val="2A2A2A"/>
          <w:sz w:val="22"/>
          <w:szCs w:val="22"/>
        </w:rPr>
        <w:t xml:space="preserve">(4) Economic value of the compact relationship is not a factor in JM assessment or arbitration review.</w:t>
      </w:r>
    </w:p>
    <w:p>
      <w:pPr>
        <w:spacing w:after="120"/>
        <w:ind w:left="431"/>
        <w:jc w:val="both"/>
      </w:pPr>
      <w:r>
        <w:rPr>
          <w:rFonts w:ascii="Garamond" w:eastAsia="Garamond" w:hAnsi="Garamond" w:cs="Garamond"/>
          <w:color w:val="2A2A2A"/>
          <w:sz w:val="22"/>
          <w:szCs w:val="22"/>
        </w:rPr>
        <w:t xml:space="preserve">(5)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w:t>
      </w:r>
    </w:p>
    <w:p>
      <w:pPr>
        <w:spacing w:after="120"/>
        <w:ind w:left="431"/>
        <w:jc w:val="both"/>
      </w:pPr>
      <w:r>
        <w:rPr>
          <w:rFonts w:ascii="Garamond" w:eastAsia="Garamond" w:hAnsi="Garamond" w:cs="Garamond"/>
          <w:color w:val="2A2A2A"/>
          <w:sz w:val="22"/>
          <w:szCs w:val="22"/>
        </w:rPr>
        <w:t xml:space="preserve">(6) Compact suspension means the Associated Community's observer delegate participation rights are suspended for the duration of the review; all other compact obligations of both parties continue in effect pending the arbitration panel's final determination.</w:t>
      </w:r>
    </w:p>
    <w:p w14:paraId="33C3AD4B" w14:textId="77777777" w:rsidR="00AF3D56" w:rsidRDefault="00000000">
      <w:pPr>
        <w:spacing w:before="200" w:after="60"/>
        <w:ind w:left="431"/>
      </w:pPr>
      <w:r>
        <w:rPr>
          <w:rFonts w:ascii="Courier New" w:eastAsia="Courier New" w:hAnsi="Courier New" w:cs="Courier New"/>
          <w:b/>
          <w:bCs/>
          <w:color w:val="2A2A2A"/>
          <w:sz w:val="18"/>
          <w:szCs w:val="18"/>
        </w:rPr>
        <w:t xml:space="preserve">§20.4  </w:t>
      </w:r>
      <w:r>
        <w:rPr>
          <w:rFonts w:ascii="Garamond" w:eastAsia="Garamond" w:hAnsi="Garamond" w:cs="Garamond"/>
          <w:i/>
          <w:iCs/>
          <w:color w:val="1B2A4A"/>
          <w:sz w:val="22"/>
          <w:szCs w:val="22"/>
        </w:rPr>
        <w:t>Sovereign Mobility</w:t>
      </w:r>
    </w:p>
    <w:p w14:paraId="74DBEAD6" w14:textId="77777777" w:rsidR="00AF3D56" w:rsidRDefault="00000000">
      <w:pPr>
        <w:spacing w:after="120"/>
        <w:ind w:left="431"/>
        <w:jc w:val="both"/>
      </w:pPr>
      <w:r>
        <w:rPr>
          <w:rFonts w:ascii="Garamond" w:eastAsia="Garamond" w:hAnsi="Garamond" w:cs="Garamond"/>
          <w:color w:val="2A2A2A"/>
          <w:sz w:val="22"/>
          <w:szCs w:val="22"/>
        </w:rPr>
        <w:t>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14:paraId="33CD16B8" w14:textId="77777777" w:rsidR="00AF3D56" w:rsidRDefault="00000000">
      <w:pPr>
        <w:spacing w:before="200" w:after="60"/>
        <w:ind w:left="431"/>
      </w:pPr>
      <w:r>
        <w:rPr>
          <w:rFonts w:ascii="Courier New" w:eastAsia="Courier New" w:hAnsi="Courier New" w:cs="Courier New"/>
          <w:b/>
          <w:bCs/>
          <w:color w:val="2A2A2A"/>
          <w:sz w:val="18"/>
          <w:szCs w:val="18"/>
        </w:rPr>
        <w:t xml:space="preserve">§20.5  </w:t>
      </w:r>
      <w:r>
        <w:rPr>
          <w:rFonts w:ascii="Garamond" w:eastAsia="Garamond" w:hAnsi="Garamond" w:cs="Garamond"/>
          <w:i/>
          <w:iCs/>
          <w:color w:val="1B2A4A"/>
          <w:sz w:val="22"/>
          <w:szCs w:val="22"/>
        </w:rPr>
        <w:t>Reciprocal Obligations and Review</w:t>
      </w:r>
    </w:p>
    <w:p w14:paraId="5DED57CD" w14:textId="77777777" w:rsidR="00AF3D56" w:rsidRDefault="00000000">
      <w:pPr>
        <w:spacing w:after="120"/>
        <w:ind w:left="431"/>
        <w:jc w:val="both"/>
      </w:pPr>
      <w:r>
        <w:rPr>
          <w:rFonts w:ascii="Garamond" w:eastAsia="Garamond" w:hAnsi="Garamond" w:cs="Garamond"/>
          <w:color w:val="2A2A2A"/>
          <w:sz w:val="22"/>
          <w:szCs w:val="22"/>
        </w:rPr>
        <w:t xml:space="preserve">The compact must specify with particularity the reciprocal obligations of both parties and the review mechanism. The Associated Community holds obligations to the Republic as well as rights from it. Review </w:t>
        <w:lastRenderedPageBreak/>
        <w:t>must be scheduled at regular intervals defined in the compact; either party may request a review outside the schedule by providing written notice to the NRS.</w:t>
      </w:r>
    </w:p>
    <w:p w14:paraId="754E2DD5" w14:textId="77777777" w:rsidR="00AF3D56" w:rsidRDefault="00000000">
      <w:pPr>
        <w:spacing w:before="200" w:after="60"/>
        <w:ind w:left="431"/>
      </w:pPr>
      <w:r>
        <w:rPr>
          <w:rFonts w:ascii="Courier New" w:eastAsia="Courier New" w:hAnsi="Courier New" w:cs="Courier New"/>
          <w:b/>
          <w:bCs/>
          <w:color w:val="2A2A2A"/>
          <w:sz w:val="18"/>
          <w:szCs w:val="18"/>
        </w:rPr>
        <w:t xml:space="preserve">§20.6  </w:t>
      </w:r>
      <w:r>
        <w:rPr>
          <w:rFonts w:ascii="Garamond" w:eastAsia="Garamond" w:hAnsi="Garamond" w:cs="Garamond"/>
          <w:i/>
          <w:iCs/>
          <w:color w:val="1B2A4A"/>
          <w:sz w:val="22"/>
          <w:szCs w:val="22"/>
        </w:rPr>
        <w:t>Compact Ratification</w:t>
      </w:r>
    </w:p>
    <w:p w14:paraId="534146D4" w14:textId="77777777" w:rsidR="00AF3D56" w:rsidRDefault="00000000">
      <w:pPr>
        <w:spacing w:after="120"/>
        <w:ind w:left="431"/>
        <w:jc w:val="both"/>
      </w:pPr>
      <w:r>
        <w:rPr>
          <w:rFonts w:ascii="Garamond" w:eastAsia="Garamond" w:hAnsi="Garamond" w:cs="Garamond"/>
          <w:color w:val="2A2A2A"/>
          <w:sz w:val="22"/>
          <w:szCs w:val="22"/>
        </w:rPr>
        <w:t>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Under §9.1, either chamber may request a JM assessment of compact compliance before proceeding to ratification.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14:paraId="0A471600" w14:textId="77777777" w:rsidR="00AF3D56" w:rsidRDefault="00000000">
      <w:pPr>
        <w:spacing w:before="200" w:after="60"/>
        <w:ind w:left="431"/>
      </w:pPr>
      <w:r>
        <w:rPr>
          <w:rFonts w:ascii="Courier New" w:eastAsia="Courier New" w:hAnsi="Courier New" w:cs="Courier New"/>
          <w:b/>
          <w:bCs/>
          <w:color w:val="2A2A2A"/>
          <w:sz w:val="18"/>
          <w:szCs w:val="18"/>
        </w:rPr>
        <w:t xml:space="preserve">§20.7  </w:t>
      </w:r>
      <w:r>
        <w:rPr>
          <w:rFonts w:ascii="Garamond" w:eastAsia="Garamond" w:hAnsi="Garamond" w:cs="Garamond"/>
          <w:i/>
          <w:iCs/>
          <w:color w:val="1B2A4A"/>
          <w:sz w:val="22"/>
          <w:szCs w:val="22"/>
        </w:rPr>
        <w:t>Compact Continuity</w:t>
      </w:r>
    </w:p>
    <w:p w14:paraId="6423AF73" w14:textId="77777777" w:rsidR="00AF3D56" w:rsidRDefault="00000000">
      <w:pPr>
        <w:spacing w:after="120"/>
        <w:ind w:left="431"/>
        <w:jc w:val="both"/>
      </w:pPr>
      <w:r>
        <w:rPr>
          <w:rFonts w:ascii="Garamond" w:eastAsia="Garamond" w:hAnsi="Garamond" w:cs="Garamond"/>
          <w:color w:val="2A2A2A"/>
          <w:sz w:val="22"/>
          <w:szCs w:val="22"/>
        </w:rPr>
        <w:t>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rsidR="00AF3D5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0C42F1"/>
    <w:multiLevelType w:val="hybridMultilevel"/>
    <w:tmpl w:val="C396EB00"/>
    <w:lvl w:ilvl="0" w:tplc="E8E0725A">
      <w:start w:val="1"/>
      <w:numFmt w:val="bullet"/>
      <w:lvlText w:val="●"/>
      <w:lvlJc w:val="left"/>
      <w:pPr>
        <w:ind w:left="720" w:hanging="360"/>
      </w:pPr>
    </w:lvl>
    <w:lvl w:ilvl="1" w:tplc="597C5D9C">
      <w:start w:val="1"/>
      <w:numFmt w:val="bullet"/>
      <w:lvlText w:val="○"/>
      <w:lvlJc w:val="left"/>
      <w:pPr>
        <w:ind w:left="1440" w:hanging="360"/>
      </w:pPr>
    </w:lvl>
    <w:lvl w:ilvl="2" w:tplc="A88A5B24">
      <w:start w:val="1"/>
      <w:numFmt w:val="bullet"/>
      <w:lvlText w:val="■"/>
      <w:lvlJc w:val="left"/>
      <w:pPr>
        <w:ind w:left="2160" w:hanging="360"/>
      </w:pPr>
    </w:lvl>
    <w:lvl w:ilvl="3" w:tplc="060C78B4">
      <w:start w:val="1"/>
      <w:numFmt w:val="bullet"/>
      <w:lvlText w:val="●"/>
      <w:lvlJc w:val="left"/>
      <w:pPr>
        <w:ind w:left="2880" w:hanging="360"/>
      </w:pPr>
    </w:lvl>
    <w:lvl w:ilvl="4" w:tplc="01B4AB26">
      <w:start w:val="1"/>
      <w:numFmt w:val="bullet"/>
      <w:lvlText w:val="○"/>
      <w:lvlJc w:val="left"/>
      <w:pPr>
        <w:ind w:left="3600" w:hanging="360"/>
      </w:pPr>
    </w:lvl>
    <w:lvl w:ilvl="5" w:tplc="5CFA4890">
      <w:start w:val="1"/>
      <w:numFmt w:val="bullet"/>
      <w:lvlText w:val="■"/>
      <w:lvlJc w:val="left"/>
      <w:pPr>
        <w:ind w:left="4320" w:hanging="360"/>
      </w:pPr>
    </w:lvl>
    <w:lvl w:ilvl="6" w:tplc="25DA88DC">
      <w:start w:val="1"/>
      <w:numFmt w:val="bullet"/>
      <w:lvlText w:val="●"/>
      <w:lvlJc w:val="left"/>
      <w:pPr>
        <w:ind w:left="5040" w:hanging="360"/>
      </w:pPr>
    </w:lvl>
    <w:lvl w:ilvl="7" w:tplc="DD8868E6">
      <w:start w:val="1"/>
      <w:numFmt w:val="bullet"/>
      <w:lvlText w:val="●"/>
      <w:lvlJc w:val="left"/>
      <w:pPr>
        <w:ind w:left="5760" w:hanging="360"/>
      </w:pPr>
    </w:lvl>
    <w:lvl w:ilvl="8" w:tplc="AFEC6070">
      <w:start w:val="1"/>
      <w:numFmt w:val="bullet"/>
      <w:lvlText w:val="●"/>
      <w:lvlJc w:val="left"/>
      <w:pPr>
        <w:ind w:left="6480" w:hanging="360"/>
      </w:pPr>
    </w:lvl>
  </w:abstractNum>
  <w:num w:numId="1" w16cid:durableId="194399557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oNotDisplayPageBoundaries/>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3D56"/>
    <w:rsid w:val="00123DDD"/>
    <w:rsid w:val="005F487F"/>
    <w:rsid w:val="0088569E"/>
    <w:rsid w:val="00940D3B"/>
    <w:rsid w:val="00AD76A6"/>
    <w:rsid w:val="00AF3D56"/>
    <w:rsid w:val="00CD141D"/>
    <w:rsid w:val="00F645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7299269"/>
  <w15:docId w15:val="{E08E9D2D-9B22-1A48-A6CD-56DD032E4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52</Pages>
  <Words>24570</Words>
  <Characters>140050</Characters>
  <Application>Microsoft Office Word</Application>
  <DocSecurity>0</DocSecurity>
  <Lines>1167</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John Reickert</cp:lastModifiedBy>
  <cp:revision>4</cp:revision>
  <dcterms:created xsi:type="dcterms:W3CDTF">2026-07-06T19:02:00Z</dcterms:created>
  <dcterms:modified xsi:type="dcterms:W3CDTF">2026-07-07T12:40:00Z</dcterms:modified>
</cp:coreProperties>
</file>