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and certified by the JI.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and certified by the JI. The Legislature defines qualifications for inferior court judges by statute; the JI certifies eligibility of each pool applicant against those qualifications. The PM must nominate within the period defined by statute following a vacancy.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within the scope of Article I.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 The Legislature may not define MA independence standards in a manner that compromises the credibility of its certification functions; the EI assesses MA independence through its annual operational audit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