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§1.5.b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Administrative Acting Officer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 The periods and their interaction are governed by this section.</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Treaty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Redistricting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§3.4.d  </w:t>
      </w:r>
      <w:r>
        <w:rPr>
          <w:rFonts w:ascii="Garamond" w:cs="Garamond" w:eastAsia="Garamond" w:hAnsi="Garamond"/>
          <w:b/>
          <w:bCs/>
          <w:i w:val="false"/>
          <w:iCs w:val="false"/>
          <w:color w:val="1B2A4A"/>
          <w:sz w:val="22"/>
          <w:szCs w:val="22"/>
        </w:rPr>
        <w:t xml:space="preserve">Drawing Authority — Federal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§3.5.c  </w:t>
      </w:r>
      <w:r>
        <w:rPr>
          <w:rFonts w:ascii="Garamond" w:cs="Garamond" w:eastAsia="Garamond" w:hAnsi="Garamond"/>
          <w:b/>
          <w:bCs/>
          <w:i w:val="false"/>
          <w:iCs w:val="false"/>
          <w:color w:val="1B2A4A"/>
          <w:sz w:val="22"/>
          <w:szCs w:val="22"/>
        </w:rPr>
        <w:t xml:space="preserve">House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2026-05-20T23:32:30.231Z</dcterms:created>
  <dcterms:modified xsi:type="dcterms:W3CDTF">2026-05-20T23:32:30.242Z</dcterms:modified>
</cp:coreProperties>
</file>

<file path=docProps/custom.xml><?xml version="1.0" encoding="utf-8"?>
<Properties xmlns="http://schemas.openxmlformats.org/officeDocument/2006/custom-properties" xmlns:vt="http://schemas.openxmlformats.org/officeDocument/2006/docPropsVTypes"/>
</file>