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who must meet the eligibility requirements for the office of Civic Consul under this section, serves with authority limited to maintaining existing policy and emergency functions; where no such designation exists or the designated Acting Civic Consul is unavailable, the Assembly Speaker serves as Acting Civic Consul with the same authority limitation.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published to the NRS; this appointee holds full Civic Consul authority and is subject to removal under §2.6. Where two or more Assembly members have equal continuous service, the tiebreaker is determined by statute.</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LM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LM.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under §7.4;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§16.5;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judicial review by the court with active jurisdiction over the case.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appeal to the courts within 30 days of NRS publication on the sole ground that stated grounds do not correspond to an established eligibility criterion; the applicable court and process are defined by statute.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courts on the sole ground that the audit findings are factually insufficient to establish three consecutive failures; the court reviews only the factual basis; process and timeline are defined by statute.</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The compact’s arbitration mechanism is the final forum for disputes between the Republic and the Nation arising from compact administration, including constitutional questions of compact interpretation; neither party may seek review of an arbitration determination in the Republic’s courts.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under its original jurisdiction in §4.5; the extension and interim protective order provisions of §4.5 apply.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