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516D4" w14:textId="77777777" w:rsidR="00AF3D56" w:rsidRDefault="00000000">
      <w:pPr>
        <w:spacing w:before="1440" w:after="120"/>
        <w:jc w:val="center"/>
      </w:pPr>
      <w:r>
        <w:rPr>
          <w:rFonts w:ascii="Garamond" w:eastAsia="Garamond" w:hAnsi="Garamond" w:cs="Garamond"/>
          <w:color w:val="1B2A4A"/>
          <w:sz w:val="52"/>
          <w:szCs w:val="52"/>
        </w:rPr>
        <w:t>THE FEDERATED REPUBLIC</w:t>
      </w:r>
    </w:p>
    <w:p w14:paraId="13E9BE20" w14:textId="77777777" w:rsidR="00AF3D56" w:rsidRDefault="00000000">
      <w:pPr>
        <w:pBdr>
          <w:bottom w:val="single" w:sz="4" w:space="8" w:color="C9A84C"/>
        </w:pBdr>
        <w:spacing w:after="120"/>
        <w:jc w:val="center"/>
      </w:pPr>
      <w:r>
        <w:rPr>
          <w:rFonts w:ascii="Garamond" w:eastAsia="Garamond" w:hAnsi="Garamond" w:cs="Garamond"/>
          <w:color w:val="C9A84C"/>
          <w:sz w:val="36"/>
          <w:szCs w:val="36"/>
        </w:rPr>
        <w:t>CONSTITUTION</w:t>
      </w:r>
    </w:p>
    <w:p w14:paraId="092F95E3" w14:textId="30E152CC" w:rsidR="00AF3D56" w:rsidRDefault="00000000">
      <w:pPr>
        <w:spacing w:before="240"/>
        <w:jc w:val="center"/>
      </w:pPr>
      <w:r>
        <w:rPr>
          <w:rFonts w:ascii="Garamond" w:eastAsia="Garamond" w:hAnsi="Garamond" w:cs="Garamond"/>
          <w:i/>
          <w:iCs/>
          <w:color w:val="7A7060"/>
          <w:sz w:val="22"/>
          <w:szCs w:val="22"/>
        </w:rPr>
        <w:t xml:space="preserve">166 Provisions · 20 Articles</w:t>
      </w:r>
    </w:p>
    <w:p w14:paraId="0195EB27" w14:textId="77777777" w:rsidR="00AF3D56" w:rsidRDefault="00000000">
      <w:pPr>
        <w:spacing w:before="60"/>
        <w:jc w:val="center"/>
      </w:pPr>
      <w:r>
        <w:rPr>
          <w:rFonts w:ascii="Garamond" w:eastAsia="Garamond" w:hAnsi="Garamond" w:cs="Garamond"/>
          <w:color w:val="7A7060"/>
          <w:sz w:val="18"/>
          <w:szCs w:val="18"/>
        </w:rPr>
        <w:t>thefederatedrepublic.org</w:t>
      </w:r>
    </w:p>
    <w:p w14:paraId="0AAAAAA1" w14:textId="77777777" w:rsidR="00AF3D56" w:rsidRDefault="00000000">
      <w:pPr>
        <w:pageBreakBefore/>
        <w:pBdr>
          <w:bottom w:val="single" w:sz="4" w:space="6" w:color="C9A84C"/>
        </w:pBdr>
        <w:spacing w:after="280"/>
      </w:pPr>
      <w:r>
        <w:rPr>
          <w:rFonts w:ascii="Garamond" w:eastAsia="Garamond" w:hAnsi="Garamond" w:cs="Garamond"/>
          <w:color w:val="1B2A4A"/>
          <w:sz w:val="34"/>
        </w:rPr>
        <w:t xml:space="preserve">Preamble</w:t>
      </w:r>
    </w:p>
    <w:p w14:paraId="0BBBBBB1" w14:textId="77777777" w:rsidR="00AF3D56" w:rsidRDefault="00000000">
      <w:pPr>
        <w:spacing w:after="180" w:line="276" w:lineRule="auto"/>
        <w:jc w:val="both"/>
      </w:pPr>
      <w:r>
        <w:rPr>
          <w:rFonts w:ascii="Garamond" w:eastAsia="Garamond" w:hAnsi="Garamond" w:cs="Garamond"/>
          <w:sz w:val="24"/>
        </w:rPr>
        <w:t xml:space="preserve">We built a Republic worth living in — and worth adopting. Here is why.</w:t>
      </w:r>
    </w:p>
    <w:p w14:paraId="0BBBBBB1" w14:textId="77777777" w:rsidR="00AF3D56" w:rsidRDefault="00000000">
      <w:pPr>
        <w:spacing w:after="180" w:line="276" w:lineRule="auto"/>
        <w:jc w:val="both"/>
      </w:pPr>
      <w:r>
        <w:rPr>
          <w:rFonts w:ascii="Garamond" w:eastAsia="Garamond" w:hAnsi="Garamond" w:cs="Garamond"/>
          <w:sz w:val="24"/>
        </w:rPr>
        <w:t xml:space="preserve">We came from different places, and out of that difference we made something none of us could have made alone: a government strong enough to act, restrained enough to trust, and answerable — always — to you.</w:t>
      </w:r>
    </w:p>
    <w:p w14:paraId="0BBBBBB1" w14:textId="77777777" w:rsidR="00AF3D56" w:rsidRDefault="00000000">
      <w:pPr>
        <w:spacing w:after="180" w:line="276" w:lineRule="auto"/>
        <w:jc w:val="both"/>
      </w:pPr>
      <w:r>
        <w:rPr>
          <w:rFonts w:ascii="Garamond" w:eastAsia="Garamond" w:hAnsi="Garamond" w:cs="Garamond"/>
          <w:sz w:val="24"/>
        </w:rPr>
        <w:t xml:space="preserve">We built it on one conviction: </w:t>
      </w:r>
      <w:r>
        <w:rPr>
          <w:rFonts w:ascii="Garamond" w:eastAsia="Garamond" w:hAnsi="Garamond" w:cs="Garamond"/>
          <w:b/>
          <w:sz w:val="24"/>
        </w:rPr>
        <w:t xml:space="preserve">the person comes before the state.</w:t>
      </w:r>
      <w:r>
        <w:rPr>
          <w:rFonts w:ascii="Garamond" w:eastAsia="Garamond" w:hAnsi="Garamond" w:cs="Garamond"/>
          <w:sz w:val="24"/>
        </w:rPr>
        <w:t xml:space="preserve"> You are whole and equal. You hold rights no government granted and none can take away. Behind those rights we placed the entire weight of the Republic, so that no one among you is ever left without remedy, without a voice, or without the conditions of a decent life.</w:t>
      </w:r>
    </w:p>
    <w:p w14:paraId="0BBBBBB1" w14:textId="77777777" w:rsidR="00AF3D56" w:rsidRDefault="00000000">
      <w:pPr>
        <w:spacing w:after="180" w:line="276" w:lineRule="auto"/>
        <w:jc w:val="both"/>
      </w:pPr>
      <w:r>
        <w:rPr>
          <w:rFonts w:ascii="Garamond" w:eastAsia="Garamond" w:hAnsi="Garamond" w:cs="Garamond"/>
          <w:sz w:val="24"/>
        </w:rPr>
        <w:t xml:space="preserve">And we did not ask you to trust us. We gave power to the people and made it return to them. We opened the state to the light, so you can see how you are governed. We bound every office we created — even the ones we admired most — so this Republic stays yours whether it is governed well or badly. That is the difference: most governments ask for your faith. This one gives you the means to withhold it.</w:t>
      </w:r>
    </w:p>
    <w:p w14:paraId="0BBBBBB1" w14:textId="77777777" w:rsidR="00AF3D56" w:rsidRDefault="00000000">
      <w:pPr>
        <w:spacing w:after="180" w:line="276" w:lineRule="auto"/>
        <w:jc w:val="both"/>
      </w:pPr>
      <w:r>
        <w:rPr>
          <w:rFonts w:ascii="Garamond" w:eastAsia="Garamond" w:hAnsi="Garamond" w:cs="Garamond"/>
          <w:sz w:val="24"/>
        </w:rPr>
        <w:t xml:space="preserve">What follows is long because your freedom is detailed, and every page of it exists to keep a promise made to you.</w:t>
      </w:r>
    </w:p>
    <w:p w14:paraId="0BBBBBB1" w14:textId="77777777" w:rsidR="00AF3D56" w:rsidRDefault="00000000">
      <w:pPr>
        <w:spacing w:after="180" w:line="276" w:lineRule="auto"/>
        <w:jc w:val="both"/>
      </w:pPr>
      <w:r>
        <w:rPr>
          <w:rFonts w:ascii="Garamond" w:eastAsia="Garamond" w:hAnsi="Garamond" w:cs="Garamond"/>
          <w:sz w:val="24"/>
        </w:rPr>
        <w:t xml:space="preserve">Read it. Then adopt it, and make it your own.</w:t>
      </w:r>
    </w:p>
    <w:p w14:paraId="6F6AE7CB"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 — Individual Sovereignty and Rights</w:t>
      </w:r>
    </w:p>
    <w:p w14:paraId="734B5287" w14:textId="77777777" w:rsidR="00AF3D56" w:rsidRDefault="00000000">
      <w:pPr>
        <w:spacing w:before="200" w:after="60"/>
        <w:ind w:left="431"/>
      </w:pPr>
      <w:r>
        <w:rPr>
          <w:rFonts w:ascii="Courier New" w:eastAsia="Courier New" w:hAnsi="Courier New" w:cs="Courier New"/>
          <w:b/>
          <w:bCs/>
          <w:color w:val="2A2A2A"/>
          <w:sz w:val="18"/>
          <w:szCs w:val="18"/>
        </w:rPr>
        <w:t xml:space="preserve">§1.1  </w:t>
      </w:r>
      <w:r>
        <w:rPr>
          <w:rFonts w:ascii="Garamond" w:eastAsia="Garamond" w:hAnsi="Garamond" w:cs="Garamond"/>
          <w:i/>
          <w:iCs/>
          <w:color w:val="1B2A4A"/>
          <w:sz w:val="22"/>
          <w:szCs w:val="22"/>
        </w:rPr>
        <w:t>Right to Courts and Legal Remedy</w:t>
      </w:r>
    </w:p>
    <w:p w14:paraId="2BA9ED1F" w14:textId="77777777" w:rsidR="00AF3D56" w:rsidRDefault="00000000">
      <w:pPr>
        <w:spacing w:after="120"/>
        <w:ind w:left="431"/>
        <w:jc w:val="both"/>
      </w:pPr>
      <w:r>
        <w:rPr>
          <w:rFonts w:ascii="Garamond" w:eastAsia="Garamond" w:hAnsi="Garamond" w:cs="Garamond"/>
          <w:color w:val="2A2A2A"/>
          <w:sz w:val="22"/>
          <w:szCs w:val="22"/>
        </w:rPr>
        <w:t>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14:paraId="30FA7D47" w14:textId="77777777" w:rsidR="00AF3D56" w:rsidRDefault="00000000">
      <w:pPr>
        <w:spacing w:before="200" w:after="60"/>
        <w:ind w:left="431"/>
      </w:pPr>
      <w:r>
        <w:rPr>
          <w:rFonts w:ascii="Courier New" w:eastAsia="Courier New" w:hAnsi="Courier New" w:cs="Courier New"/>
          <w:b/>
          <w:bCs/>
          <w:color w:val="2A2A2A"/>
          <w:sz w:val="18"/>
          <w:szCs w:val="18"/>
        </w:rPr>
        <w:t xml:space="preserve">§1.2  </w:t>
      </w:r>
      <w:r>
        <w:rPr>
          <w:rFonts w:ascii="Garamond" w:eastAsia="Garamond" w:hAnsi="Garamond" w:cs="Garamond"/>
          <w:i/>
          <w:iCs/>
          <w:color w:val="1B2A4A"/>
          <w:sz w:val="22"/>
          <w:szCs w:val="22"/>
        </w:rPr>
        <w:t>Individual Sovereignty Floor</w:t>
      </w:r>
    </w:p>
    <w:p w14:paraId="14A4DD6B" w14:textId="77777777" w:rsidR="00AF3D56" w:rsidRDefault="00000000">
      <w:pPr>
        <w:spacing w:after="120"/>
        <w:ind w:left="431"/>
        <w:jc w:val="both"/>
      </w:pPr>
      <w:r>
        <w:rPr>
          <w:rFonts w:ascii="Garamond" w:eastAsia="Garamond" w:hAnsi="Garamond" w:cs="Garamond"/>
          <w:color w:val="2A2A2A"/>
          <w:sz w:val="22"/>
          <w:szCs w:val="22"/>
        </w:rPr>
        <w:t>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14:paraId="13CF166F" w14:textId="77777777" w:rsidR="00AF3D56" w:rsidRDefault="00000000">
      <w:pPr>
        <w:spacing w:before="200" w:after="60"/>
        <w:ind w:left="431"/>
      </w:pPr>
      <w:r>
        <w:rPr>
          <w:rFonts w:ascii="Courier New" w:eastAsia="Courier New" w:hAnsi="Courier New" w:cs="Courier New"/>
          <w:b/>
          <w:bCs/>
          <w:color w:val="2A2A2A"/>
          <w:sz w:val="18"/>
          <w:szCs w:val="18"/>
        </w:rPr>
        <w:t xml:space="preserve">§1.3  </w:t>
      </w:r>
      <w:r>
        <w:rPr>
          <w:rFonts w:ascii="Garamond" w:eastAsia="Garamond" w:hAnsi="Garamond" w:cs="Garamond"/>
          <w:i/>
          <w:iCs/>
          <w:color w:val="1B2A4A"/>
          <w:sz w:val="22"/>
          <w:szCs w:val="22"/>
        </w:rPr>
        <w:t>Prohibition of Torture and Cruel Treatment</w:t>
      </w:r>
    </w:p>
    <w:p w14:paraId="0A9C5B85" w14:textId="77777777" w:rsidR="00AF3D56" w:rsidRDefault="00000000">
      <w:pPr>
        <w:spacing w:after="120"/>
        <w:ind w:left="431"/>
        <w:jc w:val="both"/>
      </w:pPr>
      <w:r>
        <w:rPr>
          <w:rFonts w:ascii="Garamond" w:eastAsia="Garamond" w:hAnsi="Garamond" w:cs="Garamond"/>
          <w:color w:val="2A2A2A"/>
          <w:sz w:val="22"/>
          <w:szCs w:val="22"/>
        </w:rPr>
        <w:t>Torture and cruel, inhuman, or degrading treatment are absolutely prohibited. No person within the Republic's jurisdiction may be subjected to any such treatment. This right is non-derogable under §1.19.a.</w:t>
      </w:r>
    </w:p>
    <w:p w14:paraId="2B6FC3D3" w14:textId="77777777" w:rsidR="00AF3D56" w:rsidRDefault="00000000">
      <w:pPr>
        <w:spacing w:before="200" w:after="60"/>
        <w:ind w:left="431"/>
      </w:pPr>
      <w:r>
        <w:rPr>
          <w:rFonts w:ascii="Courier New" w:eastAsia="Courier New" w:hAnsi="Courier New" w:cs="Courier New"/>
          <w:b/>
          <w:bCs/>
          <w:color w:val="2A2A2A"/>
          <w:sz w:val="18"/>
          <w:szCs w:val="18"/>
        </w:rPr>
        <w:t xml:space="preserve">§1.4  </w:t>
      </w:r>
      <w:r>
        <w:rPr>
          <w:rFonts w:ascii="Garamond" w:eastAsia="Garamond" w:hAnsi="Garamond" w:cs="Garamond"/>
          <w:i/>
          <w:iCs/>
          <w:color w:val="1B2A4A"/>
          <w:sz w:val="22"/>
          <w:szCs w:val="22"/>
        </w:rPr>
        <w:t>Prohibition of Slavery and Forced Labor</w:t>
      </w:r>
    </w:p>
    <w:p w14:paraId="79B84C91" w14:textId="77777777" w:rsidR="00AF3D56" w:rsidRDefault="00000000">
      <w:pPr>
        <w:spacing w:after="120"/>
        <w:ind w:left="431"/>
        <w:jc w:val="both"/>
      </w:pPr>
      <w:r>
        <w:rPr>
          <w:rFonts w:ascii="Garamond" w:eastAsia="Garamond" w:hAnsi="Garamond" w:cs="Garamond"/>
          <w:color w:val="2A2A2A"/>
          <w:sz w:val="22"/>
          <w:szCs w:val="22"/>
        </w:rPr>
        <w:t>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§1.19.a.</w:t>
      </w:r>
    </w:p>
    <w:p w14:paraId="2E5E4B7E" w14:textId="77777777" w:rsidR="00AF3D56" w:rsidRDefault="00000000">
      <w:pPr>
        <w:spacing w:before="200" w:after="60"/>
        <w:ind w:left="431"/>
      </w:pPr>
      <w:r>
        <w:rPr>
          <w:rFonts w:ascii="Courier New" w:eastAsia="Courier New" w:hAnsi="Courier New" w:cs="Courier New"/>
          <w:b/>
          <w:bCs/>
          <w:color w:val="2A2A2A"/>
          <w:sz w:val="18"/>
          <w:szCs w:val="18"/>
        </w:rPr>
        <w:t xml:space="preserve">§1.5  </w:t>
      </w:r>
      <w:r>
        <w:rPr>
          <w:rFonts w:ascii="Garamond" w:eastAsia="Garamond" w:hAnsi="Garamond" w:cs="Garamond"/>
          <w:i/>
          <w:iCs/>
          <w:color w:val="1B2A4A"/>
          <w:sz w:val="22"/>
          <w:szCs w:val="22"/>
        </w:rPr>
        <w:t>Civil and Political Liberties</w:t>
      </w:r>
    </w:p>
    <w:p w14:paraId="7282DB24" w14:textId="77777777" w:rsidR="00AF3D56" w:rsidRDefault="00000000">
      <w:pPr>
        <w:spacing w:after="120"/>
        <w:ind w:left="431"/>
        <w:jc w:val="both"/>
      </w:pPr>
      <w:r>
        <w:rPr>
          <w:rFonts w:ascii="Garamond" w:eastAsia="Garamond" w:hAnsi="Garamond" w:cs="Garamond"/>
          <w:color w:val="2A2A2A"/>
          <w:sz w:val="22"/>
          <w:szCs w:val="22"/>
        </w:rPr>
        <w:t>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14:paraId="211DE107" w14:textId="77777777" w:rsidR="00AF3D56" w:rsidRDefault="00000000">
      <w:pPr>
        <w:spacing w:before="200" w:after="60"/>
        <w:ind w:left="431"/>
      </w:pPr>
      <w:r>
        <w:rPr>
          <w:rFonts w:ascii="Courier New" w:eastAsia="Courier New" w:hAnsi="Courier New" w:cs="Courier New"/>
          <w:b/>
          <w:bCs/>
          <w:color w:val="2A2A2A"/>
          <w:sz w:val="18"/>
          <w:szCs w:val="18"/>
        </w:rPr>
        <w:t xml:space="preserve">§1.6  </w:t>
      </w:r>
      <w:r>
        <w:rPr>
          <w:rFonts w:ascii="Garamond" w:eastAsia="Garamond" w:hAnsi="Garamond" w:cs="Garamond"/>
          <w:i/>
          <w:iCs/>
          <w:color w:val="1B2A4A"/>
          <w:sz w:val="22"/>
          <w:szCs w:val="22"/>
        </w:rPr>
        <w:t>Equality and Non-Discrimination</w:t>
      </w:r>
    </w:p>
    <w:p w14:paraId="124E8111" w14:textId="77777777" w:rsidR="00AF3D56" w:rsidRDefault="00000000">
      <w:pPr>
        <w:spacing w:after="120"/>
        <w:ind w:left="431"/>
        <w:jc w:val="both"/>
      </w:pPr>
      <w:r>
        <w:rPr>
          <w:rFonts w:ascii="Garamond" w:eastAsia="Garamond" w:hAnsi="Garamond" w:cs="Garamond"/>
          <w:color w:val="2A2A2A"/>
          <w:sz w:val="22"/>
          <w:szCs w:val="22"/>
        </w:rPr>
        <w:t>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14:paraId="68BA3381" w14:textId="77777777" w:rsidR="00AF3D56" w:rsidRDefault="00000000">
      <w:pPr>
        <w:spacing w:before="200" w:after="60"/>
        <w:ind w:left="431"/>
      </w:pPr>
      <w:r>
        <w:rPr>
          <w:rFonts w:ascii="Courier New" w:eastAsia="Courier New" w:hAnsi="Courier New" w:cs="Courier New"/>
          <w:b/>
          <w:bCs/>
          <w:color w:val="2A2A2A"/>
          <w:sz w:val="18"/>
          <w:szCs w:val="18"/>
        </w:rPr>
        <w:t xml:space="preserve">§1.7  </w:t>
      </w:r>
      <w:r>
        <w:rPr>
          <w:rFonts w:ascii="Garamond" w:eastAsia="Garamond" w:hAnsi="Garamond" w:cs="Garamond"/>
          <w:i/>
          <w:iCs/>
          <w:color w:val="1B2A4A"/>
          <w:sz w:val="22"/>
          <w:szCs w:val="22"/>
        </w:rPr>
        <w:t>Bodily Sovereignty</w:t>
      </w:r>
    </w:p>
    <w:p w14:paraId="4A56BCE5" w14:textId="77777777" w:rsidR="00AF3D56" w:rsidRDefault="00000000">
      <w:pPr>
        <w:spacing w:after="120"/>
        <w:ind w:left="431"/>
        <w:jc w:val="both"/>
      </w:pPr>
      <w:r>
        <w:rPr>
          <w:rFonts w:ascii="Garamond" w:eastAsia="Garamond" w:hAnsi="Garamond" w:cs="Garamond"/>
          <w:color w:val="2A2A2A"/>
          <w:sz w:val="22"/>
          <w:szCs w:val="22"/>
        </w:rPr>
        <w:t>Medical decisions are the province of the individual and their chosen provider. The state may promote public health through information, licensing, and access; it may not compel medical decisions or penalize their exercise. No government may impose civil or criminal liability on any person solely for receiving, assisting access to, or providing information about medical care that was lawful where received.</w:t>
      </w:r>
    </w:p>
    <w:p w14:paraId="7C997FA5" w14:textId="77777777" w:rsidR="00AF3D56" w:rsidRDefault="00000000">
      <w:pPr>
        <w:spacing w:before="200" w:after="60"/>
        <w:ind w:left="431"/>
      </w:pPr>
      <w:r>
        <w:rPr>
          <w:rFonts w:ascii="Courier New" w:eastAsia="Courier New" w:hAnsi="Courier New" w:cs="Courier New"/>
          <w:b/>
          <w:bCs/>
          <w:color w:val="2A2A2A"/>
          <w:sz w:val="18"/>
          <w:szCs w:val="18"/>
        </w:rPr>
        <w:t xml:space="preserve">§1.8  </w:t>
      </w:r>
      <w:r>
        <w:rPr>
          <w:rFonts w:ascii="Garamond" w:eastAsia="Garamond" w:hAnsi="Garamond" w:cs="Garamond"/>
          <w:i/>
          <w:iCs/>
          <w:color w:val="1B2A4A"/>
          <w:sz w:val="22"/>
          <w:szCs w:val="22"/>
        </w:rPr>
        <w:t>Privacy, Property, and Security of the Home</w:t>
      </w:r>
    </w:p>
    <w:p w14:paraId="27C2D0B5" w14:textId="77777777" w:rsidR="00AF3D56" w:rsidRDefault="00000000">
      <w:pPr>
        <w:spacing w:after="120"/>
        <w:ind w:left="431"/>
        <w:jc w:val="both"/>
      </w:pPr>
      <w:r>
        <w:rPr>
          <w:rFonts w:ascii="Garamond" w:eastAsia="Garamond" w:hAnsi="Garamond" w:cs="Garamond"/>
          <w:color w:val="2A2A2A"/>
          <w:sz w:val="22"/>
          <w:szCs w:val="22"/>
        </w:rPr>
        <w:t>Every person holds the right to privacy and security in their person, home, communications, and data, and the right to own property. The home may not be entered, nor any person, communication, or data searched, surveilled, or collected by government, without consent or prior independent judicial authorization based on specific, articulable grounds. The Legislature establishes the warrant framework by statute. Encryption is lawful and may not be prohibited. The state may take private property for public use only upon payment of just compensation determined by independent process, not by the taking authority.</w:t>
      </w:r>
    </w:p>
    <w:p w14:paraId="77CD7BA7" w14:textId="77777777" w:rsidR="00AF3D56" w:rsidRDefault="00000000">
      <w:pPr>
        <w:spacing w:before="200" w:after="60"/>
        <w:ind w:left="431"/>
      </w:pPr>
      <w:r>
        <w:rPr>
          <w:rFonts w:ascii="Courier New" w:eastAsia="Courier New" w:hAnsi="Courier New" w:cs="Courier New"/>
          <w:b/>
          <w:bCs/>
          <w:color w:val="2A2A2A"/>
          <w:sz w:val="18"/>
          <w:szCs w:val="18"/>
        </w:rPr>
        <w:t xml:space="preserve">§1.9  </w:t>
      </w:r>
      <w:r>
        <w:rPr>
          <w:rFonts w:ascii="Garamond" w:eastAsia="Garamond" w:hAnsi="Garamond" w:cs="Garamond"/>
          <w:i/>
          <w:iCs/>
          <w:color w:val="1B2A4A"/>
          <w:sz w:val="22"/>
          <w:szCs w:val="22"/>
        </w:rPr>
        <w:t>Democratic Participation and Family</w:t>
      </w:r>
    </w:p>
    <w:p>
      <w:pPr>
        <w:spacing w:after="120"/>
        <w:ind w:left="431"/>
        <w:jc w:val="both"/>
      </w:pPr>
      <w:r>
        <w:rPr>
          <w:rFonts w:ascii="Garamond" w:eastAsia="Garamond" w:hAnsi="Garamond" w:cs="Garamond"/>
          <w:color w:val="2A2A2A"/>
          <w:sz w:val="22"/>
          <w:szCs w:val="22"/>
        </w:rPr>
        <w:t xml:space="preserve">Every citizen holds the right to vote, stand for office, and participate in the democratic processes of the Republic, subject to the eligibility requirements established in this constitution,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 Every person holds the right to marry and found a family, free from governmental discrimination on the basis of the characteristics listed in §1.6. Children born within and outside of formal partnership hold equal legal status.</w:t>
      </w:r>
    </w:p>
    <w:p w14:paraId="2609DD8E" w14:textId="77777777" w:rsidR="00AF3D56" w:rsidRDefault="00000000">
      <w:pPr>
        <w:spacing w:before="200" w:after="60"/>
        <w:ind w:left="431"/>
      </w:pPr>
      <w:r>
        <w:rPr>
          <w:rFonts w:ascii="Courier New" w:eastAsia="Courier New" w:hAnsi="Courier New" w:cs="Courier New"/>
          <w:b/>
          <w:bCs/>
          <w:color w:val="2A2A2A"/>
          <w:sz w:val="18"/>
          <w:szCs w:val="18"/>
        </w:rPr>
        <w:t xml:space="preserve">§1.10  </w:t>
      </w:r>
      <w:r>
        <w:rPr>
          <w:rFonts w:ascii="Garamond" w:eastAsia="Garamond" w:hAnsi="Garamond" w:cs="Garamond"/>
          <w:i/>
          <w:iCs/>
          <w:color w:val="1B2A4A"/>
          <w:sz w:val="22"/>
          <w:szCs w:val="22"/>
        </w:rPr>
        <w:t>Right to Bear Arms</w:t>
      </w:r>
    </w:p>
    <w:p w14:paraId="638565DA" w14:textId="77777777" w:rsidR="00AF3D56" w:rsidRDefault="00000000">
      <w:pPr>
        <w:spacing w:after="120"/>
        <w:ind w:left="431"/>
        <w:jc w:val="both"/>
      </w:pPr>
      <w:r>
        <w:rPr>
          <w:rFonts w:ascii="Garamond" w:eastAsia="Garamond" w:hAnsi="Garamond" w:cs="Garamond"/>
          <w:color w:val="2A2A2A"/>
          <w:sz w:val="22"/>
          <w:szCs w:val="22"/>
        </w:rPr>
        <w:t>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14:paraId="0FA15129"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Habeas Corpus</w:t>
      </w:r>
    </w:p>
    <w:p w14:paraId="3AB35A20" w14:textId="77777777" w:rsidR="00AF3D56" w:rsidRDefault="00000000">
      <w:pPr>
        <w:spacing w:after="120"/>
        <w:ind w:left="431"/>
        <w:jc w:val="both"/>
      </w:pPr>
      <w:r>
        <w:rPr>
          <w:rFonts w:ascii="Garamond" w:eastAsia="Garamond" w:hAnsi="Garamond" w:cs="Garamond"/>
          <w:color w:val="2A2A2A"/>
          <w:sz w:val="22"/>
          <w:szCs w:val="22"/>
        </w:rPr>
        <w:t>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§1.19.a.</w:t>
      </w:r>
    </w:p>
    <w:p w14:paraId="0D955B5D"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Rights of the Accused and Fair Trial</w:t>
      </w:r>
    </w:p>
    <w:p w14:paraId="35DEBB2E"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14:paraId="3CBF969F"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Right to a Public Trial</w:t>
      </w:r>
    </w:p>
    <w:p w14:paraId="1D023378"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§1.19.a.</w:t>
      </w:r>
    </w:p>
    <w:p w14:paraId="787D5709" w14:textId="77777777" w:rsidR="00AF3D56" w:rsidRDefault="00000000">
      <w:pPr>
        <w:spacing w:before="200" w:after="60"/>
        <w:ind w:left="431"/>
      </w:pPr>
      <w:r>
        <w:rPr>
          <w:rFonts w:ascii="Courier New" w:eastAsia="Courier New" w:hAnsi="Courier New" w:cs="Courier New"/>
          <w:b/>
          <w:bCs/>
          <w:color w:val="2A2A2A"/>
          <w:sz w:val="18"/>
          <w:szCs w:val="18"/>
        </w:rPr>
        <w:t xml:space="preserve">§1.14  </w:t>
      </w:r>
      <w:r>
        <w:rPr>
          <w:rFonts w:ascii="Garamond" w:eastAsia="Garamond" w:hAnsi="Garamond" w:cs="Garamond"/>
          <w:i/>
          <w:iCs/>
          <w:color w:val="1B2A4A"/>
          <w:sz w:val="22"/>
          <w:szCs w:val="22"/>
        </w:rPr>
        <w:t>Freedom from Retroactive Criminal Law</w:t>
      </w:r>
    </w:p>
    <w:p w14:paraId="7B80E94E" w14:textId="77777777" w:rsidR="00AF3D56" w:rsidRDefault="00000000">
      <w:pPr>
        <w:spacing w:after="120"/>
        <w:ind w:left="431"/>
        <w:jc w:val="both"/>
      </w:pPr>
      <w:r>
        <w:rPr>
          <w:rFonts w:ascii="Garamond" w:eastAsia="Garamond" w:hAnsi="Garamond" w:cs="Garamond"/>
          <w:color w:val="2A2A2A"/>
          <w:sz w:val="22"/>
          <w:szCs w:val="22"/>
        </w:rPr>
        <w:t>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§1.19.a.</w:t>
      </w:r>
    </w:p>
    <w:p w14:paraId="1B834AE7" w14:textId="77777777" w:rsidR="00AF3D56" w:rsidRDefault="00000000">
      <w:pPr>
        <w:spacing w:before="200" w:after="60"/>
        <w:ind w:left="431"/>
      </w:pPr>
      <w:r>
        <w:rPr>
          <w:rFonts w:ascii="Courier New" w:eastAsia="Courier New" w:hAnsi="Courier New" w:cs="Courier New"/>
          <w:b/>
          <w:bCs/>
          <w:color w:val="2A2A2A"/>
          <w:sz w:val="18"/>
          <w:szCs w:val="18"/>
        </w:rPr>
        <w:t xml:space="preserve">§1.15  </w:t>
      </w:r>
      <w:r>
        <w:rPr>
          <w:rFonts w:ascii="Garamond" w:eastAsia="Garamond" w:hAnsi="Garamond" w:cs="Garamond"/>
          <w:i/>
          <w:iCs/>
          <w:color w:val="1B2A4A"/>
          <w:sz w:val="22"/>
          <w:szCs w:val="22"/>
        </w:rPr>
        <w:t>Double Jeopardy</w:t>
      </w:r>
    </w:p>
    <w:p w14:paraId="16DD333F" w14:textId="77777777" w:rsidR="00AF3D56" w:rsidRDefault="00000000">
      <w:pPr>
        <w:spacing w:after="120"/>
        <w:ind w:left="431"/>
        <w:jc w:val="both"/>
      </w:pPr>
      <w:r>
        <w:rPr>
          <w:rFonts w:ascii="Garamond" w:eastAsia="Garamond" w:hAnsi="Garamond" w:cs="Garamond"/>
          <w:color w:val="2A2A2A"/>
          <w:sz w:val="22"/>
          <w:szCs w:val="22"/>
        </w:rPr>
        <w:lastRenderedPageBreak/>
        <w:t>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14:paraId="3F03BB9F" w14:textId="77777777" w:rsidR="00AF3D56" w:rsidRDefault="00000000">
      <w:pPr>
        <w:spacing w:before="200" w:after="60"/>
        <w:ind w:left="431"/>
      </w:pPr>
      <w:r>
        <w:rPr>
          <w:rFonts w:ascii="Courier New" w:eastAsia="Courier New" w:hAnsi="Courier New" w:cs="Courier New"/>
          <w:b/>
          <w:bCs/>
          <w:color w:val="2A2A2A"/>
          <w:sz w:val="18"/>
          <w:szCs w:val="18"/>
        </w:rPr>
        <w:t xml:space="preserve">§1.16  </w:t>
      </w:r>
      <w:r>
        <w:rPr>
          <w:rFonts w:ascii="Garamond" w:eastAsia="Garamond" w:hAnsi="Garamond" w:cs="Garamond"/>
          <w:i/>
          <w:iCs/>
          <w:color w:val="1B2A4A"/>
          <w:sz w:val="22"/>
          <w:szCs w:val="22"/>
        </w:rPr>
        <w:t>Social Assistance Floor</w:t>
      </w:r>
    </w:p>
    <w:p w14:paraId="0D41A466" w14:textId="77777777" w:rsidR="00AF3D56" w:rsidRDefault="00000000">
      <w:pPr>
        <w:spacing w:after="120"/>
        <w:ind w:left="431"/>
        <w:jc w:val="both"/>
      </w:pPr>
      <w:r>
        <w:rPr>
          <w:rFonts w:ascii="Garamond" w:eastAsia="Garamond" w:hAnsi="Garamond" w:cs="Garamond"/>
          <w:color w:val="2A2A2A"/>
          <w:sz w:val="22"/>
          <w:szCs w:val="22"/>
        </w:rPr>
        <w:t>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2A4C842B" w14:textId="77777777" w:rsidR="00AF3D56" w:rsidRDefault="00000000">
      <w:pPr>
        <w:spacing w:before="200" w:after="60"/>
        <w:ind w:left="431"/>
      </w:pPr>
      <w:r>
        <w:rPr>
          <w:rFonts w:ascii="Courier New" w:eastAsia="Courier New" w:hAnsi="Courier New" w:cs="Courier New"/>
          <w:b/>
          <w:bCs/>
          <w:color w:val="2A2A2A"/>
          <w:sz w:val="18"/>
          <w:szCs w:val="18"/>
        </w:rPr>
        <w:t xml:space="preserve">§1.17  </w:t>
      </w:r>
      <w:r>
        <w:rPr>
          <w:rFonts w:ascii="Garamond" w:eastAsia="Garamond" w:hAnsi="Garamond" w:cs="Garamond"/>
          <w:i/>
          <w:iCs/>
          <w:color w:val="1B2A4A"/>
          <w:sz w:val="22"/>
          <w:szCs w:val="22"/>
        </w:rPr>
        <w:t>Education</w:t>
      </w:r>
    </w:p>
    <w:p w14:paraId="5477386A" w14:textId="77777777" w:rsidR="00AF3D56" w:rsidRDefault="00000000">
      <w:pPr>
        <w:spacing w:after="120"/>
        <w:ind w:left="431"/>
        <w:jc w:val="both"/>
      </w:pPr>
      <w:r>
        <w:rPr>
          <w:rFonts w:ascii="Garamond" w:eastAsia="Garamond" w:hAnsi="Garamond" w:cs="Garamond"/>
          <w:color w:val="2A2A2A"/>
          <w:sz w:val="22"/>
          <w:szCs w:val="22"/>
        </w:rPr>
        <w:t>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7CBC2FB1" w14:textId="77777777" w:rsidR="00AF3D56" w:rsidRDefault="00000000">
      <w:pPr>
        <w:spacing w:before="200" w:after="60"/>
        <w:ind w:left="431"/>
      </w:pPr>
      <w:r>
        <w:rPr>
          <w:rFonts w:ascii="Courier New" w:eastAsia="Courier New" w:hAnsi="Courier New" w:cs="Courier New"/>
          <w:b/>
          <w:bCs/>
          <w:color w:val="2A2A2A"/>
          <w:sz w:val="18"/>
          <w:szCs w:val="18"/>
        </w:rPr>
        <w:t xml:space="preserve">§1.18  </w:t>
      </w:r>
      <w:r>
        <w:rPr>
          <w:rFonts w:ascii="Garamond" w:eastAsia="Garamond" w:hAnsi="Garamond" w:cs="Garamond"/>
          <w:i/>
          <w:iCs/>
          <w:color w:val="1B2A4A"/>
          <w:sz w:val="22"/>
          <w:szCs w:val="22"/>
        </w:rPr>
        <w:t>Environmental Obligations</w:t>
      </w:r>
    </w:p>
    <w:p w14:paraId="5A7E9CCC" w14:textId="77777777" w:rsidR="00AF3D56" w:rsidRDefault="00000000">
      <w:pPr>
        <w:spacing w:after="120"/>
        <w:ind w:left="431"/>
        <w:jc w:val="both"/>
      </w:pPr>
      <w:r>
        <w:rPr>
          <w:rFonts w:ascii="Garamond" w:eastAsia="Garamond" w:hAnsi="Garamond" w:cs="Garamond"/>
          <w:color w:val="2A2A2A"/>
          <w:sz w:val="22"/>
          <w:szCs w:val="22"/>
        </w:rPr>
        <w:t>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14:paraId="465235EB" w14:textId="77777777" w:rsidR="00AF3D56" w:rsidRDefault="00000000">
      <w:pPr>
        <w:spacing w:before="200" w:after="60"/>
        <w:ind w:left="431"/>
      </w:pPr>
      <w:r>
        <w:rPr>
          <w:rFonts w:ascii="Courier New" w:eastAsia="Courier New" w:hAnsi="Courier New" w:cs="Courier New"/>
          <w:b/>
          <w:bCs/>
          <w:color w:val="2A2A2A"/>
          <w:sz w:val="18"/>
          <w:szCs w:val="18"/>
        </w:rPr>
        <w:t xml:space="preserve">§1.19  </w:t>
      </w:r>
      <w:r>
        <w:rPr>
          <w:rFonts w:ascii="Garamond" w:eastAsia="Garamond" w:hAnsi="Garamond" w:cs="Garamond"/>
          <w:i/>
          <w:iCs/>
          <w:color w:val="1B2A4A"/>
          <w:sz w:val="22"/>
          <w:szCs w:val="22"/>
        </w:rPr>
        <w:t>Emergency Derogation</w:t>
      </w:r>
    </w:p>
    <w:p w14:paraId="5AEB6338" w14:textId="77777777" w:rsidR="00AF3D56" w:rsidRDefault="00000000">
      <w:pPr>
        <w:spacing w:after="120"/>
        <w:ind w:left="431"/>
        <w:jc w:val="both"/>
      </w:pPr>
      <w:r>
        <w:rPr>
          <w:rFonts w:ascii="Garamond" w:eastAsia="Garamond" w:hAnsi="Garamond" w:cs="Garamond"/>
          <w:color w:val="2A2A2A"/>
          <w:sz w:val="22"/>
          <w:szCs w:val="22"/>
        </w:rPr>
        <w:t>No emergency — however severe — suspends the Individual Sovereignty Floor in full. Temporary derogation of certain rights is permitted only under the strict conditions of this section; the rights enumerated in §1.19.a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 A derogation declaration may be issued by either executive acting within their constitutional domain under §2.1 and §2.5, effective on NRS publication, for a period not to exceed 14 days; an executive declaration may not be renewed, extended, or reissued for substantially the same emergency by executive act. Derogation beyond 14 days requires a statute enacted through the ordinary legislative process; the statute must state a fixed expiration date and may not be extended. Upon expiration of any declaration, all derogation measures lapse under §1.19.b.</w:t>
      </w:r>
    </w:p>
    <w:p w14:paraId="134A35EF" w14:textId="77777777" w:rsidR="00AF3D56" w:rsidRDefault="00000000">
      <w:pPr>
        <w:spacing w:before="200" w:after="60"/>
        <w:ind w:left="431"/>
      </w:pPr>
      <w:r>
        <w:rPr>
          <w:rFonts w:ascii="Courier New" w:eastAsia="Courier New" w:hAnsi="Courier New" w:cs="Courier New"/>
          <w:b/>
          <w:bCs/>
          <w:color w:val="2A2A2A"/>
          <w:sz w:val="18"/>
          <w:szCs w:val="18"/>
        </w:rPr>
        <w:t xml:space="preserve">§1.19.a  </w:t>
      </w:r>
      <w:r>
        <w:rPr>
          <w:rFonts w:ascii="Garamond" w:eastAsia="Garamond" w:hAnsi="Garamond" w:cs="Garamond"/>
          <w:i/>
          <w:iCs/>
          <w:color w:val="1B2A4A"/>
          <w:sz w:val="22"/>
          <w:szCs w:val="22"/>
        </w:rPr>
        <w:t>Non-Derogable Rights</w:t>
      </w:r>
    </w:p>
    <w:p w14:paraId="2103DC74" w14:textId="77777777" w:rsidR="00AF3D56" w:rsidRDefault="00000000">
      <w:pPr>
        <w:spacing w:after="120"/>
        <w:ind w:left="431"/>
        <w:jc w:val="both"/>
      </w:pPr>
      <w:r>
        <w:rPr>
          <w:rFonts w:ascii="Garamond" w:eastAsia="Garamond" w:hAnsi="Garamond" w:cs="Garamond"/>
          <w:color w:val="2A2A2A"/>
          <w:sz w:val="22"/>
          <w:szCs w:val="22"/>
        </w:rPr>
        <w:t>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14:paraId="2C2D24AF" w14:textId="77777777" w:rsidR="00AF3D56" w:rsidRDefault="00000000">
      <w:pPr>
        <w:spacing w:before="200" w:after="60"/>
        <w:ind w:left="431"/>
      </w:pPr>
      <w:r>
        <w:rPr>
          <w:rFonts w:ascii="Courier New" w:eastAsia="Courier New" w:hAnsi="Courier New" w:cs="Courier New"/>
          <w:b/>
          <w:bCs/>
          <w:color w:val="2A2A2A"/>
          <w:sz w:val="18"/>
          <w:szCs w:val="18"/>
        </w:rPr>
        <w:t xml:space="preserve">§1.19.b  </w:t>
      </w:r>
      <w:r>
        <w:rPr>
          <w:rFonts w:ascii="Garamond" w:eastAsia="Garamond" w:hAnsi="Garamond" w:cs="Garamond"/>
          <w:i/>
          <w:iCs/>
          <w:color w:val="1B2A4A"/>
          <w:sz w:val="22"/>
          <w:szCs w:val="22"/>
        </w:rPr>
        <w:t>Emergency Declaration Lifecycle</w:t>
      </w:r>
    </w:p>
    <w:p w14:paraId="5AE51F8B" w14:textId="77777777" w:rsidR="00AF3D56" w:rsidRDefault="00000000">
      <w:pPr>
        <w:spacing w:after="120"/>
        <w:ind w:left="431"/>
        <w:jc w:val="both"/>
      </w:pPr>
      <w:r>
        <w:rPr>
          <w:rFonts w:ascii="Garamond" w:eastAsia="Garamond" w:hAnsi="Garamond" w:cs="Garamond"/>
          <w:color w:val="2A2A2A"/>
          <w:sz w:val="22"/>
          <w:szCs w:val="22"/>
        </w:rPr>
        <w:t xml:space="preserve">Emergency measures lapse automatically at the expiry of the Declaration. No Declaration — executive or statutory — may be extended; every Declaration expires on the terms stated at its issuance. Judicial review of any emergency measure is available to any citizen at any time, and </w:t>
        <w:lastRenderedPageBreak/>
        <w:t>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14:paraId="22F80CC3" w14:textId="77777777" w:rsidR="00AF3D56" w:rsidRDefault="00000000">
      <w:pPr>
        <w:spacing w:before="200" w:after="60"/>
        <w:ind w:left="431"/>
      </w:pPr>
      <w:r>
        <w:rPr>
          <w:rFonts w:ascii="Courier New" w:eastAsia="Courier New" w:hAnsi="Courier New" w:cs="Courier New"/>
          <w:b/>
          <w:bCs/>
          <w:color w:val="2A2A2A"/>
          <w:sz w:val="18"/>
          <w:szCs w:val="18"/>
        </w:rPr>
        <w:t xml:space="preserve">§1.20  </w:t>
      </w:r>
      <w:r>
        <w:rPr>
          <w:rFonts w:ascii="Garamond" w:eastAsia="Garamond" w:hAnsi="Garamond" w:cs="Garamond"/>
          <w:i/>
          <w:iCs/>
          <w:color w:val="1B2A4A"/>
          <w:sz w:val="22"/>
          <w:szCs w:val="22"/>
        </w:rPr>
        <w:t>Right to Seek Asylum</w:t>
      </w:r>
    </w:p>
    <w:p w14:paraId="210E5295" w14:textId="77777777" w:rsidR="00AF3D56" w:rsidRDefault="00000000">
      <w:pPr>
        <w:spacing w:after="120"/>
        <w:ind w:left="431"/>
        <w:jc w:val="both"/>
      </w:pPr>
      <w:r>
        <w:rPr>
          <w:rFonts w:ascii="Garamond" w:eastAsia="Garamond" w:hAnsi="Garamond" w:cs="Garamond"/>
          <w:color w:val="2A2A2A"/>
          <w:sz w:val="22"/>
          <w:szCs w:val="22"/>
        </w:rPr>
        <w:t>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14:paraId="3D82EB6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Non-Refoulement</w:t>
      </w:r>
    </w:p>
    <w:p w14:paraId="628CCC7E"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§1.19.a.</w:t>
      </w:r>
    </w:p>
    <w:p w14:paraId="432EEB6F" w14:textId="77777777" w:rsidR="00CD141D" w:rsidRDefault="00CD141D">
      <w:pPr>
        <w:spacing w:after="120"/>
        <w:ind w:left="431"/>
        <w:jc w:val="both"/>
        <w:rPr>
          <w:rFonts w:ascii="Garamond" w:eastAsia="Garamond" w:hAnsi="Garamond" w:cs="Garamond"/>
          <w:color w:val="2A2A2A"/>
          <w:sz w:val="22"/>
          <w:szCs w:val="22"/>
        </w:rPr>
      </w:pP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Official Capacity Protection</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Constitutional officers and persons acting within the authority of a constitutional office in the performance of official functions hold protection from civil proceedings arising from those official acts. This protection does not extend to criminal conduct, acts performed outside official capacity or authority, or acts that violate any provision of this constitution. Nothing in this provision bars legal remedies otherwise available under this constitution or statute.</w:t>
      </w: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Separation of Branch Authority</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 xml:space="preserve">No person may exercise the voting or decisional authority of more than one branch of government at the same time; a person holding or acting in an office of one branch may not cast a vote or exercise a decisional power reserved to another branch for so long as they hold or act in that office. This section does not bar a person from holding a seat that carries no exercisable vote during such service, nor from resuming an office or vote upon leaving the position that created the conflict.</w:t>
      </w:r>
    </w:p>
    <w:p w14:paraId="285F4CDF" w14:textId="77777777" w:rsidR="00CD141D" w:rsidRDefault="00CD141D" w:rsidP="00CD141D">
      <w:pPr>
        <w:spacing w:before="200" w:after="60"/>
        <w:ind w:left="431"/>
      </w:pPr>
    </w:p>
    <w:p w14:paraId="0E0AE5FC" w14:textId="77777777" w:rsidR="00CD141D" w:rsidRDefault="00CD141D">
      <w:pPr>
        <w:spacing w:after="120"/>
        <w:ind w:left="431"/>
        <w:jc w:val="both"/>
      </w:pPr>
    </w:p>
    <w:p w14:paraId="4E8DD8F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 — The Dual Executive</w:t>
      </w:r>
    </w:p>
    <w:p w14:paraId="32C93161" w14:textId="77777777" w:rsidR="00AF3D56" w:rsidRDefault="00000000">
      <w:pPr>
        <w:spacing w:before="200" w:after="60"/>
        <w:ind w:left="431"/>
      </w:pPr>
      <w:r>
        <w:rPr>
          <w:rFonts w:ascii="Courier New" w:eastAsia="Courier New" w:hAnsi="Courier New" w:cs="Courier New"/>
          <w:b/>
          <w:bCs/>
          <w:color w:val="2A2A2A"/>
          <w:sz w:val="18"/>
          <w:szCs w:val="18"/>
        </w:rPr>
        <w:t xml:space="preserve">§2.1  </w:t>
      </w:r>
      <w:r>
        <w:rPr>
          <w:rFonts w:ascii="Garamond" w:eastAsia="Garamond" w:hAnsi="Garamond" w:cs="Garamond"/>
          <w:i/>
          <w:iCs/>
          <w:color w:val="1B2A4A"/>
          <w:sz w:val="22"/>
          <w:szCs w:val="22"/>
        </w:rPr>
        <w:t>The Legat Consul — Domain and Term</w:t>
      </w:r>
    </w:p>
    <w:p>
      <w:pPr>
        <w:spacing w:after="120"/>
        <w:ind w:left="431"/>
        <w:jc w:val="both"/>
      </w:pPr>
      <w:r>
        <w:rPr>
          <w:rFonts w:ascii="Garamond" w:eastAsia="Garamond" w:hAnsi="Garamond" w:cs="Garamond"/>
          <w:color w:val="2A2A2A"/>
          <w:sz w:val="22"/>
          <w:szCs w:val="22"/>
        </w:rPr>
        <w:t xml:space="preserve">To hold the office of Legat Consul, a person must have been a citizen for at least 7 years at the time of taking office. Eligibility and disclosure requirements applicable to all federal offices are established in §7.4.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relations with recognized indigenous nations under Article XVI, including recognition determinations under §16.4;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Either executive may petition the SC under its original jurisdiction in §4.5 for domain determination. During active military operations, the Legat Consul's domain governs operational decisions. The Legat Consul serves a single non-renewable term of six years. No person who has served an elected term as Legat Consul may again hold the office of Legat Consul or exercise its authority; the bar is a lifetime bar. Service as a successor under §2.9 does not constitute an elected term for this purpose. Upon expiration of the term, all authority transfers immediately to the incoming Legat Consul. The outgoing Legat Consul retains no access to classified information, government systems, or official functions beyond the time of transfer.</w:t>
      </w:r>
    </w:p>
    <w:p w14:paraId="7D29BD50" w14:textId="77777777" w:rsidR="00AF3D56" w:rsidRDefault="00000000">
      <w:pPr>
        <w:spacing w:before="200" w:after="60"/>
        <w:ind w:left="431"/>
      </w:pPr>
      <w:r>
        <w:rPr>
          <w:rFonts w:ascii="Courier New" w:eastAsia="Courier New" w:hAnsi="Courier New" w:cs="Courier New"/>
          <w:b/>
          <w:bCs/>
          <w:color w:val="2A2A2A"/>
          <w:sz w:val="18"/>
          <w:szCs w:val="18"/>
        </w:rPr>
        <w:t xml:space="preserve">§2.2  </w:t>
      </w:r>
      <w:r>
        <w:rPr>
          <w:rFonts w:ascii="Garamond" w:eastAsia="Garamond" w:hAnsi="Garamond" w:cs="Garamond"/>
          <w:i/>
          <w:iCs/>
          <w:color w:val="1B2A4A"/>
          <w:sz w:val="22"/>
          <w:szCs w:val="22"/>
        </w:rPr>
        <w:t>Military Authorization Framework</w:t>
      </w:r>
    </w:p>
    <w:p w14:paraId="4550A584" w14:textId="77777777" w:rsidR="00AF3D56" w:rsidRDefault="00000000">
      <w:pPr>
        <w:spacing w:after="120"/>
        <w:ind w:left="431"/>
        <w:jc w:val="both"/>
      </w:pPr>
      <w:r>
        <w:rPr>
          <w:rFonts w:ascii="Garamond" w:eastAsia="Garamond" w:hAnsi="Garamond" w:cs="Garamond"/>
          <w:color w:val="2A2A2A"/>
          <w:sz w:val="22"/>
          <w:szCs w:val="22"/>
        </w:rPr>
        <w:t>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14:paraId="41EA91BE" w14:textId="77777777" w:rsidR="00AF3D56" w:rsidRDefault="00000000">
      <w:pPr>
        <w:spacing w:before="200" w:after="60"/>
        <w:ind w:left="431"/>
      </w:pPr>
      <w:r>
        <w:rPr>
          <w:rFonts w:ascii="Courier New" w:eastAsia="Courier New" w:hAnsi="Courier New" w:cs="Courier New"/>
          <w:b/>
          <w:bCs/>
          <w:color w:val="2A2A2A"/>
          <w:sz w:val="18"/>
          <w:szCs w:val="18"/>
        </w:rPr>
        <w:t xml:space="preserve">§2.3  </w:t>
      </w:r>
      <w:r>
        <w:rPr>
          <w:rFonts w:ascii="Garamond" w:eastAsia="Garamond" w:hAnsi="Garamond" w:cs="Garamond"/>
          <w:i/>
          <w:iCs/>
          <w:color w:val="1B2A4A"/>
          <w:sz w:val="22"/>
          <w:szCs w:val="22"/>
        </w:rPr>
        <w:t>Consular Intelligence and Veto</w:t>
      </w:r>
    </w:p>
    <w:p w14:paraId="5EE6093A" w14:textId="77777777" w:rsidR="00AF3D56" w:rsidRDefault="00000000">
      <w:pPr>
        <w:spacing w:after="120"/>
        <w:ind w:left="431"/>
        <w:jc w:val="both"/>
      </w:pPr>
      <w:r>
        <w:rPr>
          <w:rFonts w:ascii="Garamond" w:eastAsia="Garamond" w:hAnsi="Garamond" w:cs="Garamond"/>
          <w:color w:val="2A2A2A"/>
          <w:sz w:val="22"/>
          <w:szCs w:val="22"/>
        </w:rPr>
        <w:t>The Legat Consul directs foreign intelligence. No intelligence operation may be conducted against Republic citizens within Republic territory on the Legat Consul's authority; such operations require independent judicial authorization.</w:t>
      </w:r>
    </w:p>
    <w:p w14:paraId="39FCE2CB" w14:textId="77777777" w:rsidR="00AF3D56" w:rsidRDefault="00000000">
      <w:pPr>
        <w:spacing w:before="200" w:after="60"/>
        <w:ind w:left="431"/>
      </w:pPr>
      <w:r>
        <w:rPr>
          <w:rFonts w:ascii="Courier New" w:eastAsia="Courier New" w:hAnsi="Courier New" w:cs="Courier New"/>
          <w:b/>
          <w:bCs/>
          <w:color w:val="2A2A2A"/>
          <w:sz w:val="18"/>
          <w:szCs w:val="18"/>
        </w:rPr>
        <w:t xml:space="preserve">§2.3.a  </w:t>
      </w:r>
      <w:r>
        <w:rPr>
          <w:rFonts w:ascii="Garamond" w:eastAsia="Garamond" w:hAnsi="Garamond" w:cs="Garamond"/>
          <w:i/>
          <w:iCs/>
          <w:color w:val="1B2A4A"/>
          <w:sz w:val="22"/>
          <w:szCs w:val="22"/>
        </w:rPr>
        <w:t>Legat Consul Legislative Veto</w:t>
      </w:r>
    </w:p>
    <w:p w14:paraId="35954EBA" w14:textId="77777777" w:rsidR="00AF3D56" w:rsidRDefault="00000000">
      <w:pPr>
        <w:spacing w:after="120"/>
        <w:ind w:left="431"/>
        <w:jc w:val="both"/>
      </w:pPr>
      <w:r>
        <w:rPr>
          <w:rFonts w:ascii="Garamond" w:eastAsia="Garamond" w:hAnsi="Garamond" w:cs="Garamond"/>
          <w:color w:val="2A2A2A"/>
          <w:sz w:val="22"/>
          <w:szCs w:val="22"/>
        </w:rPr>
        <w:t>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is enacted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at any time during that session; where no override occurs, the bill lapses for that session.</w:t>
      </w:r>
    </w:p>
    <w:p w14:paraId="3BFA0C43" w14:textId="77777777" w:rsidR="00AF3D56" w:rsidRDefault="00000000">
      <w:pPr>
        <w:spacing w:before="200" w:after="60"/>
        <w:ind w:left="431"/>
      </w:pPr>
      <w:r>
        <w:rPr>
          <w:rFonts w:ascii="Courier New" w:eastAsia="Courier New" w:hAnsi="Courier New" w:cs="Courier New"/>
          <w:b/>
          <w:bCs/>
          <w:color w:val="2A2A2A"/>
          <w:sz w:val="18"/>
          <w:szCs w:val="18"/>
        </w:rPr>
        <w:t xml:space="preserve">§2.4  </w:t>
      </w:r>
      <w:r>
        <w:rPr>
          <w:rFonts w:ascii="Garamond" w:eastAsia="Garamond" w:hAnsi="Garamond" w:cs="Garamond"/>
          <w:i/>
          <w:iCs/>
          <w:color w:val="1B2A4A"/>
          <w:sz w:val="22"/>
          <w:szCs w:val="22"/>
        </w:rPr>
        <w:t>Legat Consul International Agreements</w:t>
      </w:r>
    </w:p>
    <w:p w14:paraId="02B54641" w14:textId="77777777" w:rsidR="00AF3D56" w:rsidRDefault="00000000">
      <w:pPr>
        <w:spacing w:after="120"/>
        <w:ind w:left="431"/>
        <w:jc w:val="both"/>
      </w:pPr>
      <w:r>
        <w:rPr>
          <w:rFonts w:ascii="Garamond" w:eastAsia="Garamond" w:hAnsi="Garamond" w:cs="Garamond"/>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w:t>
        <w:lastRenderedPageBreak/>
        <w:t>candidates maintained by the Elections Panel under §9.8. The Legislature defines qualifications and confirmation procedures for each office by statute; acting appointments may be made pending confirmation for the period and under the conditions the Legislature defines. A domain officer is a person appointed by the Legat Consul to exercise a portion of the Legat Consul's constitutional domain authority and confirmed by the Senate; persons employed in the civil service or military under a domain officer's direction are not domain officers. The Senate may remove a domain officer by majority of full seated membership; the grounds are stated and published to the NRS. The Legat Consul may dismiss a domain officer at any time, published to the NRS.</w:t>
      </w:r>
    </w:p>
    <w:p w14:paraId="7F54CBE7" w14:textId="77777777" w:rsidR="00AF3D56" w:rsidRDefault="00000000">
      <w:pPr>
        <w:spacing w:before="200" w:after="60"/>
        <w:ind w:left="431"/>
      </w:pPr>
      <w:r>
        <w:rPr>
          <w:rFonts w:ascii="Courier New" w:eastAsia="Courier New" w:hAnsi="Courier New" w:cs="Courier New"/>
          <w:b/>
          <w:bCs/>
          <w:color w:val="2A2A2A"/>
          <w:sz w:val="18"/>
          <w:szCs w:val="18"/>
        </w:rPr>
        <w:t xml:space="preserve">§2.5  </w:t>
      </w:r>
      <w:r>
        <w:rPr>
          <w:rFonts w:ascii="Garamond" w:eastAsia="Garamond" w:hAnsi="Garamond" w:cs="Garamond"/>
          <w:i/>
          <w:iCs/>
          <w:color w:val="1B2A4A"/>
          <w:sz w:val="22"/>
          <w:szCs w:val="22"/>
        </w:rPr>
        <w:t>The Civic Consul — Domain and Term</w:t>
      </w:r>
    </w:p>
    <w:p>
      <w:pPr>
        <w:spacing w:after="120"/>
        <w:ind w:left="431"/>
        <w:jc w:val="both"/>
      </w:pPr>
      <w:r>
        <w:rPr>
          <w:rFonts w:ascii="Garamond" w:eastAsia="Garamond" w:hAnsi="Garamond" w:cs="Garamond"/>
          <w:color w:val="2A2A2A"/>
          <w:sz w:val="22"/>
          <w:szCs w:val="22"/>
        </w:rPr>
        <w:t xml:space="preserve">(1) The Civic Consul holds residual executive authority over all functions not enumerated to the Legat Consul. To hold the office of Civic Consul, a person must be a serving member of the Assembly at the time of election as required by §2.6. Eligibility and disclosure requirements applicable to all federal offices are established in §7.4. No other eligibility requirement applies. The Civic Consul serves at the confidence of the Assembly, subject to removal under §2.6.</w:t>
      </w:r>
    </w:p>
    <w:p>
      <w:pPr>
        <w:spacing w:after="120"/>
        <w:ind w:left="431"/>
        <w:jc w:val="both"/>
      </w:pPr>
      <w:r>
        <w:rPr>
          <w:rFonts w:ascii="Garamond" w:eastAsia="Garamond" w:hAnsi="Garamond" w:cs="Garamond"/>
          <w:color w:val="2A2A2A"/>
          <w:sz w:val="22"/>
          <w:szCs w:val="22"/>
        </w:rPr>
        <w:t xml:space="preserve">(2) No person may serve more than 8 years as Civic Consul across all periods of service; the limit is a lifetime maximum. Service in an acting capacity does not count toward this limit. A person who leaves the office of Civic Consul may not serve again as Civic Consul until one full Assembly electoral cycle has passed since they left the office; during that interval they may hold an Assembly seat but may not be elected or designated Civic Consul.</w:t>
      </w:r>
    </w:p>
    <w:p>
      <w:pPr>
        <w:spacing w:after="120"/>
        <w:ind w:left="431"/>
        <w:jc w:val="both"/>
      </w:pPr>
      <w:r>
        <w:rPr>
          <w:rFonts w:ascii="Garamond" w:eastAsia="Garamond" w:hAnsi="Garamond" w:cs="Garamond"/>
          <w:color w:val="2A2A2A"/>
          <w:sz w:val="22"/>
          <w:szCs w:val="22"/>
        </w:rPr>
        <w:t xml:space="preserve">(3) The Civic Consul's domestic authority includes:</w:t>
      </w:r>
    </w:p>
    <w:p>
      <w:pPr>
        <w:spacing w:after="120"/>
        <w:ind w:left="431"/>
        <w:jc w:val="both"/>
      </w:pPr>
      <w:r>
        <w:rPr>
          <w:rFonts w:ascii="Garamond" w:eastAsia="Garamond" w:hAnsi="Garamond" w:cs="Garamond"/>
          <w:color w:val="2A2A2A"/>
          <w:sz w:val="22"/>
          <w:szCs w:val="22"/>
        </w:rPr>
        <w:t xml:space="preserve">— all domestic policy and regulatory frameworks;</w:t>
      </w:r>
    </w:p>
    <w:p>
      <w:pPr>
        <w:spacing w:after="120"/>
        <w:ind w:left="431"/>
        <w:jc w:val="both"/>
      </w:pPr>
      <w:r>
        <w:rPr>
          <w:rFonts w:ascii="Garamond" w:eastAsia="Garamond" w:hAnsi="Garamond" w:cs="Garamond"/>
          <w:color w:val="2A2A2A"/>
          <w:sz w:val="22"/>
          <w:szCs w:val="22"/>
        </w:rPr>
        <w:t xml:space="preserve">— preparation of a proposed budget for the civic domain, submitted to the Assembly under §12.2;</w:t>
      </w:r>
    </w:p>
    <w:p>
      <w:pPr>
        <w:spacing w:after="120"/>
        <w:ind w:left="431"/>
        <w:jc w:val="both"/>
      </w:pPr>
      <w:r>
        <w:rPr>
          <w:rFonts w:ascii="Garamond" w:eastAsia="Garamond" w:hAnsi="Garamond" w:cs="Garamond"/>
          <w:color w:val="2A2A2A"/>
          <w:sz w:val="22"/>
          <w:szCs w:val="22"/>
        </w:rPr>
        <w:t xml:space="preserve">— the civil service;</w:t>
      </w:r>
    </w:p>
    <w:p>
      <w:pPr>
        <w:spacing w:after="120"/>
        <w:ind w:left="431"/>
        <w:jc w:val="both"/>
      </w:pPr>
      <w:r>
        <w:rPr>
          <w:rFonts w:ascii="Garamond" w:eastAsia="Garamond" w:hAnsi="Garamond" w:cs="Garamond"/>
          <w:color w:val="2A2A2A"/>
          <w:sz w:val="22"/>
          <w:szCs w:val="22"/>
        </w:rPr>
        <w:t xml:space="preserve">— and administration of the social state under Article XII.</w:t>
      </w:r>
    </w:p>
    <w:p>
      <w:pPr>
        <w:spacing w:after="120"/>
        <w:ind w:left="431"/>
        <w:jc w:val="both"/>
      </w:pPr>
      <w:r>
        <w:rPr>
          <w:rFonts w:ascii="Garamond" w:eastAsia="Garamond" w:hAnsi="Garamond" w:cs="Garamond"/>
          <w:color w:val="2A2A2A"/>
          <w:sz w:val="22"/>
          <w:szCs w:val="22"/>
        </w:rPr>
        <w:t xml:space="preserve">(4) The Civic Consul may declare a domestic emergency in response to natural disaster, public health crisis, or infrastructure failure, subject to the constraints of Article I and renewable by Assembly approval at intervals defined by statute; in the absence of a statutory interval, the constitutional default is 30 days. The Legat Consul has no role in domestic emergencies.</w:t>
      </w:r>
    </w:p>
    <w:p>
      <w:pPr>
        <w:spacing w:after="120"/>
        <w:ind w:left="431"/>
        <w:jc w:val="both"/>
      </w:pPr>
      <w:r>
        <w:rPr>
          <w:rFonts w:ascii="Garamond" w:eastAsia="Garamond" w:hAnsi="Garamond" w:cs="Garamond"/>
          <w:color w:val="2A2A2A"/>
          <w:sz w:val="22"/>
          <w:szCs w:val="22"/>
        </w:rPr>
        <w:t xml:space="preserve">(5)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treaty and compact negotiations with recognized indigenous nations where their terms bear on domestic interests; the Civic Consul's response is advisory.</w:t>
      </w:r>
    </w:p>
    <w:p>
      <w:pPr>
        <w:spacing w:after="120"/>
        <w:ind w:left="431"/>
        <w:jc w:val="both"/>
      </w:pPr>
      <w:r>
        <w:rPr>
          <w:rFonts w:ascii="Garamond" w:eastAsia="Garamond" w:hAnsi="Garamond" w:cs="Garamond"/>
          <w:color w:val="2A2A2A"/>
          <w:sz w:val="22"/>
          <w:szCs w:val="22"/>
        </w:rPr>
        <w:t xml:space="preserve">(6) Where the Civic Consul is temporarily unable to exercise authority as determined under §2.16, acting authority vests by constitutional operation in accordance with the following order: (i) the Assembly Speaker; (ii) persons holding offices designated by statute for this purpose, in the order so established; (iii) the most senior Assembly member by continuous service; where two or more members have equal continuous service, the tiebreaker is determined by statute. A person in the order of succession may decline under §2.16(4). The person last in the order may not decline. While serving in an acting executive capacity under this subsection, the acting officer may not exercise any legislative function; the officer retains their Assembly seat and any Assembly office held, and the Assembly provides for the exercise of those functions during that period under its internal procedures. Acting service neither extends nor suspends the officer's electoral mandate; where the acting officer ceases to be a member of the Assembly, acting authority passes by constitutional operation to the next person in the order of succession then qualified. Acting status ends when the Civic Consul's incapacity ends under §2.16(3) or a new Civic Consul is elected under §2.6; the acting officer's legislative functions resume at that moment.</w:t>
      </w:r>
    </w:p>
    <w:p>
      <w:pPr>
        <w:spacing w:after="120"/>
        <w:ind w:left="431"/>
        <w:jc w:val="both"/>
      </w:pPr>
      <w:r>
        <w:rPr>
          <w:rFonts w:ascii="Garamond" w:eastAsia="Garamond" w:hAnsi="Garamond" w:cs="Garamond"/>
          <w:color w:val="2A2A2A"/>
          <w:sz w:val="22"/>
          <w:szCs w:val="22"/>
        </w:rPr>
        <w:t xml:space="preserve">(7) The Civic Consul appoints ministers to lead the departments of the civic domain; ministerial portfolios are defined by statute. Ministers serve at the pleasure of the Civic Consul and require no confirmation; appointments and dismissals are published to the NRS. A minister's service ends when the Civic Consul leaves office; ministers continue in a caretaker capacity, limited to maintaining existing policy, until the incoming Civic Consul's ministers are appointed.</w:t>
      </w:r>
    </w:p>
    <w:p w14:paraId="16EAE3DB" w14:textId="77777777" w:rsidR="00AF3D56" w:rsidRDefault="00000000">
      <w:pPr>
        <w:spacing w:before="200" w:after="60"/>
        <w:ind w:left="431"/>
      </w:pPr>
      <w:r>
        <w:rPr>
          <w:rFonts w:ascii="Courier New" w:eastAsia="Courier New" w:hAnsi="Courier New" w:cs="Courier New"/>
          <w:b/>
          <w:bCs/>
          <w:color w:val="2A2A2A"/>
          <w:sz w:val="18"/>
          <w:szCs w:val="18"/>
        </w:rPr>
        <w:t xml:space="preserve">§2.6  </w:t>
      </w:r>
      <w:r>
        <w:rPr>
          <w:rFonts w:ascii="Garamond" w:eastAsia="Garamond" w:hAnsi="Garamond" w:cs="Garamond"/>
          <w:i/>
          <w:iCs/>
          <w:color w:val="1B2A4A"/>
          <w:sz w:val="22"/>
          <w:szCs w:val="22"/>
        </w:rPr>
        <w:t>Constructive Vote of No Confidence</w:t>
      </w:r>
    </w:p>
    <w:p>
      <w:pPr>
        <w:spacing w:after="120"/>
        <w:ind w:left="431"/>
        <w:jc w:val="both"/>
      </w:pPr>
      <w:r>
        <w:rPr>
          <w:rFonts w:ascii="Garamond" w:eastAsia="Garamond" w:hAnsi="Garamond" w:cs="Garamond"/>
          <w:color w:val="2A2A2A"/>
          <w:sz w:val="22"/>
          <w:szCs w:val="22"/>
        </w:rPr>
        <w:t xml:space="preserve">(1) 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Grounds for the vote are published to the NRS; the vote is a political act and is not subject to judicial review.</w:t>
      </w:r>
    </w:p>
    <w:p>
      <w:pPr>
        <w:spacing w:after="120"/>
        <w:ind w:left="431"/>
        <w:jc w:val="both"/>
      </w:pPr>
      <w:r>
        <w:rPr>
          <w:rFonts w:ascii="Garamond" w:eastAsia="Garamond" w:hAnsi="Garamond" w:cs="Garamond"/>
          <w:color w:val="2A2A2A"/>
          <w:sz w:val="22"/>
          <w:szCs w:val="22"/>
        </w:rPr>
        <w:t xml:space="preserve">(2) A person must be a serving member of the Assembly to be elected Civic Consul. On election as Civic Consul the person vacates their Assembly seat, which is filled under §3.2 as a mid-term vacancy; that Assembly term is deemed fully served by the departing member for purposes of the consecutive-term limit under §3.2.</w:t>
      </w:r>
    </w:p>
    <w:p>
      <w:pPr>
        <w:spacing w:after="120"/>
        <w:ind w:left="431"/>
        <w:jc w:val="both"/>
      </w:pPr>
      <w:r>
        <w:rPr>
          <w:rFonts w:ascii="Garamond" w:eastAsia="Garamond" w:hAnsi="Garamond" w:cs="Garamond"/>
          <w:color w:val="2A2A2A"/>
          <w:sz w:val="22"/>
          <w:szCs w:val="22"/>
        </w:rPr>
        <w:t xml:space="preserve">(3) While in office the Civic Consul holds the ceremonial seat of the office of Civic Consul, which carries the right to sit, speak, and be held to account in the Assembly but carries no vote; the Civic Consul exercises no legislative vote while in office, consistent with §1.23. The ceremonial seat is not counted in the full seated membership of the Assembly for quorum or any voting threshold.</w:t>
      </w:r>
    </w:p>
    <w:p>
      <w:pPr>
        <w:spacing w:after="120"/>
        <w:ind w:left="431"/>
        <w:jc w:val="both"/>
      </w:pPr>
      <w:r>
        <w:rPr>
          <w:rFonts w:ascii="Garamond" w:eastAsia="Garamond" w:hAnsi="Garamond" w:cs="Garamond"/>
          <w:color w:val="2A2A2A"/>
          <w:sz w:val="22"/>
          <w:szCs w:val="22"/>
        </w:rPr>
        <w:t xml:space="preserve">(4) This section governs a person elected or installed to the office of Civic Consul; the Assembly Speaker serving as Acting Civic Consul under §2.5 or §2.6.a retains their own Assembly seat and does not vacate it.</w:t>
      </w:r>
    </w:p>
    <w:p>
      <w:pPr>
        <w:spacing w:after="120"/>
        <w:ind w:left="431"/>
        <w:jc w:val="both"/>
      </w:pPr>
      <w:r>
        <w:rPr>
          <w:rFonts w:ascii="Garamond" w:eastAsia="Garamond" w:hAnsi="Garamond" w:cs="Garamond"/>
          <w:color w:val="2A2A2A"/>
          <w:sz w:val="22"/>
          <w:szCs w:val="22"/>
        </w:rPr>
        <w:t xml:space="preserve">(5) The Civic Consul serves until removed under this section, until the expiration of the consecutive-service limit under §2.5, by resignation, or through the pathways of §3.10.</w:t>
      </w:r>
    </w:p>
    <w:p>
      <w:pPr>
        <w:spacing w:after="120"/>
        <w:ind w:left="431"/>
        <w:jc w:val="both"/>
      </w:pPr>
      <w:r>
        <w:rPr>
          <w:rFonts w:ascii="Garamond" w:eastAsia="Garamond" w:hAnsi="Garamond" w:cs="Garamond"/>
          <w:color w:val="2A2A2A"/>
          <w:sz w:val="22"/>
          <w:szCs w:val="22"/>
        </w:rPr>
        <w:t xml:space="preserve">(6) A person who leaves the office of Civic Consul holds no Assembly seat by virtue of having been Civic Consul; the seat vacated on taking office remains filled under §3.2. A former Civic Consul may run in an election for an Assembly seat, may hold any other constitutional office for which they meet the eligibility requirements, and may seek the office of Civic Consul again subject to the cooling-off period under §2.5.</w:t>
      </w:r>
    </w:p>
    <w:p w14:paraId="0016C56E" w14:textId="77777777" w:rsidR="00AF3D56" w:rsidRDefault="00000000">
      <w:pPr>
        <w:spacing w:before="200" w:after="60"/>
        <w:ind w:left="431"/>
      </w:pPr>
      <w:r>
        <w:rPr>
          <w:rFonts w:ascii="Courier New" w:eastAsia="Courier New" w:hAnsi="Courier New" w:cs="Courier New"/>
          <w:b/>
          <w:bCs/>
          <w:color w:val="2A2A2A"/>
          <w:sz w:val="18"/>
          <w:szCs w:val="18"/>
        </w:rPr>
        <w:t xml:space="preserve">§2.6.a  </w:t>
      </w:r>
      <w:r>
        <w:rPr>
          <w:rFonts w:ascii="Garamond" w:eastAsia="Garamond" w:hAnsi="Garamond" w:cs="Garamond"/>
          <w:i/>
          <w:iCs/>
          <w:color w:val="1B2A4A"/>
          <w:sz w:val="22"/>
          <w:szCs w:val="22"/>
        </w:rPr>
        <w:t>Government Formation</w:t>
      </w:r>
    </w:p>
    <w:p>
      <w:pPr>
        <w:spacing w:after="120"/>
        <w:ind w:left="431"/>
        <w:jc w:val="both"/>
      </w:pPr>
      <w:r>
        <w:rPr>
          <w:rFonts w:ascii="Garamond" w:eastAsia="Garamond" w:hAnsi="Garamond" w:cs="Garamond"/>
          <w:color w:val="2A2A2A"/>
          <w:sz w:val="22"/>
          <w:szCs w:val="22"/>
        </w:rPr>
        <w:t xml:space="preserve">(1) The Assembly elects the Civic Consul by absolute majority within the period defined by statute following any general election or vacancy; where no statutory period has been established, the constitutional default is 21 days.</w:t>
      </w:r>
    </w:p>
    <w:p>
      <w:pPr>
        <w:spacing w:after="120"/>
        <w:ind w:left="431"/>
        <w:jc w:val="both"/>
      </w:pPr>
      <w:r>
        <w:rPr>
          <w:rFonts w:ascii="Garamond" w:eastAsia="Garamond" w:hAnsi="Garamond" w:cs="Garamond"/>
          <w:color w:val="2A2A2A"/>
          <w:sz w:val="22"/>
          <w:szCs w:val="22"/>
        </w:rPr>
        <w:t xml:space="preserve">(2) If the Assembly does not elect a Civic Consul within that period, the acting role attaches automatically to the sitting Assembly Speaker, who serves as Acting Civic Consul by constitutional operation with authority limited to maintaining existing policy, and retains their Assembly seat. Where there is no sitting Speaker, the most senior Assembly member by continuous service serves in the acting role instead; where two or more members have equal continuous service, the tiebreaker is determined by statute. The acting service is published to the NRS. The Acting Civic Consul is not subject to removal under §2.6.</w:t>
      </w:r>
    </w:p>
    <w:p>
      <w:pPr>
        <w:spacing w:after="120"/>
        <w:ind w:left="431"/>
        <w:jc w:val="both"/>
      </w:pPr>
      <w:r>
        <w:rPr>
          <w:rFonts w:ascii="Garamond" w:eastAsia="Garamond" w:hAnsi="Garamond" w:cs="Garamond"/>
          <w:color w:val="2A2A2A"/>
          <w:sz w:val="22"/>
          <w:szCs w:val="22"/>
        </w:rPr>
        <w:t xml:space="preserve">(3) Bills passed during the Acting Civic Consul's service are presented to the Acting Civic Consul. The Acting Civic Consul may not exercise the suspensive veto under §2.7 but may, within 10 business days of final passage, publish a written pause notice to the NRS staying enactment. Upon such notice, the Speaker shall schedule the bill for recall by the Assembly; the Assembly may withdraw the bill by simple majority within the pause period. A bill not so withdrawn is enacted by operation of law at the close of the 10-business-day period. Where the Acting Civic Consul issues no pause notice within 10 business days of final passage, the bill is enacted by operation of law. The pause may not be used on the annual budget, bills implementing a constitutional obligation, or emergency legislation.</w:t>
      </w:r>
    </w:p>
    <w:p>
      <w:pPr>
        <w:spacing w:after="120"/>
        <w:ind w:left="431"/>
        <w:jc w:val="both"/>
      </w:pPr>
      <w:r>
        <w:rPr>
          <w:rFonts w:ascii="Garamond" w:eastAsia="Garamond" w:hAnsi="Garamond" w:cs="Garamond"/>
          <w:color w:val="2A2A2A"/>
          <w:sz w:val="22"/>
          <w:szCs w:val="22"/>
        </w:rPr>
        <w:t xml:space="preserve">(4) The Acting Civic Consul administers a nominating ballot of the Assembly to identify candidates for a national election. This administration is purely procedural and confers no discretion over the ballot's conduct or result. The ballot requires no quorum and produces its result regardless of participation. The candidates receiving the most votes advance, being no fewer than two and no more than four; where a tie would cause more than four candidates to advance, the tie is resolved in favor of the candidate with greater continuous service, with any remaining tie determined by statute. Where only one member receives votes, that member advances alone and is submitted to the national vote for ratification. Only members otherwise qualified for the office of Civic Consul under §2.5 and §7.4 may advance.</w:t>
      </w:r>
    </w:p>
    <w:p>
      <w:pPr>
        <w:spacing w:after="120"/>
        <w:ind w:left="431"/>
        <w:jc w:val="both"/>
      </w:pPr>
      <w:r>
        <w:rPr>
          <w:rFonts w:ascii="Garamond" w:eastAsia="Garamond" w:hAnsi="Garamond" w:cs="Garamond"/>
          <w:color w:val="2A2A2A"/>
          <w:sz w:val="22"/>
          <w:szCs w:val="22"/>
        </w:rPr>
        <w:t xml:space="preserve">(5) The Elections Panel administers a national ranked-choice election among the advancing candidates, to be held within the period defined by statute, with a constitutional default of 45 days and an absolute maximum of 90 days from the close of the nominating ballot. The Elections Panel may extend the period beyond the default only for cause published to the NRS, and in no case beyond 90 days. Where a single candidate stands for ratification, the national vote is a simple yes-or-no question. Should an advancing candidate become ineligible before the vote, the election proceeds among those who remain qualified.</w:t>
      </w:r>
    </w:p>
    <w:p>
      <w:pPr>
        <w:spacing w:after="120"/>
        <w:ind w:left="431"/>
        <w:jc w:val="both"/>
      </w:pPr>
      <w:r>
        <w:rPr>
          <w:rFonts w:ascii="Garamond" w:eastAsia="Garamond" w:hAnsi="Garamond" w:cs="Garamond"/>
          <w:color w:val="2A2A2A"/>
          <w:sz w:val="22"/>
          <w:szCs w:val="22"/>
        </w:rPr>
        <w:t xml:space="preserve">(6) The candidate winning the national election, whether by ranked-choice tabulation or by ratification, becomes Civic Consul with full authority, vacates their Assembly seat under §2.6, and is subject to removal only under §2.6. The Acting Civic Consul's service ends upon that installation.</w:t>
      </w:r>
    </w:p>
    <w:p>
      <w:pPr>
        <w:spacing w:after="120"/>
        <w:ind w:left="431"/>
        <w:jc w:val="both"/>
      </w:pPr>
      <w:r>
        <w:rPr>
          <w:rFonts w:ascii="Garamond" w:eastAsia="Garamond" w:hAnsi="Garamond" w:cs="Garamond"/>
          <w:color w:val="2A2A2A"/>
          <w:sz w:val="22"/>
          <w:szCs w:val="22"/>
        </w:rPr>
        <w:t xml:space="preserve">(7) At any time before the national election begins, the Assembly may elect a Civic Consul by absolute majority, which terminates the fallback and returns the office to the ordinary process. Once the national election has begun, it proceeds to conclusion.</w:t>
      </w:r>
    </w:p>
    <w:p w14:paraId="26201912" w14:textId="77777777" w:rsidR="00AF3D56" w:rsidRDefault="00000000">
      <w:pPr>
        <w:spacing w:before="200" w:after="60"/>
        <w:ind w:left="431"/>
      </w:pPr>
      <w:r>
        <w:rPr>
          <w:rFonts w:ascii="Courier New" w:eastAsia="Courier New" w:hAnsi="Courier New" w:cs="Courier New"/>
          <w:b/>
          <w:bCs/>
          <w:color w:val="2A2A2A"/>
          <w:sz w:val="18"/>
          <w:szCs w:val="18"/>
        </w:rPr>
        <w:t xml:space="preserve">§2.7  </w:t>
      </w:r>
      <w:r>
        <w:rPr>
          <w:rFonts w:ascii="Garamond" w:eastAsia="Garamond" w:hAnsi="Garamond" w:cs="Garamond"/>
          <w:i/>
          <w:iCs/>
          <w:color w:val="1B2A4A"/>
          <w:sz w:val="22"/>
          <w:szCs w:val="22"/>
        </w:rPr>
        <w:t>Civic Consul Legislative Instruments</w:t>
      </w:r>
    </w:p>
    <w:p w14:paraId="386E8560" w14:textId="77777777" w:rsidR="00AF3D56" w:rsidRDefault="00000000">
      <w:pPr>
        <w:spacing w:after="120"/>
        <w:ind w:left="431"/>
        <w:jc w:val="both"/>
      </w:pPr>
      <w:r>
        <w:rPr>
          <w:rFonts w:ascii="Garamond" w:eastAsia="Garamond" w:hAnsi="Garamond" w:cs="Garamond"/>
          <w:color w:val="2A2A2A"/>
          <w:sz w:val="22"/>
          <w:szCs w:val="22"/>
        </w:rPr>
        <w:t>The Civic Consul may withhold assent by returning a bill within 10 business days of final passage with written grounds published to the NRS; the bill is tabled for one month regardless of any change in CC office. The Senate may override by 2/3 during that month; failing override, the bill returns to the Legislature and must pass both chambers again before returning to the Civic Consul, who may not exercise the suspensive veto on that bill again, including where that bill lapses and is reintroduced in a subsequent session.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14:paraId="02FF8045" w14:textId="77777777" w:rsidR="00AF3D56" w:rsidRDefault="00000000">
      <w:pPr>
        <w:spacing w:before="200" w:after="60"/>
        <w:ind w:left="431"/>
      </w:pPr>
      <w:r>
        <w:rPr>
          <w:rFonts w:ascii="Courier New" w:eastAsia="Courier New" w:hAnsi="Courier New" w:cs="Courier New"/>
          <w:b/>
          <w:bCs/>
          <w:color w:val="2A2A2A"/>
          <w:sz w:val="18"/>
          <w:szCs w:val="18"/>
        </w:rPr>
        <w:t xml:space="preserve">§2.8  </w:t>
      </w:r>
      <w:r>
        <w:rPr>
          <w:rFonts w:ascii="Garamond" w:eastAsia="Garamond" w:hAnsi="Garamond" w:cs="Garamond"/>
          <w:i/>
          <w:iCs/>
          <w:color w:val="1B2A4A"/>
          <w:sz w:val="22"/>
          <w:szCs w:val="22"/>
        </w:rPr>
        <w:t>Duty of Refusal</w:t>
      </w:r>
    </w:p>
    <w:p w14:paraId="1EE87E68" w14:textId="77777777" w:rsidR="00AF3D56" w:rsidRDefault="00000000">
      <w:pPr>
        <w:spacing w:after="120"/>
        <w:ind w:left="431"/>
        <w:jc w:val="both"/>
      </w:pPr>
      <w:r>
        <w:rPr>
          <w:rFonts w:ascii="Garamond" w:eastAsia="Garamond" w:hAnsi="Garamond" w:cs="Garamond"/>
          <w:color w:val="2A2A2A"/>
          <w:sz w:val="22"/>
          <w:szCs w:val="22"/>
        </w:rPr>
        <w:t>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14:paraId="58461D1F" w14:textId="77777777" w:rsidR="00AF3D56" w:rsidRDefault="00000000">
      <w:pPr>
        <w:spacing w:before="200" w:after="60"/>
        <w:ind w:left="431"/>
      </w:pPr>
      <w:r>
        <w:rPr>
          <w:rFonts w:ascii="Courier New" w:eastAsia="Courier New" w:hAnsi="Courier New" w:cs="Courier New"/>
          <w:b/>
          <w:bCs/>
          <w:color w:val="2A2A2A"/>
          <w:sz w:val="18"/>
          <w:szCs w:val="18"/>
        </w:rPr>
        <w:t xml:space="preserve">§2.9  </w:t>
      </w:r>
      <w:r>
        <w:rPr>
          <w:rFonts w:ascii="Garamond" w:eastAsia="Garamond" w:hAnsi="Garamond" w:cs="Garamond"/>
          <w:i/>
          <w:iCs/>
          <w:color w:val="1B2A4A"/>
          <w:sz w:val="22"/>
          <w:szCs w:val="22"/>
        </w:rPr>
        <w:t>Legat Consul Succession and Incapacity</w:t>
      </w:r>
    </w:p>
    <w:p>
      <w:pPr>
        <w:spacing w:after="120"/>
        <w:ind w:left="431"/>
        <w:jc w:val="both"/>
      </w:pPr>
      <w:r>
        <w:rPr>
          <w:rFonts w:ascii="Garamond" w:eastAsia="Garamond" w:hAnsi="Garamond" w:cs="Garamond"/>
          <w:color w:val="2A2A2A"/>
          <w:sz w:val="22"/>
          <w:szCs w:val="22"/>
        </w:rPr>
        <w:t xml:space="preserve">(1) 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w:t>
      </w:r>
    </w:p>
    <w:p>
      <w:pPr>
        <w:spacing w:after="120"/>
        <w:ind w:left="431"/>
        <w:jc w:val="both"/>
      </w:pPr>
      <w:r>
        <w:rPr>
          <w:rFonts w:ascii="Garamond" w:eastAsia="Garamond" w:hAnsi="Garamond" w:cs="Garamond"/>
          <w:color w:val="2A2A2A"/>
          <w:sz w:val="22"/>
          <w:szCs w:val="22"/>
        </w:rPr>
        <w:t xml:space="preserve">(2) Full succession vacates the successor's Senate seat, which is filled through the ordinary vacancy process. Where the Senate Speaker is simultaneously unable to serve, the most senior Senator by continuous Senate service holds the office from that moment; where two or more Senators have equal continuous service, the oldest by age holds the office.</w:t>
      </w:r>
    </w:p>
    <w:p>
      <w:pPr>
        <w:spacing w:after="120"/>
        <w:ind w:left="431"/>
        <w:jc w:val="both"/>
      </w:pPr>
      <w:r>
        <w:rPr>
          <w:rFonts w:ascii="Garamond" w:eastAsia="Garamond" w:hAnsi="Garamond" w:cs="Garamond"/>
          <w:color w:val="2A2A2A"/>
          <w:sz w:val="22"/>
          <w:szCs w:val="22"/>
        </w:rPr>
        <w:t xml:space="preserve">(3) The Legislature shall by statute establish an order of succession for the Legat Consul's temporary incapacity under §2.9(6)(ii) and for full succession beyond the constitutional floor under §2.9(2). Until such statute is enacted, the constitutional order under §2.9(6)(i) and (iii) applies.</w:t>
      </w:r>
    </w:p>
    <w:p>
      <w:pPr>
        <w:spacing w:after="120"/>
        <w:ind w:left="431"/>
        <w:jc w:val="both"/>
      </w:pPr>
      <w:r>
        <w:rPr>
          <w:rFonts w:ascii="Garamond" w:eastAsia="Garamond" w:hAnsi="Garamond" w:cs="Garamond"/>
          <w:color w:val="2A2A2A"/>
          <w:sz w:val="22"/>
          <w:szCs w:val="22"/>
        </w:rPr>
        <w:t xml:space="preserve">(4) Upon NRS publication of any triggering event, the military chain of command recognizes the constitutional transfer immediately; any order issued in the name of the prior Legat Consul after that moment is constitutionally void.</w:t>
      </w:r>
    </w:p>
    <w:p>
      <w:pPr>
        <w:spacing w:after="120"/>
        <w:ind w:left="431"/>
        <w:jc w:val="both"/>
      </w:pPr>
      <w:r>
        <w:rPr>
          <w:rFonts w:ascii="Garamond" w:eastAsia="Garamond" w:hAnsi="Garamond" w:cs="Garamond"/>
          <w:color w:val="2A2A2A"/>
          <w:sz w:val="22"/>
          <w:szCs w:val="22"/>
        </w:rPr>
        <w:t xml:space="preserve">(5)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w:t>
      </w:r>
    </w:p>
    <w:p>
      <w:pPr>
        <w:spacing w:after="120"/>
        <w:ind w:left="431"/>
        <w:jc w:val="both"/>
      </w:pPr>
      <w:r>
        <w:rPr>
          <w:rFonts w:ascii="Garamond" w:eastAsia="Garamond" w:hAnsi="Garamond" w:cs="Garamond"/>
          <w:color w:val="2A2A2A"/>
          <w:sz w:val="22"/>
          <w:szCs w:val="22"/>
        </w:rPr>
        <w:t xml:space="preserve">(6) Where the Legat Consul is temporarily unable to exercise authority as determined under §2.16, acting authority vests by constitutional operation in accordance with the following order: (i) the Senate Speaker; (ii) persons holding offices designated by statute for this purpose, in the order so established; (iii) the most senior Senator by continuous Senate service; where two or more Senators have equal continuous service, the oldest by age holds the office. A person in the order of succession may decline under §2.16(4). The person last in the order may not decline. While serving in an acting executive capacity under this subsection, the acting officer may not exercise any legislative function; the officer retains their Senate seat and any Senate office held, and the Senate provides for the exercise of those functions during that period under its internal procedures. Acting service neither extends nor suspends the officer's electoral mandate; where the acting officer ceases to be a Senator, acting authority passes by constitutional operation to the next person in the order of succession then qualified. Acting authority ends when the Legat Consul's incapacity ends under §2.16(3).</w:t>
      </w:r>
    </w:p>
    <w:p w14:paraId="3EAD3FC4" w14:textId="77777777" w:rsidR="00AF3D56" w:rsidRDefault="00000000">
      <w:pPr>
        <w:spacing w:before="200" w:after="60"/>
        <w:ind w:left="431"/>
      </w:pPr>
      <w:r>
        <w:rPr>
          <w:rFonts w:ascii="Courier New" w:eastAsia="Courier New" w:hAnsi="Courier New" w:cs="Courier New"/>
          <w:b/>
          <w:bCs/>
          <w:color w:val="2A2A2A"/>
          <w:sz w:val="18"/>
          <w:szCs w:val="18"/>
        </w:rPr>
        <w:t xml:space="preserve">§2.10  </w:t>
      </w:r>
      <w:r>
        <w:rPr>
          <w:rFonts w:ascii="Garamond" w:eastAsia="Garamond" w:hAnsi="Garamond" w:cs="Garamond"/>
          <w:i/>
          <w:iCs/>
          <w:color w:val="1B2A4A"/>
          <w:sz w:val="22"/>
          <w:szCs w:val="22"/>
        </w:rPr>
        <w:t>Executive Transparency</w:t>
      </w:r>
    </w:p>
    <w:p w14:paraId="177409D6" w14:textId="77777777" w:rsidR="00AF3D56" w:rsidRDefault="00000000">
      <w:pPr>
        <w:spacing w:after="120"/>
        <w:ind w:left="431"/>
        <w:jc w:val="both"/>
      </w:pPr>
      <w:r>
        <w:rPr>
          <w:rFonts w:ascii="Garamond" w:eastAsia="Garamond" w:hAnsi="Garamond" w:cs="Garamond"/>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w:t>
        <w:lastRenderedPageBreak/>
        <w:t>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14:paraId="59AA2318" w14:textId="77777777" w:rsidR="00AF3D56" w:rsidRDefault="00000000">
      <w:pPr>
        <w:spacing w:before="200" w:after="60"/>
        <w:ind w:left="431"/>
      </w:pPr>
      <w:r>
        <w:rPr>
          <w:rFonts w:ascii="Courier New" w:eastAsia="Courier New" w:hAnsi="Courier New" w:cs="Courier New"/>
          <w:b/>
          <w:bCs/>
          <w:color w:val="2A2A2A"/>
          <w:sz w:val="18"/>
          <w:szCs w:val="18"/>
        </w:rPr>
        <w:t xml:space="preserve">§2.11  </w:t>
      </w:r>
      <w:r>
        <w:rPr>
          <w:rFonts w:ascii="Garamond" w:eastAsia="Garamond" w:hAnsi="Garamond" w:cs="Garamond"/>
          <w:i/>
          <w:iCs/>
          <w:color w:val="1B2A4A"/>
          <w:sz w:val="22"/>
          <w:szCs w:val="22"/>
        </w:rPr>
        <w:t>Emergency Governance</w:t>
      </w:r>
    </w:p>
    <w:p w14:paraId="6F112D14" w14:textId="77777777" w:rsidR="00AF3D56" w:rsidRDefault="00000000">
      <w:pPr>
        <w:spacing w:after="120"/>
        <w:ind w:left="431"/>
        <w:jc w:val="both"/>
      </w:pPr>
      <w:r>
        <w:rPr>
          <w:rFonts w:ascii="Garamond" w:eastAsia="Garamond" w:hAnsi="Garamond" w:cs="Garamond"/>
          <w:color w:val="2A2A2A"/>
          <w:sz w:val="22"/>
          <w:szCs w:val="22"/>
        </w:rPr>
        <w:t>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14:paraId="00FB3E8C" w14:textId="77777777" w:rsidR="00AF3D56" w:rsidRDefault="00000000">
      <w:pPr>
        <w:spacing w:before="200" w:after="60"/>
        <w:ind w:left="431"/>
      </w:pPr>
      <w:r>
        <w:rPr>
          <w:rFonts w:ascii="Courier New" w:eastAsia="Courier New" w:hAnsi="Courier New" w:cs="Courier New"/>
          <w:b/>
          <w:bCs/>
          <w:color w:val="2A2A2A"/>
          <w:sz w:val="18"/>
          <w:szCs w:val="18"/>
        </w:rPr>
        <w:t xml:space="preserve">§2.12  </w:t>
      </w:r>
      <w:r>
        <w:rPr>
          <w:rFonts w:ascii="Garamond" w:eastAsia="Garamond" w:hAnsi="Garamond" w:cs="Garamond"/>
          <w:i/>
          <w:iCs/>
          <w:color w:val="1B2A4A"/>
          <w:sz w:val="22"/>
          <w:szCs w:val="22"/>
        </w:rPr>
        <w:t>Clemency</w:t>
      </w:r>
    </w:p>
    <w:p w14:paraId="419B3216" w14:textId="77777777" w:rsidR="00AF3D56" w:rsidRDefault="00000000">
      <w:pPr>
        <w:spacing w:after="120"/>
        <w:ind w:left="431"/>
        <w:jc w:val="both"/>
      </w:pPr>
      <w:r>
        <w:rPr>
          <w:rFonts w:ascii="Garamond" w:eastAsia="Garamond" w:hAnsi="Garamond" w:cs="Garamond"/>
          <w:color w:val="2A2A2A"/>
          <w:sz w:val="22"/>
          <w:szCs w:val="22"/>
        </w:rPr>
        <w:t>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Group amnesty requires legislative action; no executive may grant group amnesty.</w:t>
      </w:r>
    </w:p>
    <w:p w14:paraId="79DD5CCB" w14:textId="77777777" w:rsidR="00AF3D56" w:rsidRDefault="00000000">
      <w:pPr>
        <w:spacing w:before="200" w:after="60"/>
        <w:ind w:left="431"/>
      </w:pPr>
      <w:r>
        <w:rPr>
          <w:rFonts w:ascii="Courier New" w:eastAsia="Courier New" w:hAnsi="Courier New" w:cs="Courier New"/>
          <w:b/>
          <w:bCs/>
          <w:color w:val="2A2A2A"/>
          <w:sz w:val="18"/>
          <w:szCs w:val="18"/>
        </w:rPr>
        <w:t xml:space="preserve">§2.13  </w:t>
      </w:r>
      <w:r>
        <w:rPr>
          <w:rFonts w:ascii="Garamond" w:eastAsia="Garamond" w:hAnsi="Garamond" w:cs="Garamond"/>
          <w:i/>
          <w:iCs/>
          <w:color w:val="1B2A4A"/>
          <w:sz w:val="22"/>
          <w:szCs w:val="22"/>
        </w:rPr>
        <w:t>Consular Removal</w:t>
      </w:r>
    </w:p>
    <w:p w14:paraId="3C3DC524" w14:textId="77777777" w:rsidR="00AF3D56" w:rsidRDefault="00000000">
      <w:pPr>
        <w:spacing w:after="120"/>
        <w:ind w:left="431"/>
        <w:jc w:val="both"/>
      </w:pPr>
      <w:r>
        <w:rPr>
          <w:rFonts w:ascii="Garamond" w:eastAsia="Garamond" w:hAnsi="Garamond" w:cs="Garamond"/>
          <w:color w:val="2A2A2A"/>
          <w:sz w:val="22"/>
          <w:szCs w:val="22"/>
        </w:rPr>
        <w:t>The Legat Consul may be removed on two independent tracks. Under the legislative track, removal requires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14:paraId="28C0D769" w14:textId="77777777" w:rsidR="00AF3D56" w:rsidRDefault="00000000">
      <w:pPr>
        <w:spacing w:before="200" w:after="60"/>
        <w:ind w:left="431"/>
      </w:pPr>
      <w:r>
        <w:rPr>
          <w:rFonts w:ascii="Courier New" w:eastAsia="Courier New" w:hAnsi="Courier New" w:cs="Courier New"/>
          <w:b/>
          <w:bCs/>
          <w:color w:val="2A2A2A"/>
          <w:sz w:val="18"/>
          <w:szCs w:val="18"/>
        </w:rPr>
        <w:t xml:space="preserve">§2.14  </w:t>
      </w:r>
      <w:r>
        <w:rPr>
          <w:rFonts w:ascii="Garamond" w:eastAsia="Garamond" w:hAnsi="Garamond" w:cs="Garamond"/>
          <w:i/>
          <w:iCs/>
          <w:color w:val="1B2A4A"/>
          <w:sz w:val="22"/>
          <w:szCs w:val="22"/>
        </w:rPr>
        <w:t>Council of Ministers</w:t>
      </w:r>
    </w:p>
    <w:p w14:paraId="0914AF1D" w14:textId="77777777" w:rsidR="00AF3D56" w:rsidRDefault="00000000">
      <w:pPr>
        <w:spacing w:after="120"/>
        <w:ind w:left="431"/>
        <w:jc w:val="both"/>
      </w:pPr>
      <w:r>
        <w:rPr>
          <w:rFonts w:ascii="Garamond" w:eastAsia="Garamond" w:hAnsi="Garamond" w:cs="Garamond"/>
          <w:color w:val="2A2A2A"/>
          <w:sz w:val="22"/>
          <w:szCs w:val="22"/>
        </w:rPr>
        <w:t>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§2.14.a  </w:t>
      </w:r>
      <w:r>
        <w:rPr>
          <w:rFonts w:ascii="Garamond" w:eastAsia="Garamond" w:hAnsi="Garamond" w:cs="Garamond"/>
          <w:i/>
          <w:iCs/>
          <w:color w:val="1B2A4A"/>
          <w:sz w:val="22"/>
          <w:szCs w:val="22"/>
        </w:rPr>
        <w:t>Cross-Domain Emergency Lead</w:t>
      </w:r>
    </w:p>
    <w:p w14:paraId="70E13777" w14:textId="77777777" w:rsidR="00AF3D56" w:rsidRDefault="00000000">
      <w:pPr>
        <w:spacing w:after="120"/>
        <w:ind w:left="431"/>
        <w:jc w:val="both"/>
      </w:pPr>
      <w:r>
        <w:rPr>
          <w:rFonts w:ascii="Garamond" w:eastAsia="Garamond" w:hAnsi="Garamond" w:cs="Garamond"/>
          <w:color w:val="2A2A2A"/>
          <w:sz w:val="22"/>
          <w:szCs w:val="22"/>
        </w:rPr>
        <w:lastRenderedPageBreak/>
        <w:t>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§2.14.b  </w:t>
      </w:r>
      <w:r>
        <w:rPr>
          <w:rFonts w:ascii="Garamond" w:eastAsia="Garamond" w:hAnsi="Garamond" w:cs="Garamond"/>
          <w:i/>
          <w:iCs/>
          <w:color w:val="1B2A4A"/>
          <w:sz w:val="22"/>
          <w:szCs w:val="22"/>
        </w:rPr>
        <w:t>Cross-Domain Assistance</w:t>
      </w:r>
    </w:p>
    <w:p w14:paraId="70E13777" w14:textId="77777777" w:rsidR="00AF3D56" w:rsidRDefault="00000000">
      <w:pPr>
        <w:spacing w:after="120"/>
        <w:ind w:left="431"/>
        <w:jc w:val="both"/>
      </w:pPr>
      <w:r>
        <w:rPr>
          <w:rFonts w:ascii="Garamond" w:eastAsia="Garamond" w:hAnsi="Garamond" w:cs="Garamond"/>
          <w:color w:val="2A2A2A"/>
          <w:sz w:val="22"/>
          <w:szCs w:val="22"/>
        </w:rPr>
        <w:t xml:space="preserve">Either Consul may formally request that the other exercise specified authority within the other's domain in support of a need arising in the requesting Consul's domain. The request states the need, scope, and duration and is published to the NRS; the responding Consul determines whether and how to act within their own domain and publishes the response to the NRS. Neither Consul may compel the other. A request may specify a duration not to exceed 90 days; assistance may be renewed only by a fresh request and response, each published to the NRS. This section may provide only capability used in support of persons — including logistics, transport, materiel, technical, medical, disaster, and search-and-rescue capability. It may not provide capability used to compel, detain, or direct persons, to surveil, monitor, or collect intelligence on persons within the Republic, or to commandeer civilian resources; any such capability is available to the requesting Consul only under §1.19 or other express constitutional authority. Capability provided under this section operates under the responding Consul's command as to means and the requesting Consul's direction as to purpose and limits, and remains subject in full to Article I. A foreign invasion or comparable threat engaging both domains is governed by §2.14.a. A dispute arising under this section is resolved through the mechanism in §2.14.a.</w:t>
      </w:r>
    </w:p>
    <w:p w14:paraId="0B19BB75" w14:textId="77777777" w:rsidR="00AF3D56" w:rsidRDefault="00000000">
      <w:pPr>
        <w:spacing w:before="200" w:after="60"/>
        <w:ind w:left="431"/>
      </w:pPr>
      <w:r>
        <w:rPr>
          <w:rFonts w:ascii="Courier New" w:eastAsia="Courier New" w:hAnsi="Courier New" w:cs="Courier New"/>
          <w:b/>
          <w:bCs/>
          <w:color w:val="2A2A2A"/>
          <w:sz w:val="18"/>
          <w:szCs w:val="18"/>
        </w:rPr>
        <w:t xml:space="preserve">§2.15  </w:t>
      </w:r>
      <w:r>
        <w:rPr>
          <w:rFonts w:ascii="Garamond" w:eastAsia="Garamond" w:hAnsi="Garamond" w:cs="Garamond"/>
          <w:i/>
          <w:iCs/>
          <w:color w:val="1B2A4A"/>
          <w:sz w:val="22"/>
          <w:szCs w:val="22"/>
        </w:rPr>
        <w:t>Federal Prosecution</w:t>
      </w:r>
    </w:p>
    <w:p w14:paraId="75392848" w14:textId="77777777" w:rsidR="00AF3D56" w:rsidRDefault="00000000">
      <w:pPr>
        <w:spacing w:after="120"/>
        <w:ind w:left="431"/>
        <w:jc w:val="both"/>
      </w:pPr>
      <w:r>
        <w:rPr>
          <w:rFonts w:ascii="Garamond" w:eastAsia="Garamond" w:hAnsi="Garamond" w:cs="Garamond"/>
          <w:color w:val="2A2A2A"/>
          <w:sz w:val="22"/>
          <w:szCs w:val="22"/>
        </w:rPr>
        <w:t>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14:paraId="0B19BB75" w14:textId="77777777" w:rsidR="00AF3D56" w:rsidRDefault="00000000">
      <w:pPr>
        <w:spacing w:before="200" w:after="60"/>
        <w:ind w:left="431"/>
      </w:pPr>
      <w:r>
        <w:rPr>
          <w:rFonts w:ascii="Courier New" w:eastAsia="Courier New" w:hAnsi="Courier New" w:cs="Courier New"/>
          <w:b/>
          <w:bCs/>
          <w:color w:val="2A2A2A"/>
          <w:sz w:val="18"/>
          <w:szCs w:val="18"/>
        </w:rPr>
        <w:t xml:space="preserve">§2.16  </w:t>
      </w:r>
      <w:r>
        <w:rPr>
          <w:rFonts w:ascii="Garamond" w:eastAsia="Garamond" w:hAnsi="Garamond" w:cs="Garamond"/>
          <w:i/>
          <w:iCs/>
          <w:color w:val="1B2A4A"/>
          <w:sz w:val="22"/>
          <w:szCs w:val="22"/>
        </w:rPr>
        <w:t>Executive Incapacity</w:t>
      </w:r>
    </w:p>
    <w:p>
      <w:pPr>
        <w:spacing w:after="120"/>
        <w:ind w:left="431"/>
        <w:jc w:val="both"/>
      </w:pPr>
      <w:r>
        <w:rPr>
          <w:rFonts w:ascii="Garamond" w:eastAsia="Garamond" w:hAnsi="Garamond" w:cs="Garamond"/>
          <w:color w:val="2A2A2A"/>
          <w:sz w:val="22"/>
          <w:szCs w:val="22"/>
        </w:rPr>
        <w:t xml:space="preserve">(1) A Consul is temporarily unable to exercise authority when either of the following is published to the National Record System:</w:t>
      </w:r>
    </w:p>
    <w:p>
      <w:pPr>
        <w:spacing w:after="120"/>
        <w:ind w:left="720"/>
        <w:jc w:val="both"/>
      </w:pPr>
      <w:r>
        <w:rPr>
          <w:rFonts w:ascii="Garamond" w:eastAsia="Garamond" w:hAnsi="Garamond" w:cs="Garamond"/>
          <w:color w:val="2A2A2A"/>
          <w:sz w:val="22"/>
          <w:szCs w:val="22"/>
        </w:rPr>
        <w:t xml:space="preserve">(a) a declaration of incapacity by the Consul; or</w:t>
      </w:r>
    </w:p>
    <w:p>
      <w:pPr>
        <w:spacing w:after="120"/>
        <w:ind w:left="720"/>
        <w:jc w:val="both"/>
      </w:pPr>
      <w:r>
        <w:rPr>
          <w:rFonts w:ascii="Garamond" w:eastAsia="Garamond" w:hAnsi="Garamond" w:cs="Garamond"/>
          <w:color w:val="2A2A2A"/>
          <w:sz w:val="22"/>
          <w:szCs w:val="22"/>
        </w:rPr>
        <w:t xml:space="preserve">(b) a determination of incapacity by the Council of Ministers under subsection (2).</w:t>
      </w:r>
    </w:p>
    <w:p>
      <w:pPr>
        <w:spacing w:after="120"/>
        <w:ind w:left="431"/>
        <w:jc w:val="both"/>
      </w:pPr>
      <w:r>
        <w:rPr>
          <w:rFonts w:ascii="Garamond" w:eastAsia="Garamond" w:hAnsi="Garamond" w:cs="Garamond"/>
          <w:color w:val="2A2A2A"/>
          <w:sz w:val="22"/>
          <w:szCs w:val="22"/>
        </w:rPr>
        <w:t xml:space="preserve">(2) Council of Ministers determination:</w:t>
      </w:r>
    </w:p>
    <w:p>
      <w:pPr>
        <w:spacing w:after="120"/>
        <w:ind w:left="720"/>
        <w:jc w:val="both"/>
      </w:pPr>
      <w:r>
        <w:rPr>
          <w:rFonts w:ascii="Garamond" w:eastAsia="Garamond" w:hAnsi="Garamond" w:cs="Garamond"/>
          <w:color w:val="2A2A2A"/>
          <w:sz w:val="22"/>
          <w:szCs w:val="22"/>
        </w:rPr>
        <w:t xml:space="preserve">(a) The Council may, by majority of members then in office provided no fewer than five are in office, determine that a Consul is temporarily unable to exercise authority. This function is a constitutional function of the Council and is not an exercise of executive authority.</w:t>
      </w:r>
    </w:p>
    <w:p>
      <w:pPr>
        <w:spacing w:after="120"/>
        <w:ind w:left="720"/>
        <w:jc w:val="both"/>
      </w:pPr>
      <w:r>
        <w:rPr>
          <w:rFonts w:ascii="Garamond" w:eastAsia="Garamond" w:hAnsi="Garamond" w:cs="Garamond"/>
          <w:color w:val="2A2A2A"/>
          <w:sz w:val="22"/>
          <w:szCs w:val="22"/>
        </w:rPr>
        <w:t xml:space="preserve">(b) The determination is published to the NRS; upon publication, acting authority vests in accordance with the applicable succession provision.</w:t>
      </w:r>
    </w:p>
    <w:p>
      <w:pPr>
        <w:spacing w:after="120"/>
        <w:ind w:left="431"/>
        <w:jc w:val="both"/>
      </w:pPr>
      <w:r>
        <w:rPr>
          <w:rFonts w:ascii="Garamond" w:eastAsia="Garamond" w:hAnsi="Garamond" w:cs="Garamond"/>
          <w:color w:val="2A2A2A"/>
          <w:sz w:val="22"/>
          <w:szCs w:val="22"/>
        </w:rPr>
        <w:t xml:space="preserve">(3) Restoration:</w:t>
      </w:r>
    </w:p>
    <w:p>
      <w:pPr>
        <w:spacing w:after="120"/>
        <w:ind w:left="720"/>
        <w:jc w:val="both"/>
      </w:pPr>
      <w:r>
        <w:rPr>
          <w:rFonts w:ascii="Garamond" w:eastAsia="Garamond" w:hAnsi="Garamond" w:cs="Garamond"/>
          <w:color w:val="2A2A2A"/>
          <w:sz w:val="22"/>
          <w:szCs w:val="22"/>
        </w:rPr>
        <w:t xml:space="preserve">(a) An incapacity under this section ends when the Consul publishes a restoration declaration to the NRS. The Consul transmits the declaration to the Speaker of each chamber, to the other Consul, and to the officer then holding acting authority; full authority returns to the Consul 24 hours after publication.</w:t>
      </w:r>
    </w:p>
    <w:p>
      <w:pPr>
        <w:spacing w:after="120"/>
        <w:ind w:left="720"/>
        <w:jc w:val="both"/>
      </w:pPr>
      <w:r>
        <w:rPr>
          <w:rFonts w:ascii="Garamond" w:eastAsia="Garamond" w:hAnsi="Garamond" w:cs="Garamond"/>
          <w:color w:val="2A2A2A"/>
          <w:sz w:val="22"/>
          <w:szCs w:val="22"/>
        </w:rPr>
        <w:t xml:space="preserve">(b) Where the Council determines incapacity on the same or substantially similar grounds within 90 days of a restoration declaration, the Consul may not end that incapacity by restoration declaration alone; the incapacity ends only when the Consul's accountability chamber — the Assembly for the Civic Consul, the Senate for the Legat Consul — so resolves by absolute majority of its full seated membership.</w:t>
      </w:r>
    </w:p>
    <w:p>
      <w:pPr>
        <w:spacing w:after="120"/>
        <w:ind w:left="431"/>
        <w:jc w:val="both"/>
      </w:pPr>
      <w:r>
        <w:rPr>
          <w:rFonts w:ascii="Garamond" w:eastAsia="Garamond" w:hAnsi="Garamond" w:cs="Garamond"/>
          <w:color w:val="2A2A2A"/>
          <w:sz w:val="22"/>
          <w:szCs w:val="22"/>
        </w:rPr>
        <w:t xml:space="preserve">(4) Declination:</w:t>
      </w:r>
    </w:p>
    <w:p>
      <w:pPr>
        <w:spacing w:after="120"/>
        <w:ind w:left="720"/>
        <w:jc w:val="both"/>
      </w:pPr>
      <w:r>
        <w:rPr>
          <w:rFonts w:ascii="Garamond" w:eastAsia="Garamond" w:hAnsi="Garamond" w:cs="Garamond"/>
          <w:color w:val="2A2A2A"/>
          <w:sz w:val="22"/>
          <w:szCs w:val="22"/>
        </w:rPr>
        <w:t xml:space="preserve">(a) A person upon whom acting executive authority would fall under §2.5(6) or §2.9(6) may decline by publishing a declination to the NRS within 48 hours of the incapacity publication.</w:t>
      </w:r>
    </w:p>
    <w:p>
      <w:pPr>
        <w:spacing w:after="120"/>
        <w:ind w:left="720"/>
        <w:jc w:val="both"/>
      </w:pPr>
      <w:r>
        <w:rPr>
          <w:rFonts w:ascii="Garamond" w:eastAsia="Garamond" w:hAnsi="Garamond" w:cs="Garamond"/>
          <w:color w:val="2A2A2A"/>
          <w:sz w:val="22"/>
          <w:szCs w:val="22"/>
        </w:rPr>
        <w:t xml:space="preserve">(b) Upon publication of the declination, acting authority passes by constitutional operation to the next person in the applicable order of succession.</w:t>
      </w:r>
    </w:p>
    <w:p>
      <w:pPr>
        <w:spacing w:after="120"/>
        <w:ind w:left="720"/>
        <w:jc w:val="both"/>
      </w:pPr>
      <w:r>
        <w:rPr>
          <w:rFonts w:ascii="Garamond" w:eastAsia="Garamond" w:hAnsi="Garamond" w:cs="Garamond"/>
          <w:color w:val="2A2A2A"/>
          <w:sz w:val="22"/>
          <w:szCs w:val="22"/>
        </w:rPr>
        <w:t xml:space="preserve">(c) A declination is irrevocable and does not prejudice the person's eligibility for any future succession event. A person who does not publish a declination within 48 hours is deemed to have accepted.</w:t>
      </w:r>
    </w:p>
    <w:p>
      <w:pPr>
        <w:spacing w:after="120"/>
        <w:ind w:left="720"/>
        <w:jc w:val="both"/>
      </w:pPr>
      <w:r>
        <w:rPr>
          <w:rFonts w:ascii="Garamond" w:eastAsia="Garamond" w:hAnsi="Garamond" w:cs="Garamond"/>
          <w:color w:val="2A2A2A"/>
          <w:sz w:val="22"/>
          <w:szCs w:val="22"/>
        </w:rPr>
        <w:t xml:space="preserve">(d) The person last in the order of succession may not decline.</w:t>
      </w:r>
    </w:p>
    <w:p>
      <w:pPr>
        <w:spacing w:after="120"/>
        <w:ind w:left="431"/>
        <w:jc w:val="both"/>
      </w:pPr>
      <w:r>
        <w:rPr>
          <w:rFonts w:ascii="Garamond" w:eastAsia="Garamond" w:hAnsi="Garamond" w:cs="Garamond"/>
          <w:color w:val="2A2A2A"/>
          <w:sz w:val="22"/>
          <w:szCs w:val="22"/>
        </w:rPr>
        <w:t xml:space="preserve">(5) Duration. An incapacity under this section that has continued for 90 days ends by constitutional operation unless, before expiry, a removal process under §2.6 or §2.13 has been initiated against the Consul, in which case the incapacity continues until that process concludes.</w:t>
      </w:r>
    </w:p>
    <w:p w14:paraId="2CCB358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III — The Legislature</w:t>
      </w:r>
    </w:p>
    <w:p w14:paraId="0AD0B6E3" w14:textId="77777777" w:rsidR="00AF3D56" w:rsidRDefault="00000000">
      <w:pPr>
        <w:spacing w:before="200" w:after="60"/>
        <w:ind w:left="431"/>
      </w:pPr>
      <w:r>
        <w:rPr>
          <w:rFonts w:ascii="Courier New" w:eastAsia="Courier New" w:hAnsi="Courier New" w:cs="Courier New"/>
          <w:b/>
          <w:bCs/>
          <w:color w:val="2A2A2A"/>
          <w:sz w:val="18"/>
          <w:szCs w:val="18"/>
        </w:rPr>
        <w:t xml:space="preserve">§3.1  </w:t>
      </w:r>
      <w:r>
        <w:rPr>
          <w:rFonts w:ascii="Garamond" w:eastAsia="Garamond" w:hAnsi="Garamond" w:cs="Garamond"/>
          <w:i/>
          <w:iCs/>
          <w:color w:val="1B2A4A"/>
          <w:sz w:val="22"/>
          <w:szCs w:val="22"/>
        </w:rPr>
        <w:t>The Legislature</w:t>
      </w:r>
    </w:p>
    <w:p w14:paraId="0404E335" w14:textId="77777777" w:rsidR="00AF3D56" w:rsidRDefault="00000000">
      <w:pPr>
        <w:spacing w:after="120"/>
        <w:ind w:left="431"/>
        <w:jc w:val="both"/>
      </w:pPr>
      <w:r>
        <w:rPr>
          <w:rFonts w:ascii="Garamond" w:eastAsia="Garamond" w:hAnsi="Garamond" w:cs="Garamond"/>
          <w:color w:val="2A2A2A"/>
          <w:sz w:val="22"/>
          <w:szCs w:val="22"/>
        </w:rPr>
        <w:t>The Legislature comprises two chambers: the Assembly and the Senate. All legislation originates in the Assembly. The Senate reviews, may amend within the subject matter of the bill, and must act on every Assembly-passed bill within the period defined by statute, not to exceed 90 days — inaction triggers automatic deemed approval. In the absence of a statutory period, the Senate must act within 90 days of receipt. The Senate may, by majority of full seated membership, extend the review period for any bill by one additional period not to exceed 30 days, with stated cause published to the NRS; no further extension is available and deemed approval applies at expiry. Neither chamber may indefinitely delay business assigned to it by this constitution.</w:t>
      </w:r>
    </w:p>
    <w:p w14:paraId="4A8D1955" w14:textId="77777777" w:rsidR="00AF3D56" w:rsidRDefault="00000000">
      <w:pPr>
        <w:spacing w:before="200" w:after="60"/>
        <w:ind w:left="431"/>
      </w:pPr>
      <w:r>
        <w:rPr>
          <w:rFonts w:ascii="Courier New" w:eastAsia="Courier New" w:hAnsi="Courier New" w:cs="Courier New"/>
          <w:b/>
          <w:bCs/>
          <w:color w:val="2A2A2A"/>
          <w:sz w:val="18"/>
          <w:szCs w:val="18"/>
        </w:rPr>
        <w:t xml:space="preserve">§3.2  </w:t>
      </w:r>
      <w:r>
        <w:rPr>
          <w:rFonts w:ascii="Garamond" w:eastAsia="Garamond" w:hAnsi="Garamond" w:cs="Garamond"/>
          <w:i/>
          <w:iCs/>
          <w:color w:val="1B2A4A"/>
          <w:sz w:val="22"/>
          <w:szCs w:val="22"/>
        </w:rPr>
        <w:t>The Assembly</w:t>
      </w:r>
    </w:p>
    <w:p>
      <w:pPr>
        <w:spacing w:after="120"/>
        <w:ind w:left="431"/>
        <w:jc w:val="both"/>
      </w:pPr>
      <w:r>
        <w:rPr>
          <w:rFonts w:ascii="Garamond" w:eastAsia="Garamond" w:hAnsi="Garamond" w:cs="Garamond"/>
          <w:color w:val="2A2A2A"/>
          <w:sz w:val="22"/>
          <w:szCs w:val="22"/>
        </w:rPr>
        <w:t xml:space="preserve">(1) 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w:t>
      </w:r>
    </w:p>
    <w:p>
      <w:pPr>
        <w:spacing w:after="120"/>
        <w:ind w:left="431"/>
        <w:jc w:val="both"/>
      </w:pPr>
      <w:r>
        <w:rPr>
          <w:rFonts w:ascii="Garamond" w:eastAsia="Garamond" w:hAnsi="Garamond" w:cs="Garamond"/>
          <w:color w:val="2A2A2A"/>
          <w:sz w:val="22"/>
          <w:szCs w:val="22"/>
        </w:rPr>
        <w:t xml:space="preserve">(2) The census, conducted every ten years by a statutory independent agency, is the basis for reapportionment. The LM audits the census and allocation process.</w:t>
      </w:r>
    </w:p>
    <w:p>
      <w:pPr>
        <w:spacing w:after="120"/>
        <w:ind w:left="431"/>
        <w:jc w:val="both"/>
      </w:pPr>
      <w:r>
        <w:rPr>
          <w:rFonts w:ascii="Garamond" w:eastAsia="Garamond" w:hAnsi="Garamond" w:cs="Garamond"/>
          <w:color w:val="2A2A2A"/>
          <w:sz w:val="22"/>
          <w:szCs w:val="22"/>
        </w:rPr>
        <w:t xml:space="preserve">(3) The Assembly selects a Speaker from its own members by a method it establishes, provided the Speaker holds the support of a majority of full seated membership; the Speakership is a standing office, and its holder serves as Acting Civic Consul under §2.5 and §2.6.a. Quorum is a majority of full seated membership. The Assembly establishes its own internal procedures.</w:t>
      </w:r>
    </w:p>
    <w:p>
      <w:pPr>
        <w:spacing w:after="120"/>
        <w:ind w:left="431"/>
        <w:jc w:val="both"/>
      </w:pPr>
      <w:r>
        <w:rPr>
          <w:rFonts w:ascii="Garamond" w:eastAsia="Garamond" w:hAnsi="Garamond" w:cs="Garamond"/>
          <w:color w:val="2A2A2A"/>
          <w:sz w:val="22"/>
          <w:szCs w:val="22"/>
        </w:rPr>
        <w:t xml:space="preserve">(4) Members serve two-year terms. No member may serve more than six consecutive terms without sitting out one full electoral cycle; no cumulative lifetime restriction applies after the cooling-off period.</w:t>
      </w:r>
    </w:p>
    <w:p>
      <w:pPr>
        <w:spacing w:after="120"/>
        <w:ind w:left="431"/>
        <w:jc w:val="both"/>
      </w:pPr>
      <w:r>
        <w:rPr>
          <w:rFonts w:ascii="Garamond" w:eastAsia="Garamond" w:hAnsi="Garamond" w:cs="Garamond"/>
          <w:color w:val="2A2A2A"/>
          <w:sz w:val="22"/>
          <w:szCs w:val="22"/>
        </w:rPr>
        <w:t xml:space="preserve">(5) Any Assembly member who resigns, is expelled, or is removed by state recall at any point during a term shall be deemed to have served that full term for purposes of the consecutive-term limit.</w:t>
      </w:r>
    </w:p>
    <w:p>
      <w:pPr>
        <w:spacing w:after="120"/>
        <w:ind w:left="431"/>
        <w:jc w:val="both"/>
      </w:pPr>
      <w:r>
        <w:rPr>
          <w:rFonts w:ascii="Garamond" w:eastAsia="Garamond" w:hAnsi="Garamond" w:cs="Garamond"/>
          <w:color w:val="2A2A2A"/>
          <w:sz w:val="22"/>
          <w:szCs w:val="22"/>
        </w:rPr>
        <w:t xml:space="preserve">(6)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120"/>
        <w:ind w:left="431"/>
        <w:jc w:val="both"/>
      </w:pPr>
      <w:r>
        <w:rPr>
          <w:rFonts w:ascii="Garamond" w:eastAsia="Garamond" w:hAnsi="Garamond" w:cs="Garamond"/>
          <w:color w:val="2A2A2A"/>
          <w:sz w:val="22"/>
          <w:szCs w:val="22"/>
        </w:rPr>
        <w:t xml:space="preserve">(7) A State may establish by law a recall mechanism for its Assembly members;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14:paraId="1AD02533" w14:textId="77777777" w:rsidR="00AF3D56" w:rsidRDefault="00000000">
      <w:pPr>
        <w:spacing w:before="200" w:after="60"/>
        <w:ind w:left="431"/>
      </w:pPr>
      <w:r>
        <w:rPr>
          <w:rFonts w:ascii="Courier New" w:eastAsia="Courier New" w:hAnsi="Courier New" w:cs="Courier New"/>
          <w:b/>
          <w:bCs/>
          <w:color w:val="2A2A2A"/>
          <w:sz w:val="18"/>
          <w:szCs w:val="18"/>
        </w:rPr>
        <w:t xml:space="preserve">§3.3  </w:t>
      </w:r>
      <w:r>
        <w:rPr>
          <w:rFonts w:ascii="Garamond" w:eastAsia="Garamond" w:hAnsi="Garamond" w:cs="Garamond"/>
          <w:i/>
          <w:iCs/>
          <w:color w:val="1B2A4A"/>
          <w:sz w:val="22"/>
          <w:szCs w:val="22"/>
        </w:rPr>
        <w:t>Electoral Districts</w:t>
      </w:r>
    </w:p>
    <w:p w14:paraId="3E2FD7C4" w14:textId="77777777" w:rsidR="00AF3D56" w:rsidRDefault="00000000">
      <w:pPr>
        <w:spacing w:after="120"/>
        <w:ind w:left="431"/>
        <w:jc w:val="both"/>
      </w:pPr>
      <w:r>
        <w:rPr>
          <w:rFonts w:ascii="Garamond" w:eastAsia="Garamond" w:hAnsi="Garamond" w:cs="Garamond"/>
          <w:color w:val="2A2A2A"/>
          <w:sz w:val="22"/>
          <w:szCs w:val="22"/>
        </w:rPr>
        <w:t>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14:paraId="4C75438F" w14:textId="77777777" w:rsidR="00AF3D56" w:rsidRDefault="00000000">
      <w:pPr>
        <w:spacing w:before="200" w:after="60"/>
        <w:ind w:left="431"/>
      </w:pPr>
      <w:r>
        <w:rPr>
          <w:rFonts w:ascii="Courier New" w:eastAsia="Courier New" w:hAnsi="Courier New" w:cs="Courier New"/>
          <w:b/>
          <w:bCs/>
          <w:color w:val="2A2A2A"/>
          <w:sz w:val="18"/>
          <w:szCs w:val="18"/>
        </w:rPr>
        <w:t xml:space="preserve">§3.4  </w:t>
      </w:r>
      <w:r>
        <w:rPr>
          <w:rFonts w:ascii="Garamond" w:eastAsia="Garamond" w:hAnsi="Garamond" w:cs="Garamond"/>
          <w:i/>
          <w:iCs/>
          <w:color w:val="1B2A4A"/>
          <w:sz w:val="22"/>
          <w:szCs w:val="22"/>
        </w:rPr>
        <w:t>Legislative Standards</w:t>
      </w:r>
    </w:p>
    <w:p w14:paraId="49AD981F" w14:textId="77777777" w:rsidR="00AF3D56" w:rsidRDefault="00000000">
      <w:pPr>
        <w:spacing w:after="120"/>
        <w:ind w:left="431"/>
        <w:jc w:val="both"/>
      </w:pPr>
      <w:r>
        <w:rPr>
          <w:rFonts w:ascii="Garamond" w:eastAsia="Garamond" w:hAnsi="Garamond" w:cs="Garamond"/>
          <w:color w:val="2A2A2A"/>
          <w:sz w:val="22"/>
          <w:szCs w:val="22"/>
        </w:rPr>
        <w:t xml:space="preserve">Every bill must address a single, clearly defined subject. Any member or approval body in the legislative process may request an LM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The Legislature must establish a joint ethics committee with authority to </w:t>
        <w:lastRenderedPageBreak/>
        <w:t>sanction and refer members; removal requires 2/3 of the relevant chamber; under §9.1, the chamber may request an LM assessment to inform the proceeding.</w:t>
      </w:r>
    </w:p>
    <w:p w14:paraId="23B1A891" w14:textId="77777777" w:rsidR="00AF3D56" w:rsidRDefault="00000000">
      <w:pPr>
        <w:spacing w:before="200" w:after="60"/>
        <w:ind w:left="431"/>
      </w:pPr>
      <w:r>
        <w:rPr>
          <w:rFonts w:ascii="Courier New" w:eastAsia="Courier New" w:hAnsi="Courier New" w:cs="Courier New"/>
          <w:b/>
          <w:bCs/>
          <w:color w:val="2A2A2A"/>
          <w:sz w:val="18"/>
          <w:szCs w:val="18"/>
        </w:rPr>
        <w:t xml:space="preserve">§3.5  </w:t>
      </w:r>
      <w:r>
        <w:rPr>
          <w:rFonts w:ascii="Garamond" w:eastAsia="Garamond" w:hAnsi="Garamond" w:cs="Garamond"/>
          <w:i/>
          <w:iCs/>
          <w:color w:val="1B2A4A"/>
          <w:sz w:val="22"/>
          <w:szCs w:val="22"/>
        </w:rPr>
        <w:t>The Senate</w:t>
      </w:r>
    </w:p>
    <w:p>
      <w:pPr>
        <w:spacing w:after="120"/>
        <w:ind w:left="431"/>
        <w:jc w:val="both"/>
      </w:pPr>
      <w:r>
        <w:rPr>
          <w:rFonts w:ascii="Garamond" w:eastAsia="Garamond" w:hAnsi="Garamond" w:cs="Garamond"/>
          <w:color w:val="2A2A2A"/>
          <w:sz w:val="22"/>
          <w:szCs w:val="22"/>
        </w:rPr>
        <w:t xml:space="preserve">(1) The Senate comprises two senators per State regardless of population, elected for six-year staggered terms.</w:t>
      </w:r>
    </w:p>
    <w:p>
      <w:pPr>
        <w:spacing w:after="120"/>
        <w:ind w:left="431"/>
        <w:jc w:val="both"/>
      </w:pPr>
      <w:r>
        <w:rPr>
          <w:rFonts w:ascii="Garamond" w:eastAsia="Garamond" w:hAnsi="Garamond" w:cs="Garamond"/>
          <w:color w:val="2A2A2A"/>
          <w:sz w:val="22"/>
          <w:szCs w:val="22"/>
        </w:rPr>
        <w:t xml:space="preserve">(2)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w:t>
      </w:r>
    </w:p>
    <w:p>
      <w:pPr>
        <w:spacing w:after="120"/>
        <w:ind w:left="431"/>
        <w:jc w:val="both"/>
      </w:pPr>
      <w:r>
        <w:rPr>
          <w:rFonts w:ascii="Garamond" w:eastAsia="Garamond" w:hAnsi="Garamond" w:cs="Garamond"/>
          <w:color w:val="2A2A2A"/>
          <w:sz w:val="22"/>
          <w:szCs w:val="22"/>
        </w:rPr>
        <w:t xml:space="preserve">(3) No senator may serve more than two consecutive terms without sitting out one full term; no cumulative lifetime restriction applies after the cooling-off period.</w:t>
      </w:r>
    </w:p>
    <w:p>
      <w:pPr>
        <w:spacing w:after="120"/>
        <w:ind w:left="431"/>
        <w:jc w:val="both"/>
      </w:pPr>
      <w:r>
        <w:rPr>
          <w:rFonts w:ascii="Garamond" w:eastAsia="Garamond" w:hAnsi="Garamond" w:cs="Garamond"/>
          <w:color w:val="2A2A2A"/>
          <w:sz w:val="22"/>
          <w:szCs w:val="22"/>
        </w:rPr>
        <w:t xml:space="preserve">(4) Any senator who resigns, is expelled, or is removed by state recall at any point during a term shall be deemed to have served that full term for purposes of the consecutive-term limit.</w:t>
      </w:r>
    </w:p>
    <w:p>
      <w:pPr>
        <w:spacing w:after="120"/>
        <w:ind w:left="431"/>
        <w:jc w:val="both"/>
      </w:pPr>
      <w:r>
        <w:rPr>
          <w:rFonts w:ascii="Garamond" w:eastAsia="Garamond" w:hAnsi="Garamond" w:cs="Garamond"/>
          <w:color w:val="2A2A2A"/>
          <w:sz w:val="22"/>
          <w:szCs w:val="22"/>
        </w:rPr>
        <w:t xml:space="preserve">(5) The Senate Speaker is elected by senators and may not serve more than two consecutive full Senate terms as Speaker without sitting out one full Senate term.</w:t>
      </w:r>
    </w:p>
    <w:p>
      <w:pPr>
        <w:spacing w:after="120"/>
        <w:ind w:left="431"/>
        <w:jc w:val="both"/>
      </w:pPr>
      <w:r>
        <w:rPr>
          <w:rFonts w:ascii="Garamond" w:eastAsia="Garamond" w:hAnsi="Garamond" w:cs="Garamond"/>
          <w:color w:val="2A2A2A"/>
          <w:sz w:val="22"/>
          <w:szCs w:val="22"/>
        </w:rPr>
        <w:t xml:space="preserve">(6) The Senate defines its own internal procedures. The Senate may expel a member by 2/3 vote of full seated membership; expulsion is published to the NRS and is effective immediately.</w:t>
      </w:r>
    </w:p>
    <w:p>
      <w:pPr>
        <w:spacing w:after="120"/>
        <w:ind w:left="431"/>
        <w:jc w:val="both"/>
      </w:pPr>
      <w:r>
        <w:rPr>
          <w:rFonts w:ascii="Garamond" w:eastAsia="Garamond" w:hAnsi="Garamond" w:cs="Garamond"/>
          <w:color w:val="2A2A2A"/>
          <w:sz w:val="22"/>
          <w:szCs w:val="22"/>
        </w:rPr>
        <w:t xml:space="preserve">(7) A State may establish by law a recall mechanism for its senators;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w:t>
      </w:r>
    </w:p>
    <w:p>
      <w:pPr>
        <w:spacing w:after="120"/>
        <w:ind w:left="431"/>
        <w:jc w:val="both"/>
      </w:pPr>
      <w:r>
        <w:rPr>
          <w:rFonts w:ascii="Garamond" w:eastAsia="Garamond" w:hAnsi="Garamond" w:cs="Garamond"/>
          <w:color w:val="2A2A2A"/>
          <w:sz w:val="22"/>
          <w:szCs w:val="22"/>
        </w:rPr>
        <w:t xml:space="preserve">(8) The Senate holds exclusive authority over:</w:t>
      </w:r>
    </w:p>
    <w:p>
      <w:pPr>
        <w:spacing w:after="120"/>
        <w:ind w:left="720"/>
        <w:jc w:val="both"/>
      </w:pPr>
      <w:r>
        <w:rPr>
          <w:rFonts w:ascii="Garamond" w:eastAsia="Garamond" w:hAnsi="Garamond" w:cs="Garamond"/>
          <w:color w:val="2A2A2A"/>
          <w:sz w:val="22"/>
          <w:szCs w:val="22"/>
        </w:rPr>
        <w:t xml:space="preserve">— judicial confirmation;</w:t>
      </w:r>
    </w:p>
    <w:p>
      <w:pPr>
        <w:spacing w:after="120"/>
        <w:ind w:left="720"/>
        <w:jc w:val="both"/>
      </w:pPr>
      <w:r>
        <w:rPr>
          <w:rFonts w:ascii="Garamond" w:eastAsia="Garamond" w:hAnsi="Garamond" w:cs="Garamond"/>
          <w:color w:val="2A2A2A"/>
          <w:sz w:val="22"/>
          <w:szCs w:val="22"/>
        </w:rPr>
        <w:t xml:space="preserve">— treaty ratification by 2/3 of full seated membership;</w:t>
      </w:r>
    </w:p>
    <w:p>
      <w:pPr>
        <w:spacing w:after="120"/>
        <w:ind w:left="720"/>
        <w:jc w:val="both"/>
      </w:pPr>
      <w:r>
        <w:rPr>
          <w:rFonts w:ascii="Garamond" w:eastAsia="Garamond" w:hAnsi="Garamond" w:cs="Garamond"/>
          <w:color w:val="2A2A2A"/>
          <w:sz w:val="22"/>
          <w:szCs w:val="22"/>
        </w:rPr>
        <w:t xml:space="preserve">— and, in the absence of a functioning Elections Panel, administration of the consular election.</w:t>
      </w:r>
    </w:p>
    <w:p>
      <w:pPr>
        <w:spacing w:after="120"/>
        <w:ind w:left="431"/>
        <w:jc w:val="both"/>
      </w:pPr>
      <w:r>
        <w:rPr>
          <w:rFonts w:ascii="Garamond" w:eastAsia="Garamond" w:hAnsi="Garamond" w:cs="Garamond"/>
          <w:color w:val="2A2A2A"/>
          <w:sz w:val="22"/>
          <w:szCs w:val="22"/>
        </w:rPr>
        <w:t xml:space="preserve">(9) The Senate may not initiate legislation; all bills originate in the Assembly.</w:t>
      </w:r>
    </w:p>
    <w:p w14:paraId="1D954380" w14:textId="77777777" w:rsidR="00AF3D56" w:rsidRDefault="00000000">
      <w:pPr>
        <w:spacing w:before="200" w:after="60"/>
        <w:ind w:left="431"/>
      </w:pPr>
      <w:r>
        <w:rPr>
          <w:rFonts w:ascii="Courier New" w:eastAsia="Courier New" w:hAnsi="Courier New" w:cs="Courier New"/>
          <w:b/>
          <w:bCs/>
          <w:color w:val="2A2A2A"/>
          <w:sz w:val="18"/>
          <w:szCs w:val="18"/>
        </w:rPr>
        <w:t xml:space="preserve">§3.6  </w:t>
      </w:r>
      <w:r>
        <w:rPr>
          <w:rFonts w:ascii="Garamond" w:eastAsia="Garamond" w:hAnsi="Garamond" w:cs="Garamond"/>
          <w:i/>
          <w:iCs/>
          <w:color w:val="1B2A4A"/>
          <w:sz w:val="22"/>
          <w:szCs w:val="22"/>
        </w:rPr>
        <w:t>Treaty and Trade Agreement Ratification</w:t>
      </w:r>
    </w:p>
    <w:p w14:paraId="024B57DA" w14:textId="77777777" w:rsidR="00AF3D56" w:rsidRDefault="00000000">
      <w:pPr>
        <w:spacing w:after="120"/>
        <w:ind w:left="431"/>
        <w:jc w:val="both"/>
      </w:pPr>
      <w:r>
        <w:rPr>
          <w:rFonts w:ascii="Garamond" w:eastAsia="Garamond" w:hAnsi="Garamond" w:cs="Garamond"/>
          <w:color w:val="2A2A2A"/>
          <w:sz w:val="22"/>
          <w:szCs w:val="22"/>
        </w:rPr>
        <w:t>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The Senate must affirm withdrawal by 2/3 of its full seated membership within the period defined by statute, not to exceed 90 days; where the Senate does not affirm within that period, the notice is void and the Legat Consul must resubmit. Indigenous treaties under Article XVI may not be unilaterally withdrawn.</w:t>
      </w:r>
    </w:p>
    <w:p w14:paraId="1F75EB36" w14:textId="77777777" w:rsidR="00AF3D56" w:rsidRDefault="00000000">
      <w:pPr>
        <w:spacing w:before="200" w:after="60"/>
        <w:ind w:left="431"/>
      </w:pPr>
      <w:r>
        <w:rPr>
          <w:rFonts w:ascii="Courier New" w:eastAsia="Courier New" w:hAnsi="Courier New" w:cs="Courier New"/>
          <w:b/>
          <w:bCs/>
          <w:color w:val="2A2A2A"/>
          <w:sz w:val="18"/>
          <w:szCs w:val="18"/>
        </w:rPr>
        <w:t xml:space="preserve">§3.6.a  </w:t>
      </w:r>
      <w:r>
        <w:rPr>
          <w:rFonts w:ascii="Garamond" w:eastAsia="Garamond" w:hAnsi="Garamond" w:cs="Garamond"/>
          <w:i/>
          <w:iCs/>
          <w:color w:val="1B2A4A"/>
          <w:sz w:val="22"/>
          <w:szCs w:val="22"/>
        </w:rPr>
        <w:t>Classification and Dispute Resolution</w:t>
      </w:r>
    </w:p>
    <w:p w14:paraId="09CD461F" w14:textId="77777777" w:rsidR="00AF3D56" w:rsidRDefault="00000000">
      <w:pPr>
        <w:spacing w:after="120"/>
        <w:ind w:left="431"/>
        <w:jc w:val="both"/>
      </w:pPr>
      <w:r>
        <w:rPr>
          <w:rFonts w:ascii="Garamond" w:eastAsia="Garamond" w:hAnsi="Garamond" w:cs="Garamond"/>
          <w:color w:val="2A2A2A"/>
          <w:sz w:val="22"/>
          <w:szCs w:val="22"/>
        </w:rPr>
        <w:t>Where the Senate disputes the Legat Consul's classification of an international instrument as a trade agreement, the instrument is treated as a treaty pending resolution. Either party may seek expedited judicial determination of the classification; the applicable court and process are defined by statute.</w:t>
      </w:r>
    </w:p>
    <w:p w14:paraId="2307D307" w14:textId="77777777" w:rsidR="00AF3D56" w:rsidRDefault="00000000">
      <w:pPr>
        <w:spacing w:before="200" w:after="60"/>
        <w:ind w:left="431"/>
      </w:pPr>
      <w:r>
        <w:rPr>
          <w:rFonts w:ascii="Courier New" w:eastAsia="Courier New" w:hAnsi="Courier New" w:cs="Courier New"/>
          <w:b/>
          <w:bCs/>
          <w:color w:val="2A2A2A"/>
          <w:sz w:val="18"/>
          <w:szCs w:val="18"/>
        </w:rPr>
        <w:t xml:space="preserve">§3.7  </w:t>
      </w:r>
      <w:r>
        <w:rPr>
          <w:rFonts w:ascii="Garamond" w:eastAsia="Garamond" w:hAnsi="Garamond" w:cs="Garamond"/>
          <w:i/>
          <w:iCs/>
          <w:color w:val="1B2A4A"/>
          <w:sz w:val="22"/>
          <w:szCs w:val="22"/>
        </w:rPr>
        <w:t>Legislative Process and Passage</w:t>
      </w:r>
    </w:p>
    <w:p w14:paraId="7E377D1E" w14:textId="77777777" w:rsidR="00AF3D56" w:rsidRDefault="00000000">
      <w:pPr>
        <w:spacing w:after="120"/>
        <w:ind w:left="431"/>
        <w:jc w:val="both"/>
      </w:pPr>
      <w:r>
        <w:rPr>
          <w:rFonts w:ascii="Garamond" w:eastAsia="Garamond" w:hAnsi="Garamond" w:cs="Garamond"/>
          <w:color w:val="2A2A2A"/>
          <w:sz w:val="22"/>
          <w:szCs w:val="22"/>
        </w:rPr>
        <w:t>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non-fulfillment directly impairs the exercise of a right guaranteed in Article I, affected parties may bring direct constitutional claims.</w:t>
      </w:r>
    </w:p>
    <w:p w14:paraId="31C7F657"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§3.8  </w:t>
      </w:r>
      <w:r>
        <w:rPr>
          <w:rFonts w:ascii="Garamond" w:eastAsia="Garamond" w:hAnsi="Garamond" w:cs="Garamond"/>
          <w:i/>
          <w:iCs/>
          <w:color w:val="1B2A4A"/>
          <w:sz w:val="22"/>
          <w:szCs w:val="22"/>
        </w:rPr>
        <w:t>Legislative Oversight</w:t>
      </w:r>
    </w:p>
    <w:p w14:paraId="45413DAD" w14:textId="77777777" w:rsidR="0088569E" w:rsidRDefault="00000000" w:rsidP="0088569E">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consistent with §1.22; it does not extend to criminal conduct.</w:t>
      </w:r>
    </w:p>
    <w:p w14:paraId="07D07263" w14:textId="0CB2DFD2" w:rsidR="00AF3D56" w:rsidRDefault="00000000" w:rsidP="0088569E">
      <w:pPr>
        <w:spacing w:after="120"/>
        <w:ind w:left="431"/>
        <w:jc w:val="both"/>
      </w:pPr>
      <w:r>
        <w:rPr>
          <w:rFonts w:ascii="Courier New" w:eastAsia="Courier New" w:hAnsi="Courier New" w:cs="Courier New"/>
          <w:b/>
          <w:bCs/>
          <w:color w:val="2A2A2A"/>
          <w:sz w:val="18"/>
          <w:szCs w:val="18"/>
        </w:rPr>
        <w:t xml:space="preserve">§3.9  </w:t>
      </w:r>
      <w:r>
        <w:rPr>
          <w:rFonts w:ascii="Garamond" w:eastAsia="Garamond" w:hAnsi="Garamond" w:cs="Garamond"/>
          <w:i/>
          <w:iCs/>
          <w:color w:val="1B2A4A"/>
          <w:sz w:val="22"/>
          <w:szCs w:val="22"/>
        </w:rPr>
        <w:t>Independent Statutory Agencies</w:t>
      </w:r>
    </w:p>
    <w:p w14:paraId="62C10486" w14:textId="77777777" w:rsidR="00AF3D56" w:rsidRDefault="00000000">
      <w:pPr>
        <w:spacing w:after="120"/>
        <w:ind w:left="431"/>
        <w:jc w:val="both"/>
      </w:pPr>
      <w:r>
        <w:rPr>
          <w:rFonts w:ascii="Garamond" w:eastAsia="Garamond" w:hAnsi="Garamond" w:cs="Garamond"/>
          <w:color w:val="2A2A2A"/>
          <w:sz w:val="22"/>
          <w:szCs w:val="22"/>
        </w:rPr>
        <w:t>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14:paraId="21D76A3D" w14:textId="77777777" w:rsidR="00AF3D56" w:rsidRDefault="00000000">
      <w:pPr>
        <w:spacing w:before="200" w:after="60"/>
        <w:ind w:left="431"/>
      </w:pPr>
      <w:r>
        <w:rPr>
          <w:rFonts w:ascii="Courier New" w:eastAsia="Courier New" w:hAnsi="Courier New" w:cs="Courier New"/>
          <w:b/>
          <w:bCs/>
          <w:color w:val="2A2A2A"/>
          <w:sz w:val="18"/>
          <w:szCs w:val="18"/>
        </w:rPr>
        <w:t xml:space="preserve">§3.10  </w:t>
      </w:r>
      <w:r>
        <w:rPr>
          <w:rFonts w:ascii="Garamond" w:eastAsia="Garamond" w:hAnsi="Garamond" w:cs="Garamond"/>
          <w:i/>
          <w:iCs/>
          <w:color w:val="1B2A4A"/>
          <w:sz w:val="22"/>
          <w:szCs w:val="22"/>
        </w:rPr>
        <w:t>Removal Pathways</w:t>
      </w:r>
    </w:p>
    <w:p w:rsidR="00AF3D56" w:rsidRDefault="00000000">
      <w:pPr>
        <w:spacing w:after="120"/>
        <w:ind w:left="431"/>
        <w:jc w:val="both"/>
      </w:pPr>
      <w:r>
        <w:rPr>
          <w:rFonts w:ascii="Garamond" w:eastAsia="Garamond" w:hAnsi="Garamond" w:cs="Garamond"/>
          <w:color w:val="2A2A2A"/>
          <w:sz w:val="22"/>
          <w:szCs w:val="22"/>
        </w:rPr>
        <w:t>Removal of constitutional officers proceeds exclusively as this Constitution provides: the Legat Consul under §2.13; the Civic Consul under §2.6; Supreme Court justices under §4.3.a; inferior court judges under §4.2; members of the Legislature by their own chamber under §3.2 or §3.5, or by State recall as recognized there; Legat Consul domain officers by the Senate under §2.4; ministers at the pleasure of the Civic Consul under §2.5; and constitutionally confirmed independent officers under §9.9. Criminal liability remains separately pursuable. No removal mechanism not provided for in this Constitution may be created by statute.</w:t>
      </w:r>
    </w:p>
    <w:p w14:paraId="643CB309" w14:textId="77777777" w:rsidR="00AF3D56" w:rsidRDefault="00000000">
      <w:pPr>
        <w:spacing w:before="200" w:after="60"/>
        <w:ind w:left="431"/>
      </w:pPr>
      <w:r>
        <w:rPr>
          <w:rFonts w:ascii="Courier New" w:eastAsia="Courier New" w:hAnsi="Courier New" w:cs="Courier New"/>
          <w:b/>
          <w:bCs/>
          <w:color w:val="2A2A2A"/>
          <w:sz w:val="18"/>
          <w:szCs w:val="18"/>
        </w:rPr>
        <w:t xml:space="preserve">§3.11  </w:t>
      </w:r>
      <w:r>
        <w:rPr>
          <w:rFonts w:ascii="Garamond" w:eastAsia="Garamond" w:hAnsi="Garamond" w:cs="Garamond"/>
          <w:i/>
          <w:iCs/>
          <w:color w:val="1B2A4A"/>
          <w:sz w:val="22"/>
          <w:szCs w:val="22"/>
        </w:rPr>
        <w:t>Inviolability of Electoral Mandates</w:t>
      </w:r>
    </w:p>
    <w:p w14:paraId="07AD5516" w14:textId="77777777" w:rsidR="00AF3D56" w:rsidRDefault="00000000">
      <w:pPr>
        <w:spacing w:after="120"/>
        <w:ind w:left="431"/>
        <w:jc w:val="both"/>
      </w:pPr>
      <w:r>
        <w:rPr>
          <w:rFonts w:ascii="Garamond" w:eastAsia="Garamond" w:hAnsi="Garamond" w:cs="Garamond"/>
          <w:color w:val="2A2A2A"/>
          <w:sz w:val="22"/>
          <w:szCs w:val="22"/>
        </w:rPr>
        <w:t>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removal under the provisions enumerated in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14:paraId="1FA5E74A" w14:textId="77777777" w:rsidR="00AF3D56" w:rsidRDefault="00000000">
      <w:pPr>
        <w:spacing w:before="200" w:after="60"/>
        <w:ind w:left="431"/>
      </w:pPr>
      <w:r>
        <w:rPr>
          <w:rFonts w:ascii="Courier New" w:eastAsia="Courier New" w:hAnsi="Courier New" w:cs="Courier New"/>
          <w:b/>
          <w:bCs/>
          <w:color w:val="2A2A2A"/>
          <w:sz w:val="18"/>
          <w:szCs w:val="18"/>
        </w:rPr>
        <w:t xml:space="preserve">§3.12  </w:t>
      </w:r>
      <w:r>
        <w:rPr>
          <w:rFonts w:ascii="Garamond" w:eastAsia="Garamond" w:hAnsi="Garamond" w:cs="Garamond"/>
          <w:i/>
          <w:iCs/>
          <w:color w:val="1B2A4A"/>
          <w:sz w:val="22"/>
          <w:szCs w:val="22"/>
        </w:rPr>
        <w:t>Disqualifying Offense</w:t>
      </w:r>
    </w:p>
    <w:p w14:paraId="3AA6C17F" w14:textId="77777777" w:rsidR="00AF3D56" w:rsidRDefault="00000000">
      <w:pPr>
        <w:spacing w:after="120"/>
        <w:ind w:left="431"/>
        <w:jc w:val="both"/>
      </w:pPr>
      <w:r>
        <w:rPr>
          <w:rFonts w:ascii="Garamond" w:eastAsia="Garamond" w:hAnsi="Garamond" w:cs="Garamond"/>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disqualifying offense is a ground for the removal of a person already holding office under the provisions that reference it; it does not govern eligibility to seek or hold federal office, which is governed exclusively by §7.4. A pardon granted under §2.12 does not clear the offense's status as a disqualifying offense unless the pardoning instrument expressly states that this status is cleared and the EM publishes to the NRS that the pardoning instrument expressly so states. Where a conviction is </w:t>
        <w:lastRenderedPageBreak/>
        <w:t>under appeal at the time a relevant constitutional determination is made, the conviction stands for constitutional purposes unless and until it is reversed by a court of competent jurisdiction.</w:t>
      </w:r>
    </w:p>
    <w:p w14:paraId="2A5A0725" w14:textId="77777777" w:rsidR="00AF3D56" w:rsidRDefault="00000000">
      <w:pPr>
        <w:spacing w:before="200" w:after="60"/>
        <w:ind w:left="431"/>
      </w:pPr>
      <w:r>
        <w:rPr>
          <w:rFonts w:ascii="Courier New" w:eastAsia="Courier New" w:hAnsi="Courier New" w:cs="Courier New"/>
          <w:b/>
          <w:bCs/>
          <w:color w:val="2A2A2A"/>
          <w:sz w:val="18"/>
          <w:szCs w:val="18"/>
        </w:rPr>
        <w:t xml:space="preserve">§3.13  </w:t>
      </w:r>
      <w:r>
        <w:rPr>
          <w:rFonts w:ascii="Garamond" w:eastAsia="Garamond" w:hAnsi="Garamond" w:cs="Garamond"/>
          <w:i/>
          <w:iCs/>
          <w:color w:val="1B2A4A"/>
          <w:sz w:val="22"/>
          <w:szCs w:val="22"/>
        </w:rPr>
        <w:t>Continuity of Constitutionally Mandated Offices</w:t>
      </w:r>
    </w:p>
    <w:p w14:paraId="5AD0E065" w14:textId="77777777" w:rsidR="00AF3D56" w:rsidRDefault="00000000">
      <w:pPr>
        <w:spacing w:after="120"/>
        <w:ind w:left="431"/>
        <w:jc w:val="both"/>
      </w:pPr>
      <w:r>
        <w:rPr>
          <w:rFonts w:ascii="Garamond" w:eastAsia="Garamond" w:hAnsi="Garamond" w:cs="Garamond"/>
          <w:color w:val="2A2A2A"/>
          <w:sz w:val="22"/>
          <w:szCs w:val="22"/>
        </w:rPr>
        <w:t>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14:paraId="1A3D673F" w14:textId="77777777" w:rsidR="00AF3D56" w:rsidRDefault="00000000">
      <w:pPr>
        <w:spacing w:before="200" w:after="60"/>
        <w:ind w:left="431"/>
      </w:pPr>
      <w:r>
        <w:rPr>
          <w:rFonts w:ascii="Courier New" w:eastAsia="Courier New" w:hAnsi="Courier New" w:cs="Courier New"/>
          <w:b/>
          <w:bCs/>
          <w:color w:val="2A2A2A"/>
          <w:sz w:val="18"/>
          <w:szCs w:val="18"/>
        </w:rPr>
        <w:t xml:space="preserve">§3.14  </w:t>
      </w:r>
      <w:r>
        <w:rPr>
          <w:rFonts w:ascii="Garamond" w:eastAsia="Garamond" w:hAnsi="Garamond" w:cs="Garamond"/>
          <w:i/>
          <w:iCs/>
          <w:color w:val="1B2A4A"/>
          <w:sz w:val="22"/>
          <w:szCs w:val="22"/>
        </w:rPr>
        <w:t>Federal Legislative Competence</w:t>
      </w:r>
    </w:p>
    <w:p w14:paraId="40AEAC96" w14:textId="77777777" w:rsidR="00AF3D56" w:rsidRDefault="00000000">
      <w:pPr>
        <w:spacing w:after="120"/>
        <w:ind w:left="431"/>
        <w:jc w:val="both"/>
      </w:pPr>
      <w:r>
        <w:rPr>
          <w:rFonts w:ascii="Garamond" w:eastAsia="Garamond" w:hAnsi="Garamond" w:cs="Garamond"/>
          <w:color w:val="2A2A2A"/>
          <w:sz w:val="22"/>
          <w:szCs w:val="22"/>
        </w:rPr>
        <w:t>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14:paraId="081FC206" w14:textId="77777777" w:rsidR="00AF3D56" w:rsidRDefault="00000000">
      <w:pPr>
        <w:spacing w:before="200" w:after="60"/>
        <w:ind w:left="431"/>
      </w:pPr>
      <w:r>
        <w:rPr>
          <w:rFonts w:ascii="Courier New" w:eastAsia="Courier New" w:hAnsi="Courier New" w:cs="Courier New"/>
          <w:b/>
          <w:bCs/>
          <w:color w:val="2A2A2A"/>
          <w:sz w:val="18"/>
          <w:szCs w:val="18"/>
        </w:rPr>
        <w:t xml:space="preserve">§3.15  </w:t>
      </w:r>
      <w:r>
        <w:rPr>
          <w:rFonts w:ascii="Garamond" w:eastAsia="Garamond" w:hAnsi="Garamond" w:cs="Garamond"/>
          <w:i/>
          <w:iCs/>
          <w:color w:val="1B2A4A"/>
          <w:sz w:val="22"/>
          <w:szCs w:val="22"/>
        </w:rPr>
        <w:t>Delegation of Authority</w:t>
      </w:r>
    </w:p>
    <w:p w14:paraId="45631741" w14:textId="77777777" w:rsidR="00AF3D56" w:rsidRDefault="00000000">
      <w:pPr>
        <w:spacing w:after="120"/>
        <w:ind w:left="431"/>
        <w:jc w:val="both"/>
      </w:pPr>
      <w:r>
        <w:rPr>
          <w:rFonts w:ascii="Garamond" w:eastAsia="Garamond" w:hAnsi="Garamond" w:cs="Garamond"/>
          <w:color w:val="2A2A2A"/>
          <w:sz w:val="22"/>
          <w:szCs w:val="22"/>
        </w:rPr>
        <w:t>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14:paraId="057FDF80"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IV — The Judicial Architecture</w:t>
      </w:r>
    </w:p>
    <w:p w14:paraId="15ADDE89" w14:textId="77777777" w:rsidR="00AF3D56" w:rsidRDefault="00000000">
      <w:pPr>
        <w:spacing w:before="200" w:after="60"/>
        <w:ind w:left="431"/>
      </w:pPr>
      <w:r>
        <w:rPr>
          <w:rFonts w:ascii="Courier New" w:eastAsia="Courier New" w:hAnsi="Courier New" w:cs="Courier New"/>
          <w:b/>
          <w:bCs/>
          <w:color w:val="2A2A2A"/>
          <w:sz w:val="18"/>
          <w:szCs w:val="18"/>
        </w:rPr>
        <w:t xml:space="preserve">§4.1  </w:t>
      </w:r>
      <w:r>
        <w:rPr>
          <w:rFonts w:ascii="Garamond" w:eastAsia="Garamond" w:hAnsi="Garamond" w:cs="Garamond"/>
          <w:i/>
          <w:iCs/>
          <w:color w:val="1B2A4A"/>
          <w:sz w:val="22"/>
          <w:szCs w:val="22"/>
        </w:rPr>
        <w:t>Court Structure</w:t>
      </w:r>
    </w:p>
    <w:p w14:paraId="4A3EE79D" w14:textId="77777777" w:rsidR="00AF3D56" w:rsidRDefault="00000000">
      <w:pPr>
        <w:spacing w:after="120"/>
        <w:ind w:left="431"/>
        <w:jc w:val="both"/>
      </w:pPr>
      <w:r>
        <w:rPr>
          <w:rFonts w:ascii="Garamond" w:eastAsia="Garamond" w:hAnsi="Garamond" w:cs="Garamond"/>
          <w:color w:val="2A2A2A"/>
          <w:sz w:val="22"/>
          <w:szCs w:val="22"/>
        </w:rPr>
        <w:t>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14:paraId="6A485490" w14:textId="77777777" w:rsidR="00AF3D56" w:rsidRDefault="00000000">
      <w:pPr>
        <w:spacing w:before="200" w:after="60"/>
        <w:ind w:left="431"/>
      </w:pPr>
      <w:r>
        <w:rPr>
          <w:rFonts w:ascii="Courier New" w:eastAsia="Courier New" w:hAnsi="Courier New" w:cs="Courier New"/>
          <w:b/>
          <w:bCs/>
          <w:color w:val="2A2A2A"/>
          <w:sz w:val="18"/>
          <w:szCs w:val="18"/>
        </w:rPr>
        <w:t xml:space="preserve">§4.2  </w:t>
      </w:r>
      <w:r>
        <w:rPr>
          <w:rFonts w:ascii="Garamond" w:eastAsia="Garamond" w:hAnsi="Garamond" w:cs="Garamond"/>
          <w:i/>
          <w:iCs/>
          <w:color w:val="1B2A4A"/>
          <w:sz w:val="22"/>
          <w:szCs w:val="22"/>
        </w:rPr>
        <w:t>Judicial Appointments and Independence</w:t>
      </w:r>
    </w:p>
    <w:p>
      <w:pPr>
        <w:spacing w:after="120"/>
        <w:ind w:left="431"/>
        <w:jc w:val="both"/>
      </w:pPr>
      <w:r>
        <w:rPr>
          <w:rFonts w:ascii="Garamond" w:eastAsia="Garamond" w:hAnsi="Garamond" w:cs="Garamond"/>
          <w:color w:val="2A2A2A"/>
          <w:sz w:val="22"/>
          <w:szCs w:val="22"/>
        </w:rPr>
        <w:t xml:space="preserve">(1) Any citizen meeting the eligibility criteria established in §9.4.a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w:t>
      </w:r>
    </w:p>
    <w:p>
      <w:pPr>
        <w:spacing w:after="120"/>
        <w:ind w:left="431"/>
        <w:jc w:val="both"/>
      </w:pPr>
      <w:r>
        <w:rPr>
          <w:rFonts w:ascii="Garamond" w:eastAsia="Garamond" w:hAnsi="Garamond" w:cs="Garamond"/>
          <w:color w:val="2A2A2A"/>
          <w:sz w:val="22"/>
          <w:szCs w:val="22"/>
        </w:rPr>
        <w:t xml:space="preserve">(2) The Civic Consul nominates inferior court judges from the Judicial Pool maintained by the Elections Panel under §9.8. The Civic Consul must nominate within the period defined by statute following a vacancy, not to exceed 90 days where no statutory period has been defined. The Senate confirms by 2/3.</w:t>
      </w:r>
    </w:p>
    <w:p>
      <w:pPr>
        <w:spacing w:after="120"/>
        <w:ind w:left="431"/>
        <w:jc w:val="both"/>
      </w:pPr>
      <w:r>
        <w:rPr>
          <w:rFonts w:ascii="Garamond" w:eastAsia="Garamond" w:hAnsi="Garamond" w:cs="Garamond"/>
          <w:color w:val="2A2A2A"/>
          <w:sz w:val="22"/>
          <w:szCs w:val="22"/>
        </w:rPr>
        <w:t xml:space="preserve">(3)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w:t>
      </w:r>
    </w:p>
    <w:p>
      <w:pPr>
        <w:spacing w:after="120"/>
        <w:ind w:left="431"/>
        <w:jc w:val="both"/>
      </w:pPr>
      <w:r>
        <w:rPr>
          <w:rFonts w:ascii="Garamond" w:eastAsia="Garamond" w:hAnsi="Garamond" w:cs="Garamond"/>
          <w:color w:val="2A2A2A"/>
          <w:sz w:val="22"/>
          <w:szCs w:val="22"/>
        </w:rPr>
        <w:t xml:space="preserve">(4) Judicial removal occurs through three tracks:</w:t>
      </w:r>
    </w:p>
    <w:p>
      <w:pPr>
        <w:spacing w:after="120"/>
        <w:ind w:left="720"/>
        <w:jc w:val="both"/>
      </w:pPr>
      <w:r>
        <w:rPr>
          <w:rFonts w:ascii="Garamond" w:eastAsia="Garamond" w:hAnsi="Garamond" w:cs="Garamond"/>
          <w:color w:val="2A2A2A"/>
          <w:sz w:val="22"/>
          <w:szCs w:val="22"/>
        </w:rPr>
        <w:t xml:space="preserve">— legislative removal by 2/3 of both chambers on grounds of constitutional breach or demonstrated incapacity; under §9.1, either chamber may request an EM assessment to inform the proceeding;</w:t>
      </w:r>
    </w:p>
    <w:p>
      <w:pPr>
        <w:spacing w:after="120"/>
        <w:ind w:left="720"/>
        <w:jc w:val="both"/>
      </w:pPr>
      <w:r>
        <w:rPr>
          <w:rFonts w:ascii="Garamond" w:eastAsia="Garamond" w:hAnsi="Garamond" w:cs="Garamond"/>
          <w:color w:val="2A2A2A"/>
          <w:sz w:val="22"/>
          <w:szCs w:val="22"/>
        </w:rPr>
        <w:t xml:space="preserve">— judicial discipline through a process established by statute under SC oversight;</w:t>
      </w:r>
    </w:p>
    <w:p>
      <w:pPr>
        <w:spacing w:after="120"/>
        <w:ind w:left="720"/>
        <w:jc w:val="both"/>
      </w:pPr>
      <w:r>
        <w:rPr>
          <w:rFonts w:ascii="Garamond" w:eastAsia="Garamond" w:hAnsi="Garamond" w:cs="Garamond"/>
          <w:color w:val="2A2A2A"/>
          <w:sz w:val="22"/>
          <w:szCs w:val="22"/>
        </w:rPr>
        <w:t xml:space="preserve">— or criminal conviction for a disqualifying offense.</w:t>
      </w:r>
    </w:p>
    <w:p>
      <w:pPr>
        <w:spacing w:after="120"/>
        <w:ind w:left="431"/>
        <w:jc w:val="both"/>
      </w:pPr>
      <w:r>
        <w:rPr>
          <w:rFonts w:ascii="Garamond" w:eastAsia="Garamond" w:hAnsi="Garamond" w:cs="Garamond"/>
          <w:color w:val="2A2A2A"/>
          <w:sz w:val="22"/>
          <w:szCs w:val="22"/>
        </w:rPr>
        <w:t xml:space="preserve">(5) No public official may direct, threaten, or seek to influence a judge's decision in any pending matter. Judicial compensation may not be reduced during a judge's term.</w:t>
      </w:r>
    </w:p>
    <w:p w14:paraId="1CA47B11" w14:textId="77777777" w:rsidR="00AF3D56" w:rsidRDefault="00000000">
      <w:pPr>
        <w:spacing w:before="200" w:after="60"/>
        <w:ind w:left="431"/>
      </w:pPr>
      <w:r>
        <w:rPr>
          <w:rFonts w:ascii="Courier New" w:eastAsia="Courier New" w:hAnsi="Courier New" w:cs="Courier New"/>
          <w:b/>
          <w:bCs/>
          <w:color w:val="2A2A2A"/>
          <w:sz w:val="18"/>
          <w:szCs w:val="18"/>
        </w:rPr>
        <w:t xml:space="preserve">§4.3  </w:t>
      </w:r>
      <w:r>
        <w:rPr>
          <w:rFonts w:ascii="Garamond" w:eastAsia="Garamond" w:hAnsi="Garamond" w:cs="Garamond"/>
          <w:i/>
          <w:iCs/>
          <w:color w:val="1B2A4A"/>
          <w:sz w:val="22"/>
          <w:szCs w:val="22"/>
        </w:rPr>
        <w:t>The Supreme Court</w:t>
      </w:r>
    </w:p>
    <w:p w14:paraId="6D120E92" w14:textId="77777777" w:rsidR="00AF3D56" w:rsidRDefault="00000000">
      <w:pPr>
        <w:spacing w:after="120"/>
        <w:ind w:left="431"/>
        <w:jc w:val="both"/>
      </w:pPr>
      <w:r>
        <w:rPr>
          <w:rFonts w:ascii="Garamond" w:eastAsia="Garamond" w:hAnsi="Garamond" w:cs="Garamond"/>
          <w:color w:val="2A2A2A"/>
          <w:sz w:val="22"/>
          <w:szCs w:val="22"/>
        </w:rPr>
        <w:t>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14:paraId="68C5D73F" w14:textId="77777777" w:rsidR="00AF3D56" w:rsidRDefault="00000000">
      <w:pPr>
        <w:spacing w:before="200" w:after="60"/>
        <w:ind w:left="431"/>
      </w:pPr>
      <w:r>
        <w:rPr>
          <w:rFonts w:ascii="Courier New" w:eastAsia="Courier New" w:hAnsi="Courier New" w:cs="Courier New"/>
          <w:b/>
          <w:bCs/>
          <w:color w:val="2A2A2A"/>
          <w:sz w:val="18"/>
          <w:szCs w:val="18"/>
        </w:rPr>
        <w:t xml:space="preserve">§4.3.a  </w:t>
      </w:r>
      <w:r>
        <w:rPr>
          <w:rFonts w:ascii="Garamond" w:eastAsia="Garamond" w:hAnsi="Garamond" w:cs="Garamond"/>
          <w:i/>
          <w:iCs/>
          <w:color w:val="1B2A4A"/>
          <w:sz w:val="22"/>
          <w:szCs w:val="22"/>
        </w:rPr>
        <w:t>Supreme Court Justice Removal</w:t>
      </w:r>
    </w:p>
    <w:p w14:paraId="08DF6E6C" w14:textId="77777777" w:rsidR="00AF3D56" w:rsidRDefault="00000000">
      <w:pPr>
        <w:spacing w:after="120"/>
        <w:ind w:left="431"/>
        <w:jc w:val="both"/>
      </w:pPr>
      <w:r>
        <w:rPr>
          <w:rFonts w:ascii="Garamond" w:eastAsia="Garamond" w:hAnsi="Garamond" w:cs="Garamond"/>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under §4.5; the SC must rule within 48 hours of petition. Judicial disagreement — however profound — does not constitute grounds for removal; the independence </w:t>
        <w:lastRenderedPageBreak/>
        <w:t>of SC judicial judgment is absolute and may not itself be invoked as grounds for removal. Upon removal, the most senior Appellate Court judge auto-designates as Temporary Associate Justice under §4.4 until the vacancy is filled.</w:t>
      </w:r>
    </w:p>
    <w:p w14:paraId="7E9BD33D" w14:textId="77777777" w:rsidR="00AF3D56" w:rsidRDefault="00000000">
      <w:pPr>
        <w:spacing w:before="200" w:after="60"/>
        <w:ind w:left="431"/>
      </w:pPr>
      <w:r>
        <w:rPr>
          <w:rFonts w:ascii="Courier New" w:eastAsia="Courier New" w:hAnsi="Courier New" w:cs="Courier New"/>
          <w:b/>
          <w:bCs/>
          <w:color w:val="2A2A2A"/>
          <w:sz w:val="18"/>
          <w:szCs w:val="18"/>
        </w:rPr>
        <w:t xml:space="preserve">§4.4  </w:t>
      </w:r>
      <w:r>
        <w:rPr>
          <w:rFonts w:ascii="Garamond" w:eastAsia="Garamond" w:hAnsi="Garamond" w:cs="Garamond"/>
          <w:i/>
          <w:iCs/>
          <w:color w:val="1B2A4A"/>
          <w:sz w:val="22"/>
          <w:szCs w:val="22"/>
        </w:rPr>
        <w:t>Supreme Court Selection</w:t>
      </w:r>
    </w:p>
    <w:p>
      <w:pPr>
        <w:spacing w:after="120"/>
        <w:ind w:left="431"/>
        <w:jc w:val="both"/>
      </w:pPr>
      <w:r>
        <w:rPr>
          <w:rFonts w:ascii="Garamond" w:eastAsia="Garamond" w:hAnsi="Garamond" w:cs="Garamond"/>
          <w:color w:val="2A2A2A"/>
          <w:sz w:val="22"/>
          <w:szCs w:val="22"/>
        </w:rPr>
        <w:t xml:space="preserve">(1) SC justices are nominated by the Civic Consul from the Judicial Pool maintained by the Elections Panel under §9.8 — any pool member meeting the statutory qualifications for Supreme Court appointment is eligible for SC nomination.</w:t>
      </w:r>
    </w:p>
    <w:p>
      <w:pPr>
        <w:spacing w:after="120"/>
        <w:ind w:left="431"/>
        <w:jc w:val="both"/>
      </w:pPr>
      <w:r>
        <w:rPr>
          <w:rFonts w:ascii="Garamond" w:eastAsia="Garamond" w:hAnsi="Garamond" w:cs="Garamond"/>
          <w:color w:val="2A2A2A"/>
          <w:sz w:val="22"/>
          <w:szCs w:val="22"/>
        </w:rPr>
        <w:t xml:space="preserve">(2) The Civic Consul nominates within the period defined by statute following a vacancy (not to exceed 90 days for anticipated vacancies, 60 days for unanticipated vacancies).</w:t>
      </w:r>
    </w:p>
    <w:p>
      <w:pPr>
        <w:spacing w:after="120"/>
        <w:ind w:left="431"/>
        <w:jc w:val="both"/>
      </w:pPr>
      <w:r>
        <w:rPr>
          <w:rFonts w:ascii="Garamond" w:eastAsia="Garamond" w:hAnsi="Garamond" w:cs="Garamond"/>
          <w:color w:val="2A2A2A"/>
          <w:sz w:val="22"/>
          <w:szCs w:val="22"/>
        </w:rPr>
        <w:t xml:space="preserve">(3)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w:t>
      </w:r>
    </w:p>
    <w:p>
      <w:pPr>
        <w:spacing w:after="120"/>
        <w:ind w:left="431"/>
        <w:jc w:val="both"/>
      </w:pPr>
      <w:r>
        <w:rPr>
          <w:rFonts w:ascii="Garamond" w:eastAsia="Garamond" w:hAnsi="Garamond" w:cs="Garamond"/>
          <w:color w:val="2A2A2A"/>
          <w:sz w:val="22"/>
          <w:szCs w:val="22"/>
        </w:rPr>
        <w:t xml:space="preserve">(4) If the Senate declines, the Civic Consul nominates again within the period defined by statute. Where the Civic Consul fails to nominate within 30 days after the expiry of the applicable nomination period, the Senate may select a nominee directly from the Judicial Pool by 2/3 vote of full seated membership; a Senate selection under this provision requires no further Civic Consul nomination and proceeds directly to confirmation.</w:t>
      </w:r>
    </w:p>
    <w:p>
      <w:pPr>
        <w:spacing w:after="120"/>
        <w:ind w:left="431"/>
        <w:jc w:val="both"/>
      </w:pPr>
      <w:r>
        <w:rPr>
          <w:rFonts w:ascii="Garamond" w:eastAsia="Garamond" w:hAnsi="Garamond" w:cs="Garamond"/>
          <w:color w:val="2A2A2A"/>
          <w:sz w:val="22"/>
          <w:szCs w:val="22"/>
        </w:rPr>
        <w:t xml:space="preserve">(5) The confirmed justice serves a single non-renewable 12-year term from the date of confirmation. A mid-term replacement serves only the remainder of the original term.</w:t>
      </w:r>
    </w:p>
    <w:p>
      <w:pPr>
        <w:spacing w:after="120"/>
        <w:ind w:left="431"/>
        <w:jc w:val="both"/>
      </w:pPr>
      <w:r>
        <w:rPr>
          <w:rFonts w:ascii="Garamond" w:eastAsia="Garamond" w:hAnsi="Garamond" w:cs="Garamond"/>
          <w:color w:val="2A2A2A"/>
          <w:sz w:val="22"/>
          <w:szCs w:val="22"/>
        </w:rPr>
        <w:t xml:space="preserve">(6) At founding, the nine initial justices are confirmed simultaneously and assigned to their three classes by public lot.</w:t>
      </w:r>
    </w:p>
    <w:p>
      <w:pPr>
        <w:spacing w:after="120"/>
        <w:ind w:left="431"/>
        <w:jc w:val="both"/>
      </w:pPr>
      <w:r>
        <w:rPr>
          <w:rFonts w:ascii="Garamond" w:eastAsia="Garamond" w:hAnsi="Garamond" w:cs="Garamond"/>
          <w:color w:val="2A2A2A"/>
          <w:sz w:val="22"/>
          <w:szCs w:val="22"/>
        </w:rPr>
        <w:t xml:space="preserve">(7) Upon any SC vacancy, the most senior Appellate Court judge by continuous service is automatically designated Temporary Associate Justice within 5 days — without nomination or confirmation — holding full voting rights until the vacancy is filled; where two or more Appellate Court judges have equal continuous service, the oldest by age is designated. The Civic Consul may not nominate a serving Temporary Associate Justice for the seat they are temporarily filling through the ordinary appointment process under this section; this bar does not affect placement on a public confirmation ballot under §4.4.a.</w:t>
      </w:r>
    </w:p>
    <w:p w14:paraId="18E5DFD5" w14:textId="77777777" w:rsidR="00AF3D56" w:rsidRDefault="00000000">
      <w:pPr>
        <w:spacing w:before="200" w:after="60"/>
        <w:ind w:left="431"/>
      </w:pPr>
      <w:r>
        <w:rPr>
          <w:rFonts w:ascii="Courier New" w:eastAsia="Courier New" w:hAnsi="Courier New" w:cs="Courier New"/>
          <w:b/>
          <w:bCs/>
          <w:color w:val="2A2A2A"/>
          <w:sz w:val="18"/>
          <w:szCs w:val="18"/>
        </w:rPr>
        <w:t xml:space="preserve">§4.4.a  </w:t>
      </w:r>
      <w:r>
        <w:rPr>
          <w:rFonts w:ascii="Garamond" w:eastAsia="Garamond" w:hAnsi="Garamond" w:cs="Garamond"/>
          <w:i/>
          <w:iCs/>
          <w:color w:val="1B2A4A"/>
          <w:sz w:val="22"/>
          <w:szCs w:val="22"/>
        </w:rPr>
        <w:t>Senate Bypass — Public Confirmation</w:t>
      </w:r>
    </w:p>
    <w:p>
      <w:pPr>
        <w:spacing w:after="120"/>
        <w:ind w:left="431"/>
        <w:jc w:val="both"/>
      </w:pPr>
      <w:r>
        <w:rPr>
          <w:rFonts w:ascii="Garamond" w:eastAsia="Garamond" w:hAnsi="Garamond" w:cs="Garamond"/>
          <w:color w:val="2A2A2A"/>
          <w:sz w:val="22"/>
          <w:szCs w:val="22"/>
        </w:rPr>
        <w:t xml:space="preserve">Where the Senate has failed to vote on a nomination within the period required under §4.4, the Civic Consul may — with 2/3 Assembly consent — place the serving Temporary Associate Justice on the next federal electoral period ballot for public confirmation. Confirmation requires 60% of votes cast under §7.3;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14:paraId="3DEA753D" w14:textId="77777777" w:rsidR="00AF3D56" w:rsidRDefault="00000000">
      <w:pPr>
        <w:spacing w:before="200" w:after="60"/>
        <w:ind w:left="431"/>
      </w:pPr>
      <w:r>
        <w:rPr>
          <w:rFonts w:ascii="Courier New" w:eastAsia="Courier New" w:hAnsi="Courier New" w:cs="Courier New"/>
          <w:b/>
          <w:bCs/>
          <w:color w:val="2A2A2A"/>
          <w:sz w:val="18"/>
          <w:szCs w:val="18"/>
        </w:rPr>
        <w:t xml:space="preserve">§4.5  </w:t>
      </w:r>
      <w:r>
        <w:rPr>
          <w:rFonts w:ascii="Garamond" w:eastAsia="Garamond" w:hAnsi="Garamond" w:cs="Garamond"/>
          <w:i/>
          <w:iCs/>
          <w:color w:val="1B2A4A"/>
          <w:sz w:val="22"/>
          <w:szCs w:val="22"/>
        </w:rPr>
        <w:t>Judicial Review and Scope</w:t>
      </w:r>
    </w:p>
    <w:p>
      <w:pPr>
        <w:spacing w:after="120"/>
        <w:ind w:left="431"/>
        <w:jc w:val="both"/>
      </w:pPr>
      <w:r>
        <w:rPr>
          <w:rFonts w:ascii="Garamond" w:eastAsia="Garamond" w:hAnsi="Garamond" w:cs="Garamond"/>
          <w:color w:val="2A2A2A"/>
          <w:sz w:val="22"/>
          <w:szCs w:val="22"/>
        </w:rPr>
        <w:t xml:space="preserve">(1) 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w:t>
      </w:r>
    </w:p>
    <w:p>
      <w:pPr>
        <w:spacing w:after="120"/>
        <w:ind w:left="431"/>
        <w:jc w:val="both"/>
      </w:pPr>
      <w:r>
        <w:rPr>
          <w:rFonts w:ascii="Garamond" w:eastAsia="Garamond" w:hAnsi="Garamond" w:cs="Garamond"/>
          <w:color w:val="2A2A2A"/>
          <w:sz w:val="22"/>
          <w:szCs w:val="22"/>
        </w:rPr>
        <w:t xml:space="preserve">(2) Courts decide constitutional questions, not policy questions — Where a statute is ambiguous, courts apply the interpretation most consistent with this constitution. Courts may not rewrite clear statutory language.</w:t>
      </w:r>
    </w:p>
    <w:p>
      <w:pPr>
        <w:spacing w:after="120"/>
        <w:ind w:left="431"/>
        <w:jc w:val="both"/>
      </w:pPr>
      <w:r>
        <w:rPr>
          <w:rFonts w:ascii="Garamond" w:eastAsia="Garamond" w:hAnsi="Garamond" w:cs="Garamond"/>
          <w:color w:val="2A2A2A"/>
          <w:sz w:val="22"/>
          <w:szCs w:val="22"/>
        </w:rPr>
        <w:t xml:space="preserve">(3) Monitor findings published to the NRS are admissible and must be given due consideration; where a court's conclusions differ from a prior finding, the court must address the inconsistency in its written decision.</w:t>
      </w:r>
    </w:p>
    <w:p>
      <w:pPr>
        <w:spacing w:after="120"/>
        <w:ind w:left="431"/>
        <w:jc w:val="both"/>
      </w:pPr>
      <w:r>
        <w:rPr>
          <w:rFonts w:ascii="Garamond" w:eastAsia="Garamond" w:hAnsi="Garamond" w:cs="Garamond"/>
          <w:color w:val="2A2A2A"/>
          <w:sz w:val="22"/>
          <w:szCs w:val="22"/>
        </w:rPr>
        <w:t xml:space="preserve">(4) Any person with a concrete, articulable legal injury has the right to seek relief from a court of competent jurisdiction; the Legislature may not structure the judicial system in a manner that leaves any category of legal injury without a forum for relief.</w:t>
      </w:r>
    </w:p>
    <w:p>
      <w:pPr>
        <w:spacing w:after="120"/>
        <w:ind w:left="431"/>
        <w:jc w:val="both"/>
      </w:pPr>
      <w:r>
        <w:rPr>
          <w:rFonts w:ascii="Garamond" w:eastAsia="Garamond" w:hAnsi="Garamond" w:cs="Garamond"/>
          <w:color w:val="2A2A2A"/>
          <w:sz w:val="22"/>
          <w:szCs w:val="22"/>
        </w:rPr>
        <w:t xml:space="preserve">(5) The SC has original jurisdiction over:</w:t>
      </w:r>
    </w:p>
    <w:p>
      <w:pPr>
        <w:spacing w:after="120"/>
        <w:ind w:left="720"/>
        <w:jc w:val="both"/>
      </w:pPr>
      <w:r>
        <w:rPr>
          <w:rFonts w:ascii="Garamond" w:eastAsia="Garamond" w:hAnsi="Garamond" w:cs="Garamond"/>
          <w:color w:val="2A2A2A"/>
          <w:sz w:val="22"/>
          <w:szCs w:val="22"/>
        </w:rPr>
        <w:t xml:space="preserve">— constitutional disputes between States, between a State and the federal government, and constitutional challenges to federal statutes;</w:t>
      </w:r>
    </w:p>
    <w:p>
      <w:pPr>
        <w:spacing w:after="120"/>
        <w:ind w:left="720"/>
        <w:jc w:val="both"/>
      </w:pPr>
      <w:r>
        <w:rPr>
          <w:rFonts w:ascii="Garamond" w:eastAsia="Garamond" w:hAnsi="Garamond" w:cs="Garamond"/>
          <w:color w:val="2A2A2A"/>
          <w:sz w:val="22"/>
          <w:szCs w:val="22"/>
        </w:rPr>
        <w:t xml:space="preserve">— disputes between the Legat Consul and Civic Consul concerning their respective constitutional domains under §2.1;</w:t>
      </w:r>
    </w:p>
    <w:p>
      <w:pPr>
        <w:spacing w:after="120"/>
        <w:ind w:left="720"/>
        <w:jc w:val="both"/>
      </w:pPr>
      <w:r>
        <w:rPr>
          <w:rFonts w:ascii="Garamond" w:eastAsia="Garamond" w:hAnsi="Garamond" w:cs="Garamond"/>
          <w:color w:val="2A2A2A"/>
          <w:sz w:val="22"/>
          <w:szCs w:val="22"/>
        </w:rPr>
        <w:t xml:space="preserve">— constitutional challenges involving constitutionally independent institutions where their independence protections make inferior court review structurally inappropriate;</w:t>
      </w:r>
    </w:p>
    <w:p>
      <w:pPr>
        <w:spacing w:after="120"/>
        <w:ind w:left="720"/>
        <w:jc w:val="both"/>
      </w:pPr>
      <w:r>
        <w:rPr>
          <w:rFonts w:ascii="Garamond" w:eastAsia="Garamond" w:hAnsi="Garamond" w:cs="Garamond"/>
          <w:color w:val="2A2A2A"/>
          <w:sz w:val="22"/>
          <w:szCs w:val="22"/>
        </w:rPr>
        <w:t xml:space="preserve">— emergency rights claims brought directly under §16.2;</w:t>
      </w:r>
    </w:p>
    <w:p>
      <w:pPr>
        <w:spacing w:after="120"/>
        <w:ind w:left="720"/>
        <w:jc w:val="both"/>
      </w:pPr>
      <w:r>
        <w:rPr>
          <w:rFonts w:ascii="Garamond" w:eastAsia="Garamond" w:hAnsi="Garamond" w:cs="Garamond"/>
          <w:color w:val="2A2A2A"/>
          <w:sz w:val="22"/>
          <w:szCs w:val="22"/>
        </w:rPr>
        <w:t xml:space="preserve">— and disputes over the consistency of ratified amendments with entrenched provisions under §17.3.</w:t>
      </w:r>
    </w:p>
    <w:p>
      <w:pPr>
        <w:spacing w:after="120"/>
        <w:ind w:left="431"/>
        <w:jc w:val="both"/>
      </w:pPr>
      <w:r>
        <w:rPr>
          <w:rFonts w:ascii="Garamond" w:eastAsia="Garamond" w:hAnsi="Garamond" w:cs="Garamond"/>
          <w:color w:val="2A2A2A"/>
          <w:sz w:val="22"/>
          <w:szCs w:val="22"/>
        </w:rPr>
        <w:t xml:space="preserve">(6)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w:t>
      </w:r>
    </w:p>
    <w:p>
      <w:pPr>
        <w:spacing w:after="120"/>
        <w:ind w:left="431"/>
        <w:jc w:val="both"/>
      </w:pPr>
      <w:r>
        <w:rPr>
          <w:rFonts w:ascii="Garamond" w:eastAsia="Garamond" w:hAnsi="Garamond" w:cs="Garamond"/>
          <w:color w:val="2A2A2A"/>
          <w:sz w:val="22"/>
          <w:szCs w:val="22"/>
        </w:rPr>
        <w:t xml:space="preserve">(7)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120"/>
        <w:ind w:left="431"/>
        <w:jc w:val="both"/>
      </w:pPr>
      <w:r>
        <w:rPr>
          <w:rFonts w:ascii="Garamond" w:eastAsia="Garamond" w:hAnsi="Garamond" w:cs="Garamond"/>
          <w:color w:val="2A2A2A"/>
          <w:sz w:val="22"/>
          <w:szCs w:val="22"/>
        </w:rPr>
        <w:t xml:space="preserve">(8) Where this Constitution establishes a deadline for an SC ruling, a majority of seated justices may file an extension request within that period specifying the reason and additional time required, published to the NRS; the maximum extension is defined by statute, not to exceed 30 days per extension. The SC may issue interim protective orders of limited scope in matters within its original jurisdiction where delay would cause irreparable harm pending its full ruling, published to the NRS.</w:t>
      </w:r>
    </w:p>
    <w:p>
      <w:pPr>
        <w:spacing w:after="120"/>
        <w:ind w:left="431"/>
        <w:jc w:val="both"/>
      </w:pPr>
      <w:r>
        <w:rPr>
          <w:rFonts w:ascii="Garamond" w:eastAsia="Garamond" w:hAnsi="Garamond" w:cs="Garamond"/>
          <w:color w:val="2A2A2A"/>
          <w:sz w:val="22"/>
          <w:szCs w:val="22"/>
        </w:rPr>
        <w:t xml:space="preserve">(9) The SC's failure to rule within any constitutionally required period produces no substantive constitutional outcome by operation of that failure; the petitioning party may reinitiate under any procedure applicable to the underlying matter.</w:t>
      </w:r>
    </w:p>
    <w:p w14:paraId="35631E1D" w14:textId="77777777" w:rsidR="00AF3D56" w:rsidRDefault="00000000">
      <w:pPr>
        <w:spacing w:before="200" w:after="60"/>
        <w:ind w:left="431"/>
      </w:pPr>
      <w:r>
        <w:rPr>
          <w:rFonts w:ascii="Courier New" w:eastAsia="Courier New" w:hAnsi="Courier New" w:cs="Courier New"/>
          <w:b/>
          <w:bCs/>
          <w:color w:val="2A2A2A"/>
          <w:sz w:val="18"/>
          <w:szCs w:val="18"/>
        </w:rPr>
        <w:t xml:space="preserve">§4.6  </w:t>
      </w:r>
      <w:r>
        <w:rPr>
          <w:rFonts w:ascii="Garamond" w:eastAsia="Garamond" w:hAnsi="Garamond" w:cs="Garamond"/>
          <w:i/>
          <w:iCs/>
          <w:color w:val="1B2A4A"/>
          <w:sz w:val="22"/>
          <w:szCs w:val="22"/>
        </w:rPr>
        <w:t>Judgment Recognition</w:t>
      </w:r>
    </w:p>
    <w:p w14:paraId="368711DB" w14:textId="77777777" w:rsidR="00AF3D56" w:rsidRDefault="00000000">
      <w:pPr>
        <w:spacing w:after="120"/>
        <w:ind w:left="431"/>
        <w:jc w:val="both"/>
      </w:pPr>
      <w:r>
        <w:rPr>
          <w:rFonts w:ascii="Garamond" w:eastAsia="Garamond" w:hAnsi="Garamond" w:cs="Garamond"/>
          <w:color w:val="2A2A2A"/>
          <w:sz w:val="22"/>
          <w:szCs w:val="22"/>
        </w:rPr>
        <w:t>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14:paraId="76C4D7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 — Citizenship and National Identity</w:t>
      </w:r>
    </w:p>
    <w:p w14:paraId="789793C2" w14:textId="77777777" w:rsidR="00AF3D56" w:rsidRDefault="00000000">
      <w:pPr>
        <w:spacing w:before="200" w:after="60"/>
        <w:ind w:left="431"/>
      </w:pPr>
      <w:r>
        <w:rPr>
          <w:rFonts w:ascii="Courier New" w:eastAsia="Courier New" w:hAnsi="Courier New" w:cs="Courier New"/>
          <w:b/>
          <w:bCs/>
          <w:color w:val="2A2A2A"/>
          <w:sz w:val="18"/>
          <w:szCs w:val="18"/>
        </w:rPr>
        <w:t xml:space="preserve">§5.1  </w:t>
      </w:r>
      <w:r>
        <w:rPr>
          <w:rFonts w:ascii="Garamond" w:eastAsia="Garamond" w:hAnsi="Garamond" w:cs="Garamond"/>
          <w:i/>
          <w:iCs/>
          <w:color w:val="1B2A4A"/>
          <w:sz w:val="22"/>
          <w:szCs w:val="22"/>
        </w:rPr>
        <w:t>Citizenship</w:t>
      </w:r>
    </w:p>
    <w:p w14:paraId="6A0C73D5" w14:textId="77777777" w:rsidR="00AF3D56" w:rsidRDefault="00000000">
      <w:pPr>
        <w:spacing w:after="120"/>
        <w:ind w:left="431"/>
        <w:jc w:val="both"/>
      </w:pPr>
      <w:r>
        <w:rPr>
          <w:rFonts w:ascii="Garamond" w:eastAsia="Garamond" w:hAnsi="Garamond" w:cs="Garamond"/>
          <w:color w:val="2A2A2A"/>
          <w:sz w:val="22"/>
          <w:szCs w:val="22"/>
        </w:rPr>
        <w:t>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14:paraId="7AC4A40B" w14:textId="77777777" w:rsidR="00AF3D56" w:rsidRDefault="00000000">
      <w:pPr>
        <w:spacing w:before="200" w:after="60"/>
        <w:ind w:left="431"/>
      </w:pPr>
      <w:r>
        <w:rPr>
          <w:rFonts w:ascii="Courier New" w:eastAsia="Courier New" w:hAnsi="Courier New" w:cs="Courier New"/>
          <w:b/>
          <w:bCs/>
          <w:color w:val="2A2A2A"/>
          <w:sz w:val="18"/>
          <w:szCs w:val="18"/>
        </w:rPr>
        <w:t xml:space="preserve">§5.2  </w:t>
      </w:r>
      <w:r>
        <w:rPr>
          <w:rFonts w:ascii="Garamond" w:eastAsia="Garamond" w:hAnsi="Garamond" w:cs="Garamond"/>
          <w:i/>
          <w:iCs/>
          <w:color w:val="1B2A4A"/>
          <w:sz w:val="22"/>
          <w:szCs w:val="22"/>
        </w:rPr>
        <w:t>Legal Resident Rights</w:t>
      </w:r>
    </w:p>
    <w:p w14:paraId="64D628E3" w14:textId="77777777" w:rsidR="00AF3D56" w:rsidRDefault="00000000">
      <w:pPr>
        <w:spacing w:after="120"/>
        <w:ind w:left="431"/>
        <w:jc w:val="both"/>
      </w:pPr>
      <w:r>
        <w:rPr>
          <w:rFonts w:ascii="Garamond" w:eastAsia="Garamond" w:hAnsi="Garamond" w:cs="Garamond"/>
          <w:color w:val="2A2A2A"/>
          <w:sz w:val="22"/>
          <w:szCs w:val="22"/>
        </w:rPr>
        <w:t>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14:paraId="06EB8614" w14:textId="77777777" w:rsidR="00AF3D56" w:rsidRDefault="00000000">
      <w:pPr>
        <w:spacing w:before="200" w:after="60"/>
        <w:ind w:left="431"/>
      </w:pPr>
      <w:r>
        <w:rPr>
          <w:rFonts w:ascii="Courier New" w:eastAsia="Courier New" w:hAnsi="Courier New" w:cs="Courier New"/>
          <w:b/>
          <w:bCs/>
          <w:color w:val="2A2A2A"/>
          <w:sz w:val="18"/>
          <w:szCs w:val="18"/>
        </w:rPr>
        <w:t xml:space="preserve">§5.3  </w:t>
      </w:r>
      <w:r>
        <w:rPr>
          <w:rFonts w:ascii="Garamond" w:eastAsia="Garamond" w:hAnsi="Garamond" w:cs="Garamond"/>
          <w:i/>
          <w:iCs/>
          <w:color w:val="1B2A4A"/>
          <w:sz w:val="22"/>
          <w:szCs w:val="22"/>
        </w:rPr>
        <w:t>Custodial Care of Citizen Children</w:t>
      </w:r>
    </w:p>
    <w:p w14:paraId="1483592D" w14:textId="77777777" w:rsidR="00AF3D56" w:rsidRDefault="00000000">
      <w:pPr>
        <w:spacing w:after="120"/>
        <w:ind w:left="431"/>
        <w:jc w:val="both"/>
      </w:pPr>
      <w:r>
        <w:rPr>
          <w:rFonts w:ascii="Garamond" w:eastAsia="Garamond" w:hAnsi="Garamond" w:cs="Garamond"/>
          <w:color w:val="2A2A2A"/>
          <w:sz w:val="22"/>
          <w:szCs w:val="22"/>
        </w:rPr>
        <w:t>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14:paraId="0E00D7C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 — Immigration and Residency</w:t>
      </w:r>
    </w:p>
    <w:p w14:paraId="51620119" w14:textId="77777777" w:rsidR="00AF3D56" w:rsidRDefault="00000000">
      <w:pPr>
        <w:spacing w:before="200" w:after="60"/>
        <w:ind w:left="431"/>
      </w:pPr>
      <w:r>
        <w:rPr>
          <w:rFonts w:ascii="Courier New" w:eastAsia="Courier New" w:hAnsi="Courier New" w:cs="Courier New"/>
          <w:b/>
          <w:bCs/>
          <w:color w:val="2A2A2A"/>
          <w:sz w:val="18"/>
          <w:szCs w:val="18"/>
        </w:rPr>
        <w:t xml:space="preserve">§6.1  </w:t>
      </w:r>
      <w:r>
        <w:rPr>
          <w:rFonts w:ascii="Garamond" w:eastAsia="Garamond" w:hAnsi="Garamond" w:cs="Garamond"/>
          <w:i/>
          <w:iCs/>
          <w:color w:val="1B2A4A"/>
          <w:sz w:val="22"/>
          <w:szCs w:val="22"/>
        </w:rPr>
        <w:t>The Two-Stage Immigration System</w:t>
      </w:r>
    </w:p>
    <w:p w14:paraId="37D0EAD5" w14:textId="77777777" w:rsidR="00AF3D56" w:rsidRDefault="00000000">
      <w:pPr>
        <w:spacing w:after="120"/>
        <w:ind w:left="431"/>
        <w:jc w:val="both"/>
      </w:pPr>
      <w:r>
        <w:rPr>
          <w:rFonts w:ascii="Garamond" w:eastAsia="Garamond" w:hAnsi="Garamond" w:cs="Garamond"/>
          <w:color w:val="2A2A2A"/>
          <w:sz w:val="22"/>
          <w:szCs w:val="22"/>
        </w:rPr>
        <w:t>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Civic Consul must ministerially issue residency credentials; interference with credential issuance by either executive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14:paraId="64CDC38B" w14:textId="77777777" w:rsidR="00AF3D56" w:rsidRDefault="00000000">
      <w:pPr>
        <w:spacing w:before="200" w:after="60"/>
        <w:ind w:left="431"/>
      </w:pPr>
      <w:r>
        <w:rPr>
          <w:rFonts w:ascii="Courier New" w:eastAsia="Courier New" w:hAnsi="Courier New" w:cs="Courier New"/>
          <w:b/>
          <w:bCs/>
          <w:color w:val="2A2A2A"/>
          <w:sz w:val="18"/>
          <w:szCs w:val="18"/>
        </w:rPr>
        <w:t xml:space="preserve">§6.2  </w:t>
      </w:r>
      <w:r>
        <w:rPr>
          <w:rFonts w:ascii="Garamond" w:eastAsia="Garamond" w:hAnsi="Garamond" w:cs="Garamond"/>
          <w:i/>
          <w:iCs/>
          <w:color w:val="1B2A4A"/>
          <w:sz w:val="22"/>
          <w:szCs w:val="22"/>
        </w:rPr>
        <w:t>Enforcement, Removal, and Appeals</w:t>
      </w:r>
    </w:p>
    <w:p>
      <w:pPr>
        <w:spacing w:after="120"/>
        <w:ind w:left="431"/>
        <w:jc w:val="both"/>
      </w:pPr>
      <w:r>
        <w:rPr>
          <w:rFonts w:ascii="Garamond" w:eastAsia="Garamond" w:hAnsi="Garamond" w:cs="Garamond"/>
          <w:color w:val="2A2A2A"/>
          <w:sz w:val="22"/>
          <w:szCs w:val="22"/>
        </w:rPr>
        <w:t xml:space="preserve">(1) Only the federal government may remove individuals from the Republic. Removal occurs only for violations of laws the Legislature has defined — executive detention without statutory basis is unlawful detention subject to habeas corpus.</w:t>
      </w:r>
    </w:p>
    <w:p>
      <w:pPr>
        <w:spacing w:after="120"/>
        <w:ind w:left="431"/>
        <w:jc w:val="both"/>
      </w:pPr>
      <w:r>
        <w:rPr>
          <w:rFonts w:ascii="Garamond" w:eastAsia="Garamond" w:hAnsi="Garamond" w:cs="Garamond"/>
          <w:color w:val="2A2A2A"/>
          <w:sz w:val="22"/>
          <w:szCs w:val="22"/>
        </w:rPr>
        <w:t xml:space="preserve">(2) Federal certification denials are judicially challengeable on three grounds:</w:t>
      </w:r>
    </w:p>
    <w:p>
      <w:pPr>
        <w:spacing w:after="120"/>
        <w:ind w:left="720"/>
        <w:jc w:val="both"/>
      </w:pPr>
      <w:r>
        <w:rPr>
          <w:rFonts w:ascii="Garamond" w:eastAsia="Garamond" w:hAnsi="Garamond" w:cs="Garamond"/>
          <w:color w:val="2A2A2A"/>
          <w:sz w:val="22"/>
          <w:szCs w:val="22"/>
        </w:rPr>
        <w:t xml:space="preserve">— criterion not established under the federal certification mandate;</w:t>
      </w:r>
    </w:p>
    <w:p>
      <w:pPr>
        <w:spacing w:after="120"/>
        <w:ind w:left="720"/>
        <w:jc w:val="both"/>
      </w:pPr>
      <w:r>
        <w:rPr>
          <w:rFonts w:ascii="Garamond" w:eastAsia="Garamond" w:hAnsi="Garamond" w:cs="Garamond"/>
          <w:color w:val="2A2A2A"/>
          <w:sz w:val="22"/>
          <w:szCs w:val="22"/>
        </w:rPr>
        <w:t xml:space="preserve">— discriminatory grounds contrary to §1.6;</w:t>
      </w:r>
    </w:p>
    <w:p>
      <w:pPr>
        <w:spacing w:after="120"/>
        <w:ind w:left="720"/>
        <w:jc w:val="both"/>
      </w:pPr>
      <w:r>
        <w:rPr>
          <w:rFonts w:ascii="Garamond" w:eastAsia="Garamond" w:hAnsi="Garamond" w:cs="Garamond"/>
          <w:color w:val="2A2A2A"/>
          <w:sz w:val="22"/>
          <w:szCs w:val="22"/>
        </w:rPr>
        <w:t xml:space="preserve">— or procedural violation affecting the outcome.</w:t>
      </w:r>
    </w:p>
    <w:p>
      <w:pPr>
        <w:spacing w:after="120"/>
        <w:ind w:left="431"/>
        <w:jc w:val="both"/>
      </w:pPr>
      <w:r>
        <w:rPr>
          <w:rFonts w:ascii="Garamond" w:eastAsia="Garamond" w:hAnsi="Garamond" w:cs="Garamond"/>
          <w:color w:val="2A2A2A"/>
          <w:sz w:val="22"/>
          <w:szCs w:val="22"/>
        </w:rPr>
        <w:t xml:space="preserve">(3)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w:t>
      </w:r>
    </w:p>
    <w:p>
      <w:pPr>
        <w:spacing w:after="120"/>
        <w:ind w:left="431"/>
        <w:jc w:val="both"/>
      </w:pPr>
      <w:r>
        <w:rPr>
          <w:rFonts w:ascii="Garamond" w:eastAsia="Garamond" w:hAnsi="Garamond" w:cs="Garamond"/>
          <w:color w:val="2A2A2A"/>
          <w:sz w:val="22"/>
          <w:szCs w:val="22"/>
        </w:rPr>
        <w:t xml:space="preserve">(4) Court decisions on State sponsorship challenges brought on §1.6 grounds are published to the NRS; personally identifying information of applicants who are not public figures as defined by statute is protected consistent with §1.8.</w:t>
      </w:r>
    </w:p>
    <w:p>
      <w:pPr>
        <w:spacing w:after="120"/>
        <w:ind w:left="431"/>
        <w:jc w:val="both"/>
      </w:pPr>
      <w:r>
        <w:rPr>
          <w:rFonts w:ascii="Garamond" w:eastAsia="Garamond" w:hAnsi="Garamond" w:cs="Garamond"/>
          <w:color w:val="2A2A2A"/>
          <w:sz w:val="22"/>
          <w:szCs w:val="22"/>
        </w:rPr>
        <w:t xml:space="preserve">(5)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w:t>
      </w:r>
    </w:p>
    <w:p>
      <w:pPr>
        <w:spacing w:after="120"/>
        <w:ind w:left="431"/>
        <w:jc w:val="both"/>
      </w:pPr>
      <w:r>
        <w:rPr>
          <w:rFonts w:ascii="Garamond" w:eastAsia="Garamond" w:hAnsi="Garamond" w:cs="Garamond"/>
          <w:color w:val="2A2A2A"/>
          <w:sz w:val="22"/>
          <w:szCs w:val="22"/>
        </w:rPr>
        <w:t xml:space="preserve">(6) All removal proceedings and challenge proceedings under this section carry the right to legal representation; where an applicant cannot afford representation, counsel is appointed at public expense.</w:t>
      </w:r>
    </w:p>
    <w:p w14:paraId="06C80B34" w14:textId="77777777" w:rsidR="00AF3D56" w:rsidRDefault="00000000">
      <w:pPr>
        <w:spacing w:before="200" w:after="60"/>
        <w:ind w:left="431"/>
      </w:pPr>
      <w:r>
        <w:rPr>
          <w:rFonts w:ascii="Courier New" w:eastAsia="Courier New" w:hAnsi="Courier New" w:cs="Courier New"/>
          <w:b/>
          <w:bCs/>
          <w:color w:val="2A2A2A"/>
          <w:sz w:val="18"/>
          <w:szCs w:val="18"/>
        </w:rPr>
        <w:t xml:space="preserve">§6.3  </w:t>
      </w:r>
      <w:r>
        <w:rPr>
          <w:rFonts w:ascii="Garamond" w:eastAsia="Garamond" w:hAnsi="Garamond" w:cs="Garamond"/>
          <w:i/>
          <w:iCs/>
          <w:color w:val="1B2A4A"/>
          <w:sz w:val="22"/>
          <w:szCs w:val="22"/>
        </w:rPr>
        <w:t>Asylum and Protection</w:t>
      </w:r>
    </w:p>
    <w:p>
      <w:pPr>
        <w:spacing w:after="120"/>
        <w:ind w:left="431"/>
        <w:jc w:val="both"/>
      </w:pPr>
      <w:r>
        <w:rPr>
          <w:rFonts w:ascii="Garamond" w:eastAsia="Garamond" w:hAnsi="Garamond" w:cs="Garamond"/>
          <w:color w:val="2A2A2A"/>
          <w:sz w:val="22"/>
          <w:szCs w:val="22"/>
        </w:rPr>
        <w:t xml:space="preserve">(1) Asylum proceedings operate on a separate constitutional track from the dual-gate system. Any person who files an asylum claim under §1.21 is an Inhabitant from the date of filing — entitled to Article I protections and social state access.</w:t>
      </w:r>
    </w:p>
    <w:p>
      <w:pPr>
        <w:spacing w:after="120"/>
        <w:ind w:left="431"/>
        <w:jc w:val="both"/>
      </w:pPr>
      <w:r>
        <w:rPr>
          <w:rFonts w:ascii="Garamond" w:eastAsia="Garamond" w:hAnsi="Garamond" w:cs="Garamond"/>
          <w:color w:val="2A2A2A"/>
          <w:sz w:val="22"/>
          <w:szCs w:val="22"/>
        </w:rPr>
        <w:t xml:space="preserve">(2) Claims must be determined before any removal order takes effect. A claim filed solely to delay a final removal order may be expedited under procedures the Legislature defines, consistent with the right to a fair hearing.</w:t>
      </w:r>
    </w:p>
    <w:p>
      <w:pPr>
        <w:spacing w:after="120"/>
        <w:ind w:left="431"/>
        <w:jc w:val="both"/>
      </w:pPr>
      <w:r>
        <w:rPr>
          <w:rFonts w:ascii="Garamond" w:eastAsia="Garamond" w:hAnsi="Garamond" w:cs="Garamond"/>
          <w:color w:val="2A2A2A"/>
          <w:sz w:val="22"/>
          <w:szCs w:val="22"/>
        </w:rPr>
        <w:t xml:space="preserve">(3) Where the Asylum Court grants protection, the person receives federal residency credentials by operation of that grant; State sponsorship and federal certification are not required conditions.</w:t>
      </w:r>
    </w:p>
    <w:p>
      <w:pPr>
        <w:spacing w:after="120"/>
        <w:ind w:left="431"/>
        <w:jc w:val="both"/>
      </w:pPr>
      <w:r>
        <w:rPr>
          <w:rFonts w:ascii="Garamond" w:eastAsia="Garamond" w:hAnsi="Garamond" w:cs="Garamond"/>
          <w:color w:val="2A2A2A"/>
          <w:sz w:val="22"/>
          <w:szCs w:val="22"/>
        </w:rPr>
        <w:t xml:space="preserve">(4) The manner of entry does not affect the right to claim asylum or have that claim determined. No penalty arising solely from irregular entry may be imposed on a person whose claim is pending or has been granted.</w:t>
      </w:r>
    </w:p>
    <w:p>
      <w:pPr>
        <w:spacing w:after="120"/>
        <w:ind w:left="431"/>
        <w:jc w:val="both"/>
      </w:pPr>
      <w:r>
        <w:rPr>
          <w:rFonts w:ascii="Garamond" w:eastAsia="Garamond" w:hAnsi="Garamond" w:cs="Garamond"/>
          <w:color w:val="2A2A2A"/>
          <w:sz w:val="22"/>
          <w:szCs w:val="22"/>
        </w:rPr>
        <w:t xml:space="preserve">(5) Asylum proceedings must provide:</w:t>
      </w:r>
    </w:p>
    <w:p>
      <w:pPr>
        <w:spacing w:after="120"/>
        <w:ind w:left="720"/>
        <w:jc w:val="both"/>
      </w:pPr>
      <w:r>
        <w:rPr>
          <w:rFonts w:ascii="Garamond" w:eastAsia="Garamond" w:hAnsi="Garamond" w:cs="Garamond"/>
          <w:color w:val="2A2A2A"/>
          <w:sz w:val="22"/>
          <w:szCs w:val="22"/>
        </w:rPr>
        <w:t xml:space="preserve">— a qualified adjudicator,</w:t>
      </w:r>
    </w:p>
    <w:p>
      <w:pPr>
        <w:spacing w:after="120"/>
        <w:ind w:left="720"/>
        <w:jc w:val="both"/>
      </w:pPr>
      <w:r>
        <w:rPr>
          <w:rFonts w:ascii="Garamond" w:eastAsia="Garamond" w:hAnsi="Garamond" w:cs="Garamond"/>
          <w:color w:val="2A2A2A"/>
          <w:sz w:val="22"/>
          <w:szCs w:val="22"/>
        </w:rPr>
        <w:t xml:space="preserve">— interpreter access,</w:t>
      </w:r>
    </w:p>
    <w:p>
      <w:pPr>
        <w:spacing w:after="120"/>
        <w:ind w:left="720"/>
        <w:jc w:val="both"/>
      </w:pPr>
      <w:r>
        <w:rPr>
          <w:rFonts w:ascii="Garamond" w:eastAsia="Garamond" w:hAnsi="Garamond" w:cs="Garamond"/>
          <w:color w:val="2A2A2A"/>
          <w:sz w:val="22"/>
          <w:szCs w:val="22"/>
        </w:rPr>
        <w:t xml:space="preserve">— the right to present evidence and witnesses,</w:t>
      </w:r>
    </w:p>
    <w:p>
      <w:pPr>
        <w:spacing w:after="120"/>
        <w:ind w:left="720"/>
        <w:jc w:val="both"/>
      </w:pPr>
      <w:r>
        <w:rPr>
          <w:rFonts w:ascii="Garamond" w:eastAsia="Garamond" w:hAnsi="Garamond" w:cs="Garamond"/>
          <w:color w:val="2A2A2A"/>
          <w:sz w:val="22"/>
          <w:szCs w:val="22"/>
        </w:rPr>
        <w:t xml:space="preserve">— the right to legal representation with appointed counsel at public expense where the applicant cannot afford representation,</w:t>
      </w:r>
    </w:p>
    <w:p>
      <w:pPr>
        <w:spacing w:after="120"/>
        <w:ind w:left="720"/>
        <w:jc w:val="both"/>
      </w:pPr>
      <w:r>
        <w:rPr>
          <w:rFonts w:ascii="Garamond" w:eastAsia="Garamond" w:hAnsi="Garamond" w:cs="Garamond"/>
          <w:color w:val="2A2A2A"/>
          <w:sz w:val="22"/>
          <w:szCs w:val="22"/>
        </w:rPr>
        <w:t xml:space="preserve">— a written decision with grounds,</w:t>
      </w:r>
    </w:p>
    <w:p>
      <w:pPr>
        <w:spacing w:after="120"/>
        <w:ind w:left="720"/>
        <w:jc w:val="both"/>
      </w:pPr>
      <w:r>
        <w:rPr>
          <w:rFonts w:ascii="Garamond" w:eastAsia="Garamond" w:hAnsi="Garamond" w:cs="Garamond"/>
          <w:color w:val="2A2A2A"/>
          <w:sz w:val="22"/>
          <w:szCs w:val="22"/>
        </w:rPr>
        <w:t xml:space="preserve">— and a right of appeal — regardless of point of entry.</w:t>
      </w:r>
    </w:p>
    <w:p>
      <w:pPr>
        <w:spacing w:after="120"/>
        <w:ind w:left="431"/>
        <w:jc w:val="both"/>
      </w:pPr>
      <w:r>
        <w:rPr>
          <w:rFonts w:ascii="Garamond" w:eastAsia="Garamond" w:hAnsi="Garamond" w:cs="Garamond"/>
          <w:color w:val="2A2A2A"/>
          <w:sz w:val="22"/>
          <w:szCs w:val="22"/>
        </w:rPr>
        <w:t xml:space="preserve">The asylum proceedings statute must ensure accessibility to persons in Territories and geographically remote areas.</w:t>
      </w:r>
    </w:p>
    <w:p>
      <w:pPr>
        <w:spacing w:after="120"/>
        <w:ind w:left="431"/>
        <w:jc w:val="both"/>
      </w:pPr>
      <w:r>
        <w:rPr>
          <w:rFonts w:ascii="Garamond" w:eastAsia="Garamond" w:hAnsi="Garamond" w:cs="Garamond"/>
          <w:color w:val="2A2A2A"/>
          <w:sz w:val="22"/>
          <w:szCs w:val="22"/>
        </w:rPr>
        <w:t xml:space="preserve">(6)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120"/>
        <w:ind w:left="431"/>
        <w:jc w:val="both"/>
      </w:pPr>
      <w:r>
        <w:rPr>
          <w:rFonts w:ascii="Garamond" w:eastAsia="Garamond" w:hAnsi="Garamond" w:cs="Garamond"/>
          <w:color w:val="2A2A2A"/>
          <w:sz w:val="22"/>
          <w:szCs w:val="22"/>
        </w:rPr>
        <w:t xml:space="preserve">(7) An unaccompanied minor arriving in the Republic is an Inhabitant from the moment of contact and holds full §1.21 protection. A federal legal guardian must be appointed by the federal court with jurisdiction over the point of contact within 72 hours.</w:t>
      </w:r>
    </w:p>
    <w:p>
      <w:pPr>
        <w:spacing w:after="120"/>
        <w:ind w:left="431"/>
        <w:jc w:val="both"/>
      </w:pPr>
      <w:r>
        <w:rPr>
          <w:rFonts w:ascii="Garamond" w:eastAsia="Garamond" w:hAnsi="Garamond" w:cs="Garamond"/>
          <w:color w:val="2A2A2A"/>
          <w:sz w:val="22"/>
          <w:szCs w:val="22"/>
        </w:rPr>
        <w:t xml:space="preserve">(8) No unaccompanied minor may be detained in a facility not specifically designated and resourced for children.</w:t>
      </w:r>
    </w:p>
    <w:p w14:paraId="35B24256" w14:textId="77777777" w:rsidR="00AF3D56" w:rsidRDefault="00000000">
      <w:pPr>
        <w:spacing w:before="200" w:after="60"/>
        <w:ind w:left="431"/>
      </w:pPr>
      <w:r>
        <w:rPr>
          <w:rFonts w:ascii="Courier New" w:eastAsia="Courier New" w:hAnsi="Courier New" w:cs="Courier New"/>
          <w:b/>
          <w:bCs/>
          <w:color w:val="2A2A2A"/>
          <w:sz w:val="18"/>
          <w:szCs w:val="18"/>
        </w:rPr>
        <w:t xml:space="preserve">§6.3.a  </w:t>
      </w:r>
      <w:r>
        <w:rPr>
          <w:rFonts w:ascii="Garamond" w:eastAsia="Garamond" w:hAnsi="Garamond" w:cs="Garamond"/>
          <w:i/>
          <w:iCs/>
          <w:color w:val="1B2A4A"/>
          <w:sz w:val="22"/>
          <w:szCs w:val="22"/>
        </w:rPr>
        <w:t>Unresolvable and Security Cases</w:t>
      </w:r>
    </w:p>
    <w:p w14:paraId="12A7B570" w14:textId="77777777" w:rsidR="00AF3D56" w:rsidRDefault="00000000">
      <w:pPr>
        <w:spacing w:after="120"/>
        <w:ind w:left="431"/>
        <w:jc w:val="both"/>
      </w:pPr>
      <w:r>
        <w:rPr>
          <w:rFonts w:ascii="Garamond" w:eastAsia="Garamond" w:hAnsi="Garamond" w:cs="Garamond"/>
          <w:color w:val="2A2A2A"/>
          <w:sz w:val="22"/>
          <w:szCs w:val="22"/>
        </w:rPr>
        <w:t>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for detention beyond 5 years, an affirmative judicial finding at each subsequent review that no less restrictive alternative exists; absent that finding, the person is released to the statutory minimum-status conditions defined under this section.</w:t>
      </w:r>
    </w:p>
    <w:p w14:paraId="46E8352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 — Elections</w:t>
      </w:r>
    </w:p>
    <w:p w14:paraId="2937B7BA"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Consular Election System</w:t>
      </w:r>
    </w:p>
    <w:p>
      <w:pPr>
        <w:spacing w:after="120"/>
        <w:ind w:left="431"/>
        <w:jc w:val="both"/>
      </w:pPr>
      <w:r>
        <w:rPr>
          <w:rFonts w:ascii="Garamond" w:eastAsia="Garamond" w:hAnsi="Garamond" w:cs="Garamond"/>
          <w:color w:val="2A2A2A"/>
          <w:sz w:val="22"/>
          <w:szCs w:val="22"/>
        </w:rPr>
        <w:t xml:space="preserve">(1) The Legat Consul is elected through two concurrent requirements: a national RCV majority and a State plurality qualification. A candidate wins outright by satisfying both.</w:t>
      </w:r>
    </w:p>
    <w:p>
      <w:pPr>
        <w:spacing w:after="120"/>
        <w:ind w:left="431"/>
        <w:jc w:val="both"/>
      </w:pPr>
      <w:r>
        <w:rPr>
          <w:rFonts w:ascii="Garamond" w:eastAsia="Garamond" w:hAnsi="Garamond" w:cs="Garamond"/>
          <w:color w:val="2A2A2A"/>
          <w:sz w:val="22"/>
          <w:szCs w:val="22"/>
        </w:rPr>
        <w:t xml:space="preserve">(2) Where a candidate's national RCV majority reaches or exceeds 60% of votes cast, the State plurality requirement is waived.</w:t>
      </w:r>
    </w:p>
    <w:p>
      <w:pPr>
        <w:spacing w:after="120"/>
        <w:ind w:left="431"/>
        <w:jc w:val="both"/>
      </w:pPr>
      <w:r>
        <w:rPr>
          <w:rFonts w:ascii="Garamond" w:eastAsia="Garamond" w:hAnsi="Garamond" w:cs="Garamond"/>
          <w:color w:val="2A2A2A"/>
          <w:sz w:val="22"/>
          <w:szCs w:val="22"/>
        </w:rPr>
        <w:t xml:space="preserve">(3)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w:t>
      </w:r>
    </w:p>
    <w:p>
      <w:pPr>
        <w:spacing w:after="120"/>
        <w:ind w:left="431"/>
        <w:jc w:val="both"/>
      </w:pPr>
      <w:r>
        <w:rPr>
          <w:rFonts w:ascii="Garamond" w:eastAsia="Garamond" w:hAnsi="Garamond" w:cs="Garamond"/>
          <w:color w:val="2A2A2A"/>
          <w:sz w:val="22"/>
          <w:szCs w:val="22"/>
        </w:rPr>
        <w:t xml:space="preserve">(4) Where the runoff itself produces a tied result, the Elections Panel determines the winner by lot in a public session; the result is published to the NRS and is final. The Elections Panel administers and certifies all consular elections.</w:t>
      </w:r>
    </w:p>
    <w:p>
      <w:pPr>
        <w:spacing w:after="120"/>
        <w:ind w:left="431"/>
        <w:jc w:val="both"/>
      </w:pPr>
      <w:r>
        <w:rPr>
          <w:rFonts w:ascii="Garamond" w:eastAsia="Garamond" w:hAnsi="Garamond" w:cs="Garamond"/>
          <w:color w:val="2A2A2A"/>
          <w:sz w:val="22"/>
          <w:szCs w:val="22"/>
        </w:rPr>
        <w:t xml:space="preserve">(5) Territory citizens vote in consular elections and their votes count in the national RCV total; Territories are not included in the State plurality calculation.</w:t>
      </w:r>
    </w:p>
    <w:p>
      <w:pPr>
        <w:spacing w:after="120"/>
        <w:ind w:left="431"/>
        <w:jc w:val="both"/>
      </w:pPr>
      <w:r>
        <w:rPr>
          <w:rFonts w:ascii="Garamond" w:eastAsia="Garamond" w:hAnsi="Garamond" w:cs="Garamond"/>
          <w:color w:val="2A2A2A"/>
          <w:sz w:val="22"/>
          <w:szCs w:val="22"/>
        </w:rPr>
        <w:t xml:space="preserve">(6) A candidate satisfies the State plurality requirement by receiving more first-preference votes than any other candidate in a majority of the Republic's States. The Elections Panel certifies State-by-State first-preference results as part of overall election certification.</w:t>
      </w:r>
    </w:p>
    <w:p>
      <w:pPr>
        <w:spacing w:after="120"/>
        <w:ind w:left="431"/>
        <w:jc w:val="both"/>
      </w:pPr>
      <w:r>
        <w:rPr>
          <w:rFonts w:ascii="Garamond" w:eastAsia="Garamond" w:hAnsi="Garamond" w:cs="Garamond"/>
          <w:color w:val="2A2A2A"/>
          <w:sz w:val="22"/>
          <w:szCs w:val="22"/>
        </w:rPr>
        <w:t xml:space="preserve">(7)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14:paraId="091575E7" w14:textId="77777777" w:rsidR="00AF3D56" w:rsidRDefault="00000000">
      <w:pPr>
        <w:spacing w:before="200" w:after="60"/>
        <w:ind w:left="431"/>
      </w:pPr>
      <w:r>
        <w:rPr>
          <w:rFonts w:ascii="Courier New" w:eastAsia="Courier New" w:hAnsi="Courier New" w:cs="Courier New"/>
          <w:b/>
          <w:bCs/>
          <w:color w:val="2A2A2A"/>
          <w:sz w:val="18"/>
          <w:szCs w:val="18"/>
        </w:rPr>
        <w:t xml:space="preserve">§7.2  </w:t>
      </w:r>
      <w:r>
        <w:rPr>
          <w:rFonts w:ascii="Garamond" w:eastAsia="Garamond" w:hAnsi="Garamond" w:cs="Garamond"/>
          <w:i/>
          <w:iCs/>
          <w:color w:val="1B2A4A"/>
          <w:sz w:val="22"/>
          <w:szCs w:val="22"/>
        </w:rPr>
        <w:t>Federal Elections</w:t>
      </w:r>
    </w:p>
    <w:p>
      <w:pPr>
        <w:spacing w:after="120"/>
        <w:ind w:left="431"/>
        <w:jc w:val="both"/>
      </w:pPr>
      <w:r>
        <w:rPr>
          <w:rFonts w:ascii="Garamond" w:eastAsia="Garamond" w:hAnsi="Garamond" w:cs="Garamond"/>
          <w:color w:val="2A2A2A"/>
          <w:sz w:val="22"/>
          <w:szCs w:val="22"/>
        </w:rPr>
        <w:t xml:space="preserve">(1) Federal elections are held at regular intervals: Assembly elections every two years; Senate elections on the staggered six-year cycle; Consular elections every six years.</w:t>
      </w:r>
    </w:p>
    <w:p>
      <w:pPr>
        <w:spacing w:after="120"/>
        <w:ind w:left="431"/>
        <w:jc w:val="both"/>
      </w:pPr>
      <w:r>
        <w:rPr>
          <w:rFonts w:ascii="Garamond" w:eastAsia="Garamond" w:hAnsi="Garamond" w:cs="Garamond"/>
          <w:color w:val="2A2A2A"/>
          <w:sz w:val="22"/>
          <w:szCs w:val="22"/>
        </w:rPr>
        <w:t xml:space="preserve">(2) All federal elections use Ranked Choice Voting — majority required, not plurality; Consular elections use RCV within the framework of §7.1, which adds the State plurality requirement.</w:t>
      </w:r>
    </w:p>
    <w:p>
      <w:pPr>
        <w:spacing w:after="120"/>
        <w:ind w:left="431"/>
        <w:jc w:val="both"/>
      </w:pPr>
      <w:r>
        <w:rPr>
          <w:rFonts w:ascii="Garamond" w:eastAsia="Garamond" w:hAnsi="Garamond" w:cs="Garamond"/>
          <w:color w:val="2A2A2A"/>
          <w:sz w:val="22"/>
          <w:szCs w:val="22"/>
        </w:rPr>
        <w:t xml:space="preserve">(3) The Legislature defines by statute the specific timing, duration, and structure of the federal electoral period within these constitutional floors.</w:t>
      </w:r>
    </w:p>
    <w:p>
      <w:pPr>
        <w:spacing w:after="120"/>
        <w:ind w:left="431"/>
        <w:jc w:val="both"/>
      </w:pPr>
      <w:r>
        <w:rPr>
          <w:rFonts w:ascii="Garamond" w:eastAsia="Garamond" w:hAnsi="Garamond" w:cs="Garamond"/>
          <w:color w:val="2A2A2A"/>
          <w:sz w:val="22"/>
          <w:szCs w:val="22"/>
        </w:rPr>
        <w:t xml:space="preserve">(4) Federal elections are administered by the States within standards established and enforced by the Elections Panel; all state election systems must connect to and operate through the National Voting System, free from executive interference.</w:t>
      </w:r>
    </w:p>
    <w:p>
      <w:pPr>
        <w:spacing w:after="120"/>
        <w:ind w:left="431"/>
        <w:jc w:val="both"/>
      </w:pPr>
      <w:r>
        <w:rPr>
          <w:rFonts w:ascii="Garamond" w:eastAsia="Garamond" w:hAnsi="Garamond" w:cs="Garamond"/>
          <w:color w:val="2A2A2A"/>
          <w:sz w:val="22"/>
          <w:szCs w:val="22"/>
        </w:rPr>
        <w:t xml:space="preserve">(5)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w:t>
      </w:r>
    </w:p>
    <w:p>
      <w:pPr>
        <w:spacing w:after="120"/>
        <w:ind w:left="431"/>
        <w:jc w:val="both"/>
      </w:pPr>
      <w:r>
        <w:rPr>
          <w:rFonts w:ascii="Garamond" w:eastAsia="Garamond" w:hAnsi="Garamond" w:cs="Garamond"/>
          <w:color w:val="2A2A2A"/>
          <w:sz w:val="22"/>
          <w:szCs w:val="22"/>
        </w:rPr>
        <w:t xml:space="preserve">(6)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14:paraId="454FE114" w14:textId="77777777" w:rsidR="00AF3D56" w:rsidRDefault="00000000">
      <w:pPr>
        <w:spacing w:before="200" w:after="60"/>
        <w:ind w:left="431"/>
      </w:pPr>
      <w:r>
        <w:rPr>
          <w:rFonts w:ascii="Courier New" w:eastAsia="Courier New" w:hAnsi="Courier New" w:cs="Courier New"/>
          <w:b/>
          <w:bCs/>
          <w:color w:val="2A2A2A"/>
          <w:sz w:val="18"/>
          <w:szCs w:val="18"/>
        </w:rPr>
        <w:t xml:space="preserve">§7.2.a  </w:t>
      </w:r>
      <w:r>
        <w:rPr>
          <w:rFonts w:ascii="Garamond" w:eastAsia="Garamond" w:hAnsi="Garamond" w:cs="Garamond"/>
          <w:i/>
          <w:iCs/>
          <w:color w:val="1B2A4A"/>
          <w:sz w:val="22"/>
          <w:szCs w:val="22"/>
        </w:rPr>
        <w:t>Special Elections and Postponements</w:t>
      </w:r>
    </w:p>
    <w:p w14:paraId="247A9F79" w14:textId="77777777" w:rsidR="00AF3D56" w:rsidRDefault="00000000">
      <w:pPr>
        <w:spacing w:after="120"/>
        <w:ind w:left="431"/>
        <w:jc w:val="both"/>
      </w:pPr>
      <w:r>
        <w:rPr>
          <w:rFonts w:ascii="Garamond" w:eastAsia="Garamond" w:hAnsi="Garamond" w:cs="Garamond"/>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w:t>
        <w:lastRenderedPageBreak/>
        <w:t>publishing the determination to the NRS; the mandates of sitting members extend automatically until certification of the postponed election. The Elections Panel publishes a finding when conditions have normalized sufficiently for elections to proceed; elections must be held within 30 days of that publication. Either chamber may seek expedited judicial review of the Elections Panel’s finding; the applicable court and expedited process are defined by statute. No further postponement may be granted without a new Elections Panel finding of impossibility and a new 2/3 legislative determination.</w:t>
      </w:r>
    </w:p>
    <w:p w14:paraId="0F44AB5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VIII — Electoral Finance and Campaign Conduct</w:t>
      </w:r>
    </w:p>
    <w:p w14:paraId="586D0B68" w14:textId="77777777" w:rsidR="00AF3D56" w:rsidRDefault="00000000">
      <w:pPr>
        <w:spacing w:before="200" w:after="60"/>
        <w:ind w:left="431"/>
      </w:pPr>
      <w:r>
        <w:rPr>
          <w:rFonts w:ascii="Courier New" w:eastAsia="Courier New" w:hAnsi="Courier New" w:cs="Courier New"/>
          <w:b/>
          <w:bCs/>
          <w:color w:val="2A2A2A"/>
          <w:sz w:val="18"/>
          <w:szCs w:val="18"/>
        </w:rPr>
        <w:t xml:space="preserve">§8.1  </w:t>
      </w:r>
      <w:r>
        <w:rPr>
          <w:rFonts w:ascii="Garamond" w:eastAsia="Garamond" w:hAnsi="Garamond" w:cs="Garamond"/>
          <w:i/>
          <w:iCs/>
          <w:color w:val="1B2A4A"/>
          <w:sz w:val="22"/>
          <w:szCs w:val="22"/>
        </w:rPr>
        <w:t>Electoral Finance</w:t>
      </w:r>
    </w:p>
    <w:p w14:paraId="6A5B6B79" w14:textId="77777777" w:rsidR="00AF3D56" w:rsidRDefault="00000000">
      <w:pPr>
        <w:spacing w:after="120"/>
        <w:ind w:left="431"/>
        <w:jc w:val="both"/>
      </w:pPr>
      <w:r>
        <w:rPr>
          <w:rFonts w:ascii="Garamond" w:eastAsia="Garamond" w:hAnsi="Garamond" w:cs="Garamond"/>
          <w:color w:val="2A2A2A"/>
          <w:sz w:val="22"/>
          <w:szCs w:val="22"/>
        </w:rPr>
        <w:t>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14:paraId="5036E0DD" w14:textId="77777777" w:rsidR="00AF3D56" w:rsidRDefault="00000000">
      <w:pPr>
        <w:spacing w:before="200" w:after="60"/>
        <w:ind w:left="431"/>
      </w:pPr>
      <w:r>
        <w:rPr>
          <w:rFonts w:ascii="Courier New" w:eastAsia="Courier New" w:hAnsi="Courier New" w:cs="Courier New"/>
          <w:b/>
          <w:bCs/>
          <w:color w:val="2A2A2A"/>
          <w:sz w:val="18"/>
          <w:szCs w:val="18"/>
        </w:rPr>
        <w:t xml:space="preserve">§8.2  </w:t>
      </w:r>
      <w:r>
        <w:rPr>
          <w:rFonts w:ascii="Garamond" w:eastAsia="Garamond" w:hAnsi="Garamond" w:cs="Garamond"/>
          <w:i/>
          <w:iCs/>
          <w:color w:val="1B2A4A"/>
          <w:sz w:val="22"/>
          <w:szCs w:val="22"/>
        </w:rPr>
        <w:t>Campaign Conduct</w:t>
      </w:r>
    </w:p>
    <w:p w14:paraId="645D6B4E" w14:textId="7E70F6F4" w:rsidR="00AF3D56" w:rsidRDefault="00000000">
      <w:pPr>
        <w:spacing w:after="120"/>
        <w:ind w:left="431"/>
        <w:jc w:val="both"/>
      </w:pPr>
      <w:r>
        <w:rPr>
          <w:rFonts w:ascii="Garamond" w:eastAsia="Garamond" w:hAnsi="Garamond" w:cs="Garamond"/>
          <w:color w:val="2A2A2A"/>
          <w:sz w:val="22"/>
          <w:szCs w:val="22"/>
        </w:rPr>
        <w:t>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This constitution does not bar private civil litigation arising from campaign communications.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 The Elections Panel publishes findings of violation of the prohibitions enumerated in this section to the NRS; the Legislature shall define sanctions for such violations by statute. This enforcement authority does not extend to the truthfulness or content of campaign communications, which remain subject only to private civil litigation as provided above.</w:t>
      </w:r>
    </w:p>
    <w:p w14:paraId="6EEA7430" w14:textId="77777777" w:rsidR="00AF3D56" w:rsidRDefault="00000000">
      <w:pPr>
        <w:spacing w:before="200" w:after="60"/>
        <w:ind w:left="431"/>
      </w:pPr>
      <w:r>
        <w:rPr>
          <w:rFonts w:ascii="Courier New" w:eastAsia="Courier New" w:hAnsi="Courier New" w:cs="Courier New"/>
          <w:b/>
          <w:bCs/>
          <w:color w:val="2A2A2A"/>
          <w:sz w:val="18"/>
          <w:szCs w:val="18"/>
        </w:rPr>
        <w:t xml:space="preserve">§8.3  </w:t>
      </w:r>
      <w:r>
        <w:rPr>
          <w:rFonts w:ascii="Garamond" w:eastAsia="Garamond" w:hAnsi="Garamond" w:cs="Garamond"/>
          <w:i/>
          <w:iCs/>
          <w:color w:val="1B2A4A"/>
          <w:sz w:val="22"/>
          <w:szCs w:val="22"/>
        </w:rPr>
        <w:t>Public Spectrum Access for Campaigns</w:t>
      </w:r>
    </w:p>
    <w:p w14:paraId="33784202"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14:paraId="0261D33F" w14:textId="30F2C8E5" w:rsidR="00F645C1" w:rsidRDefault="00F645C1" w:rsidP="00F645C1">
      <w:pPr>
        <w:spacing w:before="200" w:after="60"/>
        <w:ind w:left="431"/>
      </w:pPr>
      <w:r>
        <w:rPr>
          <w:rFonts w:ascii="Courier New" w:eastAsia="Courier New" w:hAnsi="Courier New" w:cs="Courier New"/>
          <w:b/>
          <w:bCs/>
          <w:color w:val="2A2A2A"/>
          <w:sz w:val="18"/>
          <w:szCs w:val="18"/>
        </w:rPr>
        <w:t xml:space="preserve">§8.4  </w:t>
      </w:r>
      <w:r>
        <w:rPr>
          <w:rFonts w:ascii="Garamond" w:eastAsia="Garamond" w:hAnsi="Garamond" w:cs="Garamond"/>
          <w:i/>
          <w:iCs/>
          <w:color w:val="1B2A4A"/>
          <w:sz w:val="22"/>
          <w:szCs w:val="22"/>
        </w:rPr>
        <w:t>Public Campaign Financing</w:t>
      </w:r>
    </w:p>
    <w:p w14:paraId="76F049D1" w14:textId="2C6B9380" w:rsidR="00F645C1" w:rsidRDefault="00F645C1">
      <w:pPr>
        <w:spacing w:after="120"/>
        <w:ind w:left="431"/>
        <w:jc w:val="both"/>
      </w:pPr>
      <w:r>
        <w:rPr>
          <w:rFonts w:ascii="Garamond" w:eastAsia="Garamond" w:hAnsi="Garamond" w:cs="Garamond"/>
          <w:color w:val="2A2A2A"/>
          <w:sz w:val="22"/>
          <w:szCs w:val="22"/>
        </w:rPr>
        <w:t>The Legislature shall by statute establish a public campaign financing system available to all qualified candidates for federal office on equal terms. The system must provide a genuine alternative to private fundraising; no candidate may be structurally disadvantaged by choosing to participate. Funding for the system must be set at no less than the average total campaign expenditure recorded in the National Record System for that office — or, where no prior cycle exists, a comparable office — across the preceding election cycle. The Elections Panel administers the system and publishes annual compliance findings to the NRS.</w:t>
      </w:r>
    </w:p>
    <w:p w14:paraId="2789283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IX — The Monitors</w:t>
      </w:r>
    </w:p>
    <w:p w14:paraId="53D85F28" w14:textId="77777777" w:rsidR="00AF3D56" w:rsidRDefault="00000000">
      <w:pPr>
        <w:spacing w:before="200" w:after="60"/>
        <w:ind w:left="431"/>
      </w:pPr>
      <w:r>
        <w:rPr>
          <w:rFonts w:ascii="Courier New" w:eastAsia="Courier New" w:hAnsi="Courier New" w:cs="Courier New"/>
          <w:b/>
          <w:bCs/>
          <w:color w:val="2A2A2A"/>
          <w:sz w:val="18"/>
          <w:szCs w:val="18"/>
        </w:rPr>
        <w:t xml:space="preserve">§9.1  </w:t>
      </w:r>
      <w:r>
        <w:rPr>
          <w:rFonts w:ascii="Garamond" w:eastAsia="Garamond" w:hAnsi="Garamond" w:cs="Garamond"/>
          <w:i/>
          <w:iCs/>
          <w:color w:val="1B2A4A"/>
          <w:sz w:val="22"/>
          <w:szCs w:val="22"/>
        </w:rPr>
        <w:t>Three Monitors</w:t>
      </w:r>
    </w:p>
    <w:p w14:paraId="2EC75C92" w14:textId="77777777" w:rsidR="00AF3D56" w:rsidRDefault="00000000">
      <w:pPr>
        <w:spacing w:after="120"/>
        <w:ind w:left="431"/>
        <w:jc w:val="both"/>
      </w:pPr>
      <w:r>
        <w:rPr>
          <w:rFonts w:ascii="Garamond" w:eastAsia="Garamond" w:hAnsi="Garamond" w:cs="Garamond"/>
          <w:color w:val="2A2A2A"/>
          <w:sz w:val="22"/>
          <w:szCs w:val="22"/>
        </w:rPr>
        <w:t>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14:paraId="31371B1E" w14:textId="77777777" w:rsidR="00AF3D56" w:rsidRDefault="00000000">
      <w:pPr>
        <w:spacing w:before="200" w:after="60"/>
        <w:ind w:left="431"/>
      </w:pPr>
      <w:r>
        <w:rPr>
          <w:rFonts w:ascii="Courier New" w:eastAsia="Courier New" w:hAnsi="Courier New" w:cs="Courier New"/>
          <w:b/>
          <w:bCs/>
          <w:color w:val="2A2A2A"/>
          <w:sz w:val="18"/>
          <w:szCs w:val="18"/>
        </w:rPr>
        <w:t xml:space="preserve">§9.1.a  </w:t>
      </w:r>
      <w:r>
        <w:rPr>
          <w:rFonts w:ascii="Garamond" w:eastAsia="Garamond" w:hAnsi="Garamond" w:cs="Garamond"/>
          <w:i/>
          <w:iCs/>
          <w:color w:val="1B2A4A"/>
          <w:sz w:val="22"/>
          <w:szCs w:val="22"/>
        </w:rPr>
        <w:t>The Legislative Monitor</w:t>
      </w:r>
    </w:p>
    <w:p w14:paraId="2A180BB7" w14:textId="77777777" w:rsidR="00AF3D56" w:rsidRDefault="00000000">
      <w:pPr>
        <w:spacing w:after="120"/>
        <w:ind w:left="431"/>
        <w:jc w:val="both"/>
      </w:pPr>
      <w:r>
        <w:rPr>
          <w:rFonts w:ascii="Garamond" w:eastAsia="Garamond" w:hAnsi="Garamond" w:cs="Garamond"/>
          <w:color w:val="2A2A2A"/>
          <w:sz w:val="22"/>
          <w:szCs w:val="22"/>
        </w:rPr>
        <w:t>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14:paraId="77863FB2" w14:textId="77777777" w:rsidR="00AF3D56" w:rsidRDefault="00000000">
      <w:pPr>
        <w:spacing w:before="200" w:after="60"/>
        <w:ind w:left="431"/>
      </w:pPr>
      <w:r>
        <w:rPr>
          <w:rFonts w:ascii="Courier New" w:eastAsia="Courier New" w:hAnsi="Courier New" w:cs="Courier New"/>
          <w:b/>
          <w:bCs/>
          <w:color w:val="2A2A2A"/>
          <w:sz w:val="18"/>
          <w:szCs w:val="18"/>
        </w:rPr>
        <w:t xml:space="preserve">§9.1.b  </w:t>
      </w:r>
      <w:r>
        <w:rPr>
          <w:rFonts w:ascii="Garamond" w:eastAsia="Garamond" w:hAnsi="Garamond" w:cs="Garamond"/>
          <w:i/>
          <w:iCs/>
          <w:color w:val="1B2A4A"/>
          <w:sz w:val="22"/>
          <w:szCs w:val="22"/>
        </w:rPr>
        <w:t>The Executive Monitor</w:t>
      </w:r>
    </w:p>
    <w:p w14:paraId="74469628" w14:textId="77777777" w:rsidR="00AF3D56" w:rsidRDefault="00000000">
      <w:pPr>
        <w:spacing w:after="120"/>
        <w:ind w:left="431"/>
        <w:jc w:val="both"/>
      </w:pPr>
      <w:r>
        <w:rPr>
          <w:rFonts w:ascii="Garamond" w:eastAsia="Garamond" w:hAnsi="Garamond" w:cs="Garamond"/>
          <w:color w:val="2A2A2A"/>
          <w:sz w:val="22"/>
          <w:szCs w:val="22"/>
        </w:rPr>
        <w:t>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14:paraId="52FB7E88" w14:textId="77777777" w:rsidR="00AF3D56" w:rsidRDefault="00000000">
      <w:pPr>
        <w:spacing w:before="200" w:after="60"/>
        <w:ind w:left="431"/>
      </w:pPr>
      <w:r>
        <w:rPr>
          <w:rFonts w:ascii="Courier New" w:eastAsia="Courier New" w:hAnsi="Courier New" w:cs="Courier New"/>
          <w:b/>
          <w:bCs/>
          <w:color w:val="2A2A2A"/>
          <w:sz w:val="18"/>
          <w:szCs w:val="18"/>
        </w:rPr>
        <w:t xml:space="preserve">§9.1.c  </w:t>
      </w:r>
      <w:r>
        <w:rPr>
          <w:rFonts w:ascii="Garamond" w:eastAsia="Garamond" w:hAnsi="Garamond" w:cs="Garamond"/>
          <w:i/>
          <w:iCs/>
          <w:color w:val="1B2A4A"/>
          <w:sz w:val="22"/>
          <w:szCs w:val="22"/>
        </w:rPr>
        <w:t>The Judicial Monitor</w:t>
      </w:r>
    </w:p>
    <w:p w14:paraId="153206F1" w14:textId="77777777" w:rsidR="00AF3D56" w:rsidRDefault="00000000">
      <w:pPr>
        <w:spacing w:after="120"/>
        <w:ind w:left="431"/>
        <w:jc w:val="both"/>
      </w:pPr>
      <w:r>
        <w:rPr>
          <w:rFonts w:ascii="Garamond" w:eastAsia="Garamond" w:hAnsi="Garamond" w:cs="Garamond"/>
          <w:color w:val="2A2A2A"/>
          <w:sz w:val="22"/>
          <w:szCs w:val="22"/>
        </w:rPr>
        <w:t>The JM audits the courts for judicial scope and independence, and conducts annual audits of the Elections Panel for electoral integrity compliance, including the administration of the Judicial Pool and all constitutional pools. The JM reviews compliance with treaty obligations under Article XVI and Associated Community compact agreements under Article XX. The JM administers all constitutional lottery draws and candidate certification functions.</w:t>
      </w:r>
    </w:p>
    <w:p w14:paraId="3B4115BB" w14:textId="77777777" w:rsidR="00AF3D56" w:rsidRDefault="00000000">
      <w:pPr>
        <w:spacing w:before="200" w:after="60"/>
        <w:ind w:left="431"/>
      </w:pPr>
      <w:r>
        <w:rPr>
          <w:rFonts w:ascii="Courier New" w:eastAsia="Courier New" w:hAnsi="Courier New" w:cs="Courier New"/>
          <w:b/>
          <w:bCs/>
          <w:color w:val="2A2A2A"/>
          <w:sz w:val="18"/>
          <w:szCs w:val="18"/>
        </w:rPr>
        <w:t xml:space="preserve">§9.1.d  </w:t>
      </w:r>
      <w:r>
        <w:rPr>
          <w:rFonts w:ascii="Garamond" w:eastAsia="Garamond" w:hAnsi="Garamond" w:cs="Garamond"/>
          <w:i/>
          <w:iCs/>
          <w:color w:val="1B2A4A"/>
          <w:sz w:val="22"/>
          <w:szCs w:val="22"/>
        </w:rPr>
        <w:t>Monitor General Term Expiry and Incapacity</w:t>
      </w:r>
    </w:p>
    <w:p w14:paraId="4AEB7A07" w14:textId="77777777" w:rsidR="00AF3D56" w:rsidRDefault="00000000">
      <w:pPr>
        <w:spacing w:after="120"/>
        <w:ind w:left="431"/>
        <w:jc w:val="both"/>
      </w:pPr>
      <w:r>
        <w:rPr>
          <w:rFonts w:ascii="Garamond" w:eastAsia="Garamond" w:hAnsi="Garamond" w:cs="Garamond"/>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where two or more pool members have equal continuous pool tenure, the tiebreaker is defined by statute. The Acting Monitor General holds full constitutional authority of the office. The Acting Monitor General is not eligible for permanent appointment to the position in which they serve; upon </w:t>
        <w:lastRenderedPageBreak/>
        <w:t>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14:paraId="46B5493E" w14:textId="77777777" w:rsidR="00AF3D56" w:rsidRDefault="00000000">
      <w:pPr>
        <w:spacing w:before="200" w:after="60"/>
        <w:ind w:left="431"/>
      </w:pPr>
      <w:r>
        <w:rPr>
          <w:rFonts w:ascii="Courier New" w:eastAsia="Courier New" w:hAnsi="Courier New" w:cs="Courier New"/>
          <w:b/>
          <w:bCs/>
          <w:color w:val="2A2A2A"/>
          <w:sz w:val="18"/>
          <w:szCs w:val="18"/>
        </w:rPr>
        <w:t xml:space="preserve">§9.2  </w:t>
      </w:r>
      <w:r>
        <w:rPr>
          <w:rFonts w:ascii="Garamond" w:eastAsia="Garamond" w:hAnsi="Garamond" w:cs="Garamond"/>
          <w:i/>
          <w:iCs/>
          <w:color w:val="1B2A4A"/>
          <w:sz w:val="22"/>
          <w:szCs w:val="22"/>
        </w:rPr>
        <w:t>Selection and Independence</w:t>
      </w:r>
    </w:p>
    <w:p w14:paraId="33C79C2D" w14:textId="77777777" w:rsidR="00AF3D56" w:rsidRDefault="00000000">
      <w:pPr>
        <w:spacing w:after="120"/>
        <w:ind w:left="431"/>
        <w:jc w:val="both"/>
      </w:pPr>
      <w:r>
        <w:rPr>
          <w:rFonts w:ascii="Garamond" w:eastAsia="Garamond" w:hAnsi="Garamond" w:cs="Garamond"/>
          <w:color w:val="2A2A2A"/>
          <w:sz w:val="22"/>
          <w:szCs w:val="22"/>
        </w:rPr>
        <w:t>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14:paraId="0BBF3D39" w14:textId="77777777" w:rsidR="00AF3D56" w:rsidRDefault="00000000">
      <w:pPr>
        <w:spacing w:before="200" w:after="60"/>
        <w:ind w:left="431"/>
      </w:pPr>
      <w:r>
        <w:rPr>
          <w:rFonts w:ascii="Courier New" w:eastAsia="Courier New" w:hAnsi="Courier New" w:cs="Courier New"/>
          <w:b/>
          <w:bCs/>
          <w:color w:val="2A2A2A"/>
          <w:sz w:val="18"/>
          <w:szCs w:val="18"/>
        </w:rPr>
        <w:t xml:space="preserve">§9.3  </w:t>
      </w:r>
      <w:r>
        <w:rPr>
          <w:rFonts w:ascii="Garamond" w:eastAsia="Garamond" w:hAnsi="Garamond" w:cs="Garamond"/>
          <w:i/>
          <w:iCs/>
          <w:color w:val="1B2A4A"/>
          <w:sz w:val="22"/>
          <w:szCs w:val="22"/>
        </w:rPr>
        <w:t>Monitor General Selection</w:t>
      </w:r>
    </w:p>
    <w:p w14:paraId="429C6323" w14:textId="77777777" w:rsidR="00AF3D56" w:rsidRDefault="00000000">
      <w:pPr>
        <w:spacing w:after="120"/>
        <w:ind w:left="431"/>
        <w:jc w:val="both"/>
      </w:pPr>
      <w:r>
        <w:rPr>
          <w:rFonts w:ascii="Garamond" w:eastAsia="Garamond" w:hAnsi="Garamond" w:cs="Garamond"/>
          <w:color w:val="2A2A2A"/>
          <w:sz w:val="22"/>
          <w:szCs w:val="22"/>
        </w:rPr>
        <w:t>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§9.8 from the JM Candidate Pool under §9.4. A Monitor General confirmed following an unscheduled vacancy serves only the remainder of the original term. No two Monitor General full terms may be scheduled to begin within 18 months of each other; service for the remainder of a predecessor's term does not commence a new term for the purposes of this spacing requirement. The confirmed successor assumes full authority at the precise moment the incumbent’s term concludes.</w:t>
      </w:r>
    </w:p>
    <w:p w14:paraId="04940EBC" w14:textId="77777777" w:rsidR="00AF3D56" w:rsidRDefault="00000000">
      <w:pPr>
        <w:spacing w:before="200" w:after="60"/>
        <w:ind w:left="431"/>
      </w:pPr>
      <w:r>
        <w:rPr>
          <w:rFonts w:ascii="Courier New" w:eastAsia="Courier New" w:hAnsi="Courier New" w:cs="Courier New"/>
          <w:b/>
          <w:bCs/>
          <w:color w:val="2A2A2A"/>
          <w:sz w:val="18"/>
          <w:szCs w:val="18"/>
        </w:rPr>
        <w:t xml:space="preserve">§9.4  </w:t>
      </w:r>
      <w:r>
        <w:rPr>
          <w:rFonts w:ascii="Garamond" w:eastAsia="Garamond" w:hAnsi="Garamond" w:cs="Garamond"/>
          <w:i/>
          <w:iCs/>
          <w:color w:val="1B2A4A"/>
          <w:sz w:val="22"/>
          <w:szCs w:val="22"/>
        </w:rPr>
        <w:t>Judicial Monitor Audit and Lottery Administration Mandate</w:t>
      </w:r>
    </w:p>
    <w:p>
      <w:pPr>
        <w:spacing w:after="120"/>
        <w:ind w:left="431"/>
        <w:jc w:val="both"/>
      </w:pPr>
      <w:r>
        <w:rPr>
          <w:rFonts w:ascii="Garamond" w:eastAsia="Garamond" w:hAnsi="Garamond" w:cs="Garamond"/>
          <w:color w:val="2A2A2A"/>
          <w:sz w:val="22"/>
          <w:szCs w:val="22"/>
        </w:rPr>
        <w:t xml:space="preserve">(1) 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w:t>
      </w:r>
    </w:p>
    <w:p>
      <w:pPr>
        <w:spacing w:after="120"/>
        <w:ind w:left="431"/>
        <w:jc w:val="both"/>
      </w:pPr>
      <w:r>
        <w:rPr>
          <w:rFonts w:ascii="Garamond" w:eastAsia="Garamond" w:hAnsi="Garamond" w:cs="Garamond"/>
          <w:color w:val="2A2A2A"/>
          <w:sz w:val="22"/>
          <w:szCs w:val="22"/>
        </w:rPr>
        <w:t xml:space="preserve">(2) The audit mandate is information-only; the lottery administration mandate is ministerial — the JM administers the process and certifies the result, but cannot influence the outcome.</w:t>
      </w:r>
    </w:p>
    <w:p>
      <w:pPr>
        <w:spacing w:after="120"/>
        <w:ind w:left="431"/>
        <w:jc w:val="both"/>
      </w:pPr>
      <w:r>
        <w:rPr>
          <w:rFonts w:ascii="Garamond" w:eastAsia="Garamond" w:hAnsi="Garamond" w:cs="Garamond"/>
          <w:color w:val="2A2A2A"/>
          <w:sz w:val="22"/>
          <w:szCs w:val="22"/>
        </w:rPr>
        <w:t xml:space="preserve">(3) Annual audit responsibilities include: court operations for scope compliance and independence; the Elections Panel for electoral integrity; SC independence; inferior court compliance with jurisdictional limits; and compliance under Article XIV, Article XIX, Article XVI treaty obligations, and Article XX compacts.</w:t>
      </w:r>
    </w:p>
    <w:p>
      <w:pPr>
        <w:spacing w:after="120"/>
        <w:ind w:left="431"/>
        <w:jc w:val="both"/>
      </w:pPr>
      <w:r>
        <w:rPr>
          <w:rFonts w:ascii="Garamond" w:eastAsia="Garamond" w:hAnsi="Garamond" w:cs="Garamond"/>
          <w:color w:val="2A2A2A"/>
          <w:sz w:val="22"/>
          <w:szCs w:val="22"/>
        </w:rPr>
        <w:t xml:space="preserve">(4) Any candidate removed from a ballot by the Elections Panel may appeal to the Appellate Court within 14 days; the Court reviews only whether eligibility criteria were correctly applied and must rule within 21 days.</w:t>
      </w:r>
    </w:p>
    <w:p>
      <w:pPr>
        <w:spacing w:after="120"/>
        <w:ind w:left="431"/>
        <w:jc w:val="both"/>
      </w:pPr>
      <w:r>
        <w:rPr>
          <w:rFonts w:ascii="Garamond" w:eastAsia="Garamond" w:hAnsi="Garamond" w:cs="Garamond"/>
          <w:color w:val="2A2A2A"/>
          <w:sz w:val="22"/>
          <w:szCs w:val="22"/>
        </w:rPr>
        <w:t xml:space="preserve">(5)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w:t>
      </w:r>
    </w:p>
    <w:p>
      <w:pPr>
        <w:spacing w:after="120"/>
        <w:ind w:left="431"/>
        <w:jc w:val="both"/>
      </w:pPr>
      <w:r>
        <w:rPr>
          <w:rFonts w:ascii="Garamond" w:eastAsia="Garamond" w:hAnsi="Garamond" w:cs="Garamond"/>
          <w:color w:val="2A2A2A"/>
          <w:sz w:val="22"/>
          <w:szCs w:val="22"/>
        </w:rPr>
        <w:t xml:space="preserve">(6) The JM holds no role in constituting or certifying its own candidate pool. The Elections Panel applies the eligibility criteria and enters qualifying applicants into the pool.</w:t>
      </w:r>
    </w:p>
    <w:p>
      <w:pPr>
        <w:spacing w:after="120"/>
        <w:ind w:left="431"/>
        <w:jc w:val="both"/>
      </w:pPr>
      <w:r>
        <w:rPr>
          <w:rFonts w:ascii="Garamond" w:eastAsia="Garamond" w:hAnsi="Garamond" w:cs="Garamond"/>
          <w:color w:val="2A2A2A"/>
          <w:sz w:val="22"/>
          <w:szCs w:val="22"/>
        </w:rPr>
        <w:t xml:space="preserve">(7) The LM's ongoing audit encompasses verification of judicial service records; the EM's ongoing audit encompasses financial disclosure review; both publish findings to the NRS.</w:t>
      </w:r>
    </w:p>
    <w:p>
      <w:pPr>
        <w:spacing w:after="120"/>
        <w:ind w:left="431"/>
        <w:jc w:val="both"/>
      </w:pPr>
      <w:r>
        <w:rPr>
          <w:rFonts w:ascii="Garamond" w:eastAsia="Garamond" w:hAnsi="Garamond" w:cs="Garamond"/>
          <w:color w:val="2A2A2A"/>
          <w:sz w:val="22"/>
          <w:szCs w:val="22"/>
        </w:rPr>
        <w:t xml:space="preserve">(8) The JMC conducts the lottery in a public session; the outgoing JM Monitor General does not participate. The pool is publicly accessible at all times.</w:t>
      </w:r>
    </w:p>
    <w:p w14:paraId="617C0C91" w14:textId="77777777" w:rsidR="00AF3D56" w:rsidRDefault="00000000">
      <w:pPr>
        <w:spacing w:before="200" w:after="60"/>
        <w:ind w:left="431"/>
      </w:pPr>
      <w:r>
        <w:rPr>
          <w:rFonts w:ascii="Courier New" w:eastAsia="Courier New" w:hAnsi="Courier New" w:cs="Courier New"/>
          <w:b/>
          <w:bCs/>
          <w:color w:val="2A2A2A"/>
          <w:sz w:val="18"/>
          <w:szCs w:val="18"/>
        </w:rPr>
        <w:t xml:space="preserve">§9.4.a  </w:t>
      </w:r>
      <w:r>
        <w:rPr>
          <w:rFonts w:ascii="Garamond" w:eastAsia="Garamond" w:hAnsi="Garamond" w:cs="Garamond"/>
          <w:i/>
          <w:iCs/>
          <w:color w:val="1B2A4A"/>
          <w:sz w:val="22"/>
          <w:szCs w:val="22"/>
        </w:rPr>
        <w:t>Judicial Pool — Eligibility Criteria</w:t>
      </w:r>
    </w:p>
    <w:p w14:paraId="6EFB0724" w14:textId="77777777" w:rsidR="00AF3D56" w:rsidRDefault="00000000">
      <w:pPr>
        <w:spacing w:after="120"/>
        <w:ind w:left="431"/>
        <w:jc w:val="both"/>
      </w:pPr>
      <w:r>
        <w:rPr>
          <w:rFonts w:ascii="Garamond" w:eastAsia="Garamond" w:hAnsi="Garamond" w:cs="Garamond"/>
          <w:color w:val="2A2A2A"/>
          <w:sz w:val="22"/>
          <w:szCs w:val="22"/>
        </w:rPr>
        <w:lastRenderedPageBreak/>
        <w:t>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as defined in §12.4.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14:paraId="2F4DE292" w14:textId="77777777" w:rsidR="00AF3D56" w:rsidRDefault="00000000">
      <w:pPr>
        <w:spacing w:before="200" w:after="60"/>
        <w:ind w:left="431"/>
      </w:pPr>
      <w:r>
        <w:rPr>
          <w:rFonts w:ascii="Courier New" w:eastAsia="Courier New" w:hAnsi="Courier New" w:cs="Courier New"/>
          <w:b/>
          <w:bCs/>
          <w:color w:val="2A2A2A"/>
          <w:sz w:val="18"/>
          <w:szCs w:val="18"/>
        </w:rPr>
        <w:t xml:space="preserve">§9.5  </w:t>
      </w:r>
      <w:r>
        <w:rPr>
          <w:rFonts w:ascii="Garamond" w:eastAsia="Garamond" w:hAnsi="Garamond" w:cs="Garamond"/>
          <w:i/>
          <w:iCs/>
          <w:color w:val="1B2A4A"/>
          <w:sz w:val="22"/>
          <w:szCs w:val="22"/>
        </w:rPr>
        <w:t>Monitor Operations</w:t>
      </w:r>
    </w:p>
    <w:p w14:paraId="59F9C37E" w14:textId="77777777" w:rsidR="00AF3D56" w:rsidRDefault="00000000">
      <w:pPr>
        <w:spacing w:after="120"/>
        <w:ind w:left="431"/>
        <w:jc w:val="both"/>
      </w:pPr>
      <w:r>
        <w:rPr>
          <w:rFonts w:ascii="Garamond" w:eastAsia="Garamond" w:hAnsi="Garamond" w:cs="Garamond"/>
          <w:color w:val="2A2A2A"/>
          <w:sz w:val="22"/>
          <w:szCs w:val="22"/>
        </w:rPr>
        <w:t>Every finding, report, and discrepancy notice must be published to the NRS permanently and free of charge; no official may suppress, delay, classify, or alter a Monitor report before publication. Monitor reports are permanently exempt from classification.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14:paraId="6A6B7C01" w14:textId="77777777" w:rsidR="00AF3D56" w:rsidRDefault="00000000">
      <w:pPr>
        <w:spacing w:before="200" w:after="60"/>
        <w:ind w:left="431"/>
      </w:pPr>
      <w:r>
        <w:rPr>
          <w:rFonts w:ascii="Courier New" w:eastAsia="Courier New" w:hAnsi="Courier New" w:cs="Courier New"/>
          <w:b/>
          <w:bCs/>
          <w:color w:val="2A2A2A"/>
          <w:sz w:val="18"/>
          <w:szCs w:val="18"/>
        </w:rPr>
        <w:t xml:space="preserve">§9.5.a  </w:t>
      </w:r>
      <w:r>
        <w:rPr>
          <w:rFonts w:ascii="Garamond" w:eastAsia="Garamond" w:hAnsi="Garamond" w:cs="Garamond"/>
          <w:i/>
          <w:iCs/>
          <w:color w:val="1B2A4A"/>
          <w:sz w:val="22"/>
          <w:szCs w:val="22"/>
        </w:rPr>
        <w:t>Compliance Standards and Findings</w:t>
      </w:r>
    </w:p>
    <w:p w14:paraId="6A6B7C02" w14:textId="77777777" w:rsidR="00AF3D56" w:rsidRDefault="00000000">
      <w:pPr>
        <w:spacing w:after="120"/>
        <w:ind w:left="431"/>
        <w:jc w:val="both"/>
      </w:pPr>
      <w:r>
        <w:rPr>
          <w:rFonts w:ascii="Garamond" w:eastAsia="Garamond" w:hAnsi="Garamond" w:cs="Garamond"/>
          <w:color w:val="2A2A2A"/>
          <w:sz w:val="22"/>
          <w:szCs w:val="22"/>
        </w:rPr>
        <w:t>The JMC defines and publishes to the NRS the compliance standard for each category of audit — the criteria by which each aspect of a finding is determined Pass or Fail, evaluated separately rather than as a single whole-entity judgment. No Monitor may issue a Pass or Fail finding for a category of audit for which the JMC has not yet published a standard; the underlying audit function continues, but produces no Pass or Fail determination until a standard exists. The JMC may adopt a single standard or separate standards tailored to distinct categories of audit. For each standard, the JMC publishes both the criteria and the methodology by which the criteria were developed. Where more than one standard exists, every published finding identifies which standard was applied. Each Fail is reported to the body responsible for that aspect, which publishes its own account of the matter for the public record. A change to any standard takes effect only for findings arising after the change is published. This prospective-only protection applies equally to the adoption of a new category of standard for any audit subject with a finding already pending at the time of publication. Where the JMC cannot reach consensus, each Monitor General’s proposed standard and methodology are published individually under §9.7’s dissent procedure.</w:t>
      </w:r>
    </w:p>
    <w:p w14:paraId="1C2D3E01" w14:textId="77777777" w:rsidR="00AF3D56" w:rsidRDefault="00000000">
      <w:pPr>
        <w:spacing w:before="200" w:after="60"/>
        <w:ind w:left="431"/>
      </w:pPr>
      <w:r>
        <w:rPr>
          <w:rFonts w:ascii="Courier New" w:eastAsia="Courier New" w:hAnsi="Courier New" w:cs="Courier New"/>
          <w:b/>
          <w:bCs/>
          <w:color w:val="2A2A2A"/>
          <w:sz w:val="18"/>
          <w:szCs w:val="18"/>
        </w:rPr>
        <w:t xml:space="preserve">§9.5.b  </w:t>
      </w:r>
      <w:r>
        <w:rPr>
          <w:rFonts w:ascii="Garamond" w:eastAsia="Garamond" w:hAnsi="Garamond" w:cs="Garamond"/>
          <w:i/>
          <w:iCs/>
          <w:color w:val="1B2A4A"/>
          <w:sz w:val="22"/>
          <w:szCs w:val="22"/>
        </w:rPr>
        <w:t>Agency Accountability</w:t>
      </w:r>
    </w:p>
    <w:p w14:paraId="1C2D3E02" w14:textId="77777777" w:rsidR="00AF3D56" w:rsidRDefault="00000000">
      <w:pPr>
        <w:spacing w:after="120"/>
        <w:ind w:left="431"/>
        <w:jc w:val="both"/>
      </w:pPr>
      <w:r>
        <w:rPr>
          <w:rFonts w:ascii="Garamond" w:eastAsia="Garamond" w:hAnsi="Garamond" w:cs="Garamond"/>
          <w:color w:val="2A2A2A"/>
          <w:sz w:val="22"/>
          <w:szCs w:val="22"/>
        </w:rPr>
        <w:t>Every agency the Legislature establishes is bound both by whatever this constitution specifies for it and by whatever mandate the Legislature has assigned to it by statute. A Fail reported under §9.5.a does not substitute for the responsible body’s own independent obligation to act on matters within its operational control.</w:t>
      </w:r>
    </w:p>
    <w:p w14:paraId="5DCDAB6A" w14:textId="77777777" w:rsidR="00AF3D56" w:rsidRDefault="00000000">
      <w:pPr>
        <w:spacing w:before="200" w:after="60"/>
        <w:ind w:left="431"/>
      </w:pPr>
      <w:r>
        <w:rPr>
          <w:rFonts w:ascii="Courier New" w:eastAsia="Courier New" w:hAnsi="Courier New" w:cs="Courier New"/>
          <w:b/>
          <w:bCs/>
          <w:color w:val="2A2A2A"/>
          <w:sz w:val="18"/>
          <w:szCs w:val="18"/>
        </w:rPr>
        <w:t xml:space="preserve">§9.6  </w:t>
      </w:r>
      <w:r>
        <w:rPr>
          <w:rFonts w:ascii="Garamond" w:eastAsia="Garamond" w:hAnsi="Garamond" w:cs="Garamond"/>
          <w:i/>
          <w:iCs/>
          <w:color w:val="1B2A4A"/>
          <w:sz w:val="22"/>
          <w:szCs w:val="22"/>
        </w:rPr>
        <w:t>Monitor Minimum Funding Guarantee</w:t>
      </w:r>
    </w:p>
    <w:p w14:paraId="3635D7E7" w14:textId="77777777" w:rsidR="00AF3D56" w:rsidRDefault="00000000">
      <w:pPr>
        <w:spacing w:after="120"/>
        <w:ind w:left="431"/>
        <w:jc w:val="both"/>
      </w:pPr>
      <w:r>
        <w:rPr>
          <w:rFonts w:ascii="Garamond" w:eastAsia="Garamond" w:hAnsi="Garamond" w:cs="Garamond"/>
          <w:color w:val="2A2A2A"/>
          <w:sz w:val="22"/>
          <w:szCs w:val="22"/>
        </w:rPr>
        <w:t>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14:paraId="4AA87CF4" w14:textId="77777777" w:rsidR="00AF3D56" w:rsidRDefault="00000000">
      <w:pPr>
        <w:spacing w:before="200" w:after="60"/>
        <w:ind w:left="431"/>
      </w:pPr>
      <w:r>
        <w:rPr>
          <w:rFonts w:ascii="Courier New" w:eastAsia="Courier New" w:hAnsi="Courier New" w:cs="Courier New"/>
          <w:b/>
          <w:bCs/>
          <w:color w:val="2A2A2A"/>
          <w:sz w:val="18"/>
          <w:szCs w:val="18"/>
        </w:rPr>
        <w:t xml:space="preserve">§9.7  </w:t>
      </w:r>
      <w:r>
        <w:rPr>
          <w:rFonts w:ascii="Garamond" w:eastAsia="Garamond" w:hAnsi="Garamond" w:cs="Garamond"/>
          <w:i/>
          <w:iCs/>
          <w:color w:val="1B2A4A"/>
          <w:sz w:val="22"/>
          <w:szCs w:val="22"/>
        </w:rPr>
        <w:t>Joint Monitor Council</w:t>
      </w:r>
    </w:p>
    <w:p>
      <w:pPr>
        <w:spacing w:after="120"/>
        <w:ind w:left="431"/>
        <w:jc w:val="both"/>
      </w:pPr>
      <w:r>
        <w:rPr>
          <w:rFonts w:ascii="Garamond" w:eastAsia="Garamond" w:hAnsi="Garamond" w:cs="Garamond"/>
          <w:color w:val="2A2A2A"/>
          <w:sz w:val="22"/>
          <w:szCs w:val="22"/>
        </w:rPr>
        <w:t xml:space="preserve">(1) The three Monitor Generals jointly constitute the JMC as the standing coordination body for matters crossing Monitor jurisdictions.</w:t>
      </w:r>
    </w:p>
    <w:p>
      <w:pPr>
        <w:spacing w:after="120"/>
        <w:ind w:left="431"/>
        <w:jc w:val="both"/>
      </w:pPr>
      <w:r>
        <w:rPr>
          <w:rFonts w:ascii="Garamond" w:eastAsia="Garamond" w:hAnsi="Garamond" w:cs="Garamond"/>
          <w:color w:val="2A2A2A"/>
          <w:sz w:val="22"/>
          <w:szCs w:val="22"/>
        </w:rPr>
        <w:t xml:space="preserve">(2) The JMC formally houses all jointly administered constitutional functions — including lottery draws and selection processes throughout the constitution.</w:t>
      </w:r>
    </w:p>
    <w:p>
      <w:pPr>
        <w:spacing w:after="120"/>
        <w:ind w:left="431"/>
        <w:jc w:val="both"/>
      </w:pPr>
      <w:r>
        <w:rPr>
          <w:rFonts w:ascii="Garamond" w:eastAsia="Garamond" w:hAnsi="Garamond" w:cs="Garamond"/>
          <w:color w:val="2A2A2A"/>
          <w:sz w:val="22"/>
          <w:szCs w:val="22"/>
        </w:rPr>
        <w:t xml:space="preserve">(3) The chair of any joint session is the Monitor General whose domain covers the primary subject matter; where all domains are equally engaged, the chair rotates annually.</w:t>
      </w:r>
    </w:p>
    <w:p>
      <w:pPr>
        <w:spacing w:after="120"/>
        <w:ind w:left="431"/>
        <w:jc w:val="both"/>
      </w:pPr>
      <w:r>
        <w:rPr>
          <w:rFonts w:ascii="Garamond" w:eastAsia="Garamond" w:hAnsi="Garamond" w:cs="Garamond"/>
          <w:color w:val="2A2A2A"/>
          <w:sz w:val="22"/>
          <w:szCs w:val="22"/>
        </w:rPr>
        <w:t xml:space="preserve">(4)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w:t>
      </w:r>
    </w:p>
    <w:p>
      <w:pPr>
        <w:spacing w:after="120"/>
        <w:ind w:left="431"/>
        <w:jc w:val="both"/>
      </w:pPr>
      <w:r>
        <w:rPr>
          <w:rFonts w:ascii="Garamond" w:eastAsia="Garamond" w:hAnsi="Garamond" w:cs="Garamond"/>
          <w:color w:val="2A2A2A"/>
          <w:sz w:val="22"/>
          <w:szCs w:val="22"/>
        </w:rPr>
        <w:t xml:space="preserve">(5) Where the Monitor Generals cannot reach consensus on a joint matter, each publishes their individual assessment and the disagreement is noted in the permanent NRS record. Sustained non-participation by a single Monitor General is subject to the §9.7.a Institutional Compromise Protocol.</w:t>
      </w:r>
    </w:p>
    <w:p>
      <w:pPr>
        <w:spacing w:after="120"/>
        <w:ind w:left="431"/>
        <w:jc w:val="both"/>
      </w:pPr>
      <w:r>
        <w:rPr>
          <w:rFonts w:ascii="Garamond" w:eastAsia="Garamond" w:hAnsi="Garamond" w:cs="Garamond"/>
          <w:color w:val="2A2A2A"/>
          <w:sz w:val="22"/>
          <w:szCs w:val="22"/>
        </w:rPr>
        <w:t xml:space="preserve">(6)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w:t>
      </w:r>
    </w:p>
    <w:p>
      <w:pPr>
        <w:spacing w:after="120"/>
        <w:ind w:left="431"/>
        <w:jc w:val="both"/>
      </w:pPr>
      <w:r>
        <w:rPr>
          <w:rFonts w:ascii="Garamond" w:eastAsia="Garamond" w:hAnsi="Garamond" w:cs="Garamond"/>
          <w:color w:val="2A2A2A"/>
          <w:sz w:val="22"/>
          <w:szCs w:val="22"/>
        </w:rPr>
        <w:t xml:space="preserve">(7) The JMC has no authority to override the individual mandate of any Monitor. Where this Constitution assigns a function to the JMC, the JMC exercises that function collectively by majority vote of participating Monitor Generals and publishes its determinations to the NRS; a dissenting Monitor General's position is published alongside.</w:t>
      </w:r>
    </w:p>
    <w:p>
      <w:pPr>
        <w:spacing w:after="120"/>
        <w:ind w:left="431"/>
        <w:jc w:val="both"/>
      </w:pPr>
      <w:r>
        <w:rPr>
          <w:rFonts w:ascii="Garamond" w:eastAsia="Garamond" w:hAnsi="Garamond" w:cs="Garamond"/>
          <w:color w:val="2A2A2A"/>
          <w:sz w:val="22"/>
          <w:szCs w:val="22"/>
        </w:rPr>
        <w:t xml:space="preserve">(8) The JMC may delegate operational responsibility for any assigned function to one or more individual Monitor Generals without transferring constitutional accountability for the function; it may also coordinate resource allocation across Monitor offices as needed to fulfill assigned functions, provided no Monitor's capacity to fulfill their individual mandate is diminished.</w:t>
      </w:r>
    </w:p>
    <w:p w14:paraId="573CA303"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§9.7.a  </w:t>
      </w:r>
      <w:r>
        <w:rPr>
          <w:rFonts w:ascii="Garamond" w:eastAsia="Garamond" w:hAnsi="Garamond" w:cs="Garamond"/>
          <w:i/>
          <w:iCs/>
          <w:color w:val="1B2A4A"/>
          <w:sz w:val="22"/>
          <w:szCs w:val="22"/>
        </w:rPr>
        <w:t>Institutional Compromise Protocol</w:t>
      </w:r>
    </w:p>
    <w:p w14:paraId="4C467E62" w14:textId="77777777" w:rsidR="00AF3D56" w:rsidRDefault="00000000">
      <w:pPr>
        <w:spacing w:after="120"/>
        <w:ind w:left="431"/>
        <w:jc w:val="both"/>
      </w:pPr>
      <w:r>
        <w:rPr>
          <w:rFonts w:ascii="Garamond" w:eastAsia="Garamond" w:hAnsi="Garamond" w:cs="Garamond"/>
          <w:color w:val="2A2A2A"/>
          <w:sz w:val="22"/>
          <w:szCs w:val="22"/>
        </w:rPr>
        <w:t>Where two of the three Monitors jointly assess and report that the third is operating in demonstrable bad faith, they petition the SC directly for confirmation of the finding under its original jurisdiction in §4.5; the SC rules within 14 days. Upon filing the petition, the two petitioning Monitors jointly designate an Acting Monitor General as the most senior member of the affected Monitor’s candidate pool by continuous pool tenure who accepts the designation; both executives are notified immediately. The Acting Monitor General assumes all constitutional functions of the compromised Monitor from the moment of designation. If the SC rules that the finding is not confirmed, the Acting Monitor General stands down and all functions return immediately to the original Monitor General. Where the SC neither rules nor files an extension request within the applicable period, the Acting Monitor General stands down, all functions return to the original Monitor General, and the petition may be refiled.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14:paraId="476B5CB4" w14:textId="77777777" w:rsidR="00AF3D56" w:rsidRDefault="00000000">
      <w:pPr>
        <w:spacing w:before="200" w:after="60"/>
        <w:ind w:left="431"/>
      </w:pPr>
      <w:r>
        <w:rPr>
          <w:rFonts w:ascii="Courier New" w:eastAsia="Courier New" w:hAnsi="Courier New" w:cs="Courier New"/>
          <w:b/>
          <w:bCs/>
          <w:color w:val="2A2A2A"/>
          <w:sz w:val="18"/>
          <w:szCs w:val="18"/>
        </w:rPr>
        <w:t xml:space="preserve">§9.8  </w:t>
      </w:r>
      <w:r>
        <w:rPr>
          <w:rFonts w:ascii="Garamond" w:eastAsia="Garamond" w:hAnsi="Garamond" w:cs="Garamond"/>
          <w:i/>
          <w:iCs/>
          <w:color w:val="1B2A4A"/>
          <w:sz w:val="22"/>
          <w:szCs w:val="22"/>
        </w:rPr>
        <w:t>Constitutional Pool Framework</w:t>
      </w:r>
    </w:p>
    <w:p>
      <w:pPr>
        <w:spacing w:after="120"/>
        <w:ind w:left="431"/>
        <w:jc w:val="both"/>
      </w:pPr>
      <w:r>
        <w:rPr>
          <w:rFonts w:ascii="Garamond" w:eastAsia="Garamond" w:hAnsi="Garamond" w:cs="Garamond"/>
          <w:color w:val="2A2A2A"/>
          <w:sz w:val="22"/>
          <w:szCs w:val="22"/>
        </w:rPr>
        <w:t xml:space="preserve">(1) The Elections Panel maintains all constitutional candidate registries and pools, including the Judicial Pool, and administers public access to their records via the NRS.</w:t>
      </w:r>
    </w:p>
    <w:p>
      <w:pPr>
        <w:spacing w:after="120"/>
        <w:ind w:left="431"/>
        <w:jc w:val="both"/>
      </w:pPr>
      <w:r>
        <w:rPr>
          <w:rFonts w:ascii="Garamond" w:eastAsia="Garamond" w:hAnsi="Garamond" w:cs="Garamond"/>
          <w:color w:val="2A2A2A"/>
          <w:sz w:val="22"/>
          <w:szCs w:val="22"/>
        </w:rPr>
        <w:t xml:space="preserve">(2) Each pool is subject to ongoing Monitor audit; findings are published to the NRS.</w:t>
      </w:r>
    </w:p>
    <w:p>
      <w:pPr>
        <w:spacing w:after="120"/>
        <w:ind w:left="431"/>
        <w:jc w:val="both"/>
      </w:pPr>
      <w:r>
        <w:rPr>
          <w:rFonts w:ascii="Garamond" w:eastAsia="Garamond" w:hAnsi="Garamond" w:cs="Garamond"/>
          <w:color w:val="2A2A2A"/>
          <w:sz w:val="22"/>
          <w:szCs w:val="22"/>
        </w:rPr>
        <w:t xml:space="preserve">(3) Lottery draws are conducted by the JMC in a public session and published to the NRS.</w:t>
      </w:r>
    </w:p>
    <w:p>
      <w:pPr>
        <w:spacing w:after="120"/>
        <w:ind w:left="431"/>
        <w:jc w:val="both"/>
      </w:pPr>
      <w:r>
        <w:rPr>
          <w:rFonts w:ascii="Garamond" w:eastAsia="Garamond" w:hAnsi="Garamond" w:cs="Garamond"/>
          <w:color w:val="2A2A2A"/>
          <w:sz w:val="22"/>
          <w:szCs w:val="22"/>
        </w:rPr>
        <w:t xml:space="preserve">(4) The constitutional minimum for all pools is five eligible members; where a pool falls below five, the JM publishes a compliance breach and the relevant nominating bodies must act to restore the minimum within the period defined by statute.</w:t>
      </w:r>
    </w:p>
    <w:p>
      <w:pPr>
        <w:spacing w:after="120"/>
        <w:ind w:left="431"/>
        <w:jc w:val="both"/>
      </w:pPr>
      <w:r>
        <w:rPr>
          <w:rFonts w:ascii="Garamond" w:eastAsia="Garamond" w:hAnsi="Garamond" w:cs="Garamond"/>
          <w:color w:val="2A2A2A"/>
          <w:sz w:val="22"/>
          <w:szCs w:val="22"/>
        </w:rPr>
        <w:t xml:space="preserve">(5) Where a pool reaches zero before an acting designation is made, the most senior sitting State court judge by continuous service on a court of record who accepts the designation serves as Acting officer until the pool is restored; where two or more judges have equal continuous service, the oldest by age is designated first; a designee may not exercise State judicial functions while serving, and their State office is otherwise unaffected; this fallback applies only to judicial and Monitor pools.</w:t>
      </w:r>
    </w:p>
    <w:p>
      <w:pPr>
        <w:spacing w:after="120"/>
        <w:ind w:left="431"/>
        <w:jc w:val="both"/>
      </w:pPr>
      <w:r>
        <w:rPr>
          <w:rFonts w:ascii="Garamond" w:eastAsia="Garamond" w:hAnsi="Garamond" w:cs="Garamond"/>
          <w:color w:val="2A2A2A"/>
          <w:sz w:val="22"/>
          <w:szCs w:val="22"/>
        </w:rPr>
        <w:t xml:space="preserve">(6) Eligibility criteria for all pools are strictly objective — years of practice or service, office status, and financial interests as defined under §12.4. No registry administrator may apply criteria relating to legal philosophy, judicial temperament, ideological orientation, or political association; any exclusion on such grounds is constitutionally void.</w:t>
      </w:r>
    </w:p>
    <w:p>
      <w:pPr>
        <w:spacing w:after="120"/>
        <w:ind w:left="431"/>
        <w:jc w:val="both"/>
      </w:pPr>
      <w:r>
        <w:rPr>
          <w:rFonts w:ascii="Garamond" w:eastAsia="Garamond" w:hAnsi="Garamond" w:cs="Garamond"/>
          <w:color w:val="2A2A2A"/>
          <w:sz w:val="22"/>
          <w:szCs w:val="22"/>
        </w:rPr>
        <w:t xml:space="preserve">(7) Where an applicant is excluded or removed, the administering body must publish the specific grounds to the NRS within 14 days; the applicant may appeal to the SC within 14 days of that publication on the sole ground that the eligibility criteria were misapplied.</w:t>
      </w:r>
    </w:p>
    <w:p>
      <w:pPr>
        <w:spacing w:after="120"/>
        <w:ind w:left="431"/>
        <w:jc w:val="both"/>
      </w:pPr>
      <w:r>
        <w:rPr>
          <w:rFonts w:ascii="Garamond" w:eastAsia="Garamond" w:hAnsi="Garamond" w:cs="Garamond"/>
          <w:color w:val="2A2A2A"/>
          <w:sz w:val="22"/>
          <w:szCs w:val="22"/>
        </w:rPr>
        <w:t xml:space="preserve">(8) Changes to eligibility criteria apply prospectively only and do not affect persons already entered in a constitutional pool or registry under the criteria applicable at the time of their entry.</w:t>
      </w:r>
    </w:p>
    <w:p w14:paraId="5BBA903E" w14:textId="77777777" w:rsidR="00AF3D56" w:rsidRDefault="00000000">
      <w:pPr>
        <w:spacing w:before="200" w:after="60"/>
        <w:ind w:left="431"/>
      </w:pPr>
      <w:r>
        <w:rPr>
          <w:rFonts w:ascii="Courier New" w:eastAsia="Courier New" w:hAnsi="Courier New" w:cs="Courier New"/>
          <w:b/>
          <w:bCs/>
          <w:color w:val="2A2A2A"/>
          <w:sz w:val="18"/>
          <w:szCs w:val="18"/>
        </w:rPr>
        <w:t xml:space="preserve">§9.9  </w:t>
      </w:r>
      <w:r>
        <w:rPr>
          <w:rFonts w:ascii="Garamond" w:eastAsia="Garamond" w:hAnsi="Garamond" w:cs="Garamond"/>
          <w:i/>
          <w:iCs/>
          <w:color w:val="1B2A4A"/>
          <w:sz w:val="22"/>
          <w:szCs w:val="22"/>
        </w:rPr>
        <w:t>Constitutional Officer Removal — Standard Track</w:t>
      </w:r>
    </w:p>
    <w:p>
      <w:pPr>
        <w:spacing w:after="120"/>
        <w:ind w:left="431"/>
        <w:jc w:val="both"/>
      </w:pPr>
      <w:r>
        <w:rPr>
          <w:rFonts w:ascii="Garamond" w:eastAsia="Garamond" w:hAnsi="Garamond" w:cs="Garamond"/>
          <w:color w:val="2A2A2A"/>
          <w:sz w:val="22"/>
          <w:szCs w:val="22"/>
        </w:rPr>
        <w:t xml:space="preserve">(1) This section governs for-cause removal of all constitutionally confirmed independent officers except Supreme Court justices under §4.3.a and elected executives. Monitor Generals are subject to for-cause removal under this section.</w:t>
      </w:r>
    </w:p>
    <w:p>
      <w:pPr>
        <w:spacing w:after="120"/>
        <w:ind w:left="431"/>
        <w:jc w:val="both"/>
      </w:pPr>
      <w:r>
        <w:rPr>
          <w:rFonts w:ascii="Garamond" w:eastAsia="Garamond" w:hAnsi="Garamond" w:cs="Garamond"/>
          <w:color w:val="2A2A2A"/>
          <w:sz w:val="22"/>
          <w:szCs w:val="22"/>
        </w:rPr>
        <w:t xml:space="preserve">(2) A concurrent resolution of 1/3 of either chamber, or two of the three Monitors jointly, may initiate removal by filing stated grounds with the SC.</w:t>
      </w:r>
    </w:p>
    <w:p>
      <w:pPr>
        <w:spacing w:after="120"/>
        <w:ind w:left="431"/>
        <w:jc w:val="both"/>
      </w:pPr>
      <w:r>
        <w:rPr>
          <w:rFonts w:ascii="Garamond" w:eastAsia="Garamond" w:hAnsi="Garamond" w:cs="Garamond"/>
          <w:color w:val="2A2A2A"/>
          <w:sz w:val="22"/>
          <w:szCs w:val="22"/>
        </w:rPr>
        <w:t xml:space="preserve">(3) The SC determines within 14 days whether the stated grounds constitute at least one statutory removal category for the subject office; the SC reviews constitutional category only, not factual merits.</w:t>
      </w:r>
    </w:p>
    <w:p>
      <w:pPr>
        <w:spacing w:after="120"/>
        <w:ind w:left="431"/>
        <w:jc w:val="both"/>
      </w:pPr>
      <w:r>
        <w:rPr>
          <w:rFonts w:ascii="Garamond" w:eastAsia="Garamond" w:hAnsi="Garamond" w:cs="Garamond"/>
          <w:color w:val="2A2A2A"/>
          <w:sz w:val="22"/>
          <w:szCs w:val="22"/>
        </w:rPr>
        <w:t xml:space="preserve">(4) If grounds are confirmed, duty suspension activates immediately and removal requires a 2/3 concurrent vote of both chambers; no removal vote may be held within 180 days of a major national election without prior SC review within 48 hours.</w:t>
      </w:r>
    </w:p>
    <w:p>
      <w:pPr>
        <w:spacing w:after="120"/>
        <w:ind w:left="431"/>
        <w:jc w:val="both"/>
      </w:pPr>
      <w:r>
        <w:rPr>
          <w:rFonts w:ascii="Garamond" w:eastAsia="Garamond" w:hAnsi="Garamond" w:cs="Garamond"/>
          <w:color w:val="2A2A2A"/>
          <w:sz w:val="22"/>
          <w:szCs w:val="22"/>
        </w:rPr>
        <w:t xml:space="preserve">(5) If grounds are not confirmed, the process closes and may not be reinitiated on the same or substantially similar grounds within six months.</w:t>
      </w:r>
    </w:p>
    <w:p>
      <w:pPr>
        <w:spacing w:after="120"/>
        <w:ind w:left="431"/>
        <w:jc w:val="both"/>
      </w:pPr>
      <w:r>
        <w:rPr>
          <w:rFonts w:ascii="Garamond" w:eastAsia="Garamond" w:hAnsi="Garamond" w:cs="Garamond"/>
          <w:color w:val="2A2A2A"/>
          <w:sz w:val="22"/>
          <w:szCs w:val="22"/>
        </w:rPr>
        <w:t xml:space="preserve">(6)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applicable period, the removal proceeding lapses for that session and may be reinitiated under this section.</w:t>
      </w:r>
    </w:p>
    <w:p>
      <w:pPr>
        <w:spacing w:after="120"/>
        <w:ind w:left="431"/>
        <w:jc w:val="both"/>
      </w:pPr>
      <w:r>
        <w:rPr>
          <w:rFonts w:ascii="Garamond" w:eastAsia="Garamond" w:hAnsi="Garamond" w:cs="Garamond"/>
          <w:color w:val="2A2A2A"/>
          <w:sz w:val="22"/>
          <w:szCs w:val="22"/>
        </w:rPr>
        <w:t xml:space="preserve">(7) The Legislature defines enumerated removal categories for each constitutionally confirmed office by statute.</w:t>
      </w:r>
    </w:p>
    <w:p w14:paraId="6FBB894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 — The National Record System</w:t>
      </w:r>
    </w:p>
    <w:p w14:paraId="088DBF10" w14:textId="77777777" w:rsidR="00AF3D56" w:rsidRDefault="00000000">
      <w:pPr>
        <w:spacing w:before="200" w:after="60"/>
        <w:ind w:left="431"/>
      </w:pPr>
      <w:r>
        <w:rPr>
          <w:rFonts w:ascii="Courier New" w:eastAsia="Courier New" w:hAnsi="Courier New" w:cs="Courier New"/>
          <w:b/>
          <w:bCs/>
          <w:color w:val="2A2A2A"/>
          <w:sz w:val="18"/>
          <w:szCs w:val="18"/>
        </w:rPr>
        <w:t xml:space="preserve">§10.1  </w:t>
      </w:r>
      <w:r>
        <w:rPr>
          <w:rFonts w:ascii="Garamond" w:eastAsia="Garamond" w:hAnsi="Garamond" w:cs="Garamond"/>
          <w:i/>
          <w:iCs/>
          <w:color w:val="1B2A4A"/>
          <w:sz w:val="22"/>
          <w:szCs w:val="22"/>
        </w:rPr>
        <w:t>National Record System</w:t>
      </w:r>
    </w:p>
    <w:p>
      <w:pPr>
        <w:spacing w:after="120"/>
        <w:ind w:left="431"/>
        <w:jc w:val="both"/>
      </w:pPr>
      <w:r>
        <w:rPr>
          <w:rFonts w:ascii="Garamond" w:eastAsia="Garamond" w:hAnsi="Garamond" w:cs="Garamond"/>
          <w:color w:val="2A2A2A"/>
          <w:sz w:val="22"/>
          <w:szCs w:val="22"/>
        </w:rPr>
        <w:t xml:space="preserve">(1) The National Record System is the permanent, tamper-evident public record of the Republic — freely accessible to every Inhabitant at no cost.</w:t>
      </w:r>
    </w:p>
    <w:p>
      <w:pPr>
        <w:spacing w:after="120"/>
        <w:ind w:left="431"/>
        <w:jc w:val="both"/>
      </w:pPr>
      <w:r>
        <w:rPr>
          <w:rFonts w:ascii="Garamond" w:eastAsia="Garamond" w:hAnsi="Garamond" w:cs="Garamond"/>
          <w:color w:val="2A2A2A"/>
          <w:sz w:val="22"/>
          <w:szCs w:val="22"/>
        </w:rPr>
        <w:t xml:space="preserve">(2) Every constitutional act, order, finding, certification, designation, declaration, and determination made under this Constitution is published to the NRS as a permanent record; no provision need state this obligation individually.</w:t>
      </w:r>
    </w:p>
    <w:p>
      <w:pPr>
        <w:spacing w:after="120"/>
        <w:ind w:left="431"/>
        <w:jc w:val="both"/>
      </w:pPr>
      <w:r>
        <w:rPr>
          <w:rFonts w:ascii="Garamond" w:eastAsia="Garamond" w:hAnsi="Garamond" w:cs="Garamond"/>
          <w:color w:val="2A2A2A"/>
          <w:sz w:val="22"/>
          <w:szCs w:val="22"/>
        </w:rPr>
        <w:t xml:space="preserve">(3)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w:t>
      </w:r>
    </w:p>
    <w:p>
      <w:pPr>
        <w:spacing w:after="120"/>
        <w:ind w:left="431"/>
        <w:jc w:val="both"/>
      </w:pPr>
      <w:r>
        <w:rPr>
          <w:rFonts w:ascii="Garamond" w:eastAsia="Garamond" w:hAnsi="Garamond" w:cs="Garamond"/>
          <w:color w:val="2A2A2A"/>
          <w:sz w:val="22"/>
          <w:szCs w:val="22"/>
        </w:rPr>
        <w:t xml:space="preserve">(4) Where a specific publication timeline is provided it governs; otherwise publication occurs at or before the effective moment of the act.</w:t>
      </w:r>
    </w:p>
    <w:p>
      <w:pPr>
        <w:spacing w:after="120"/>
        <w:ind w:left="431"/>
        <w:jc w:val="both"/>
      </w:pPr>
      <w:r>
        <w:rPr>
          <w:rFonts w:ascii="Garamond" w:eastAsia="Garamond" w:hAnsi="Garamond" w:cs="Garamond"/>
          <w:color w:val="2A2A2A"/>
          <w:sz w:val="22"/>
          <w:szCs w:val="22"/>
        </w:rPr>
        <w:t xml:space="preserve">(5) Records may not be deleted, altered, or reclassified after publication; corrections are published as new entries alongside the original.</w:t>
      </w:r>
    </w:p>
    <w:p>
      <w:pPr>
        <w:spacing w:after="120"/>
        <w:ind w:left="431"/>
        <w:jc w:val="both"/>
      </w:pPr>
      <w:r>
        <w:rPr>
          <w:rFonts w:ascii="Garamond" w:eastAsia="Garamond" w:hAnsi="Garamond" w:cs="Garamond"/>
          <w:color w:val="2A2A2A"/>
          <w:sz w:val="22"/>
          <w:szCs w:val="22"/>
        </w:rPr>
        <w:t xml:space="preserve">(6) Where the NRS Panel determines by unanimous vote that a record poses an imminent, specific, and documented threat to individual safety, it may temporarily restrict access for up to 30 days pending judicial review; the reviewing court must rule within 14 days; the record is permanently restored unless the court confirms the restriction on the narrowest possible grounds; the applicable court is designated by statute. The original timestamp and the restriction record both remain as permanent NRS entries.</w:t>
      </w:r>
    </w:p>
    <w:p>
      <w:pPr>
        <w:spacing w:after="120"/>
        <w:ind w:left="431"/>
        <w:jc w:val="both"/>
      </w:pPr>
      <w:r>
        <w:rPr>
          <w:rFonts w:ascii="Garamond" w:eastAsia="Garamond" w:hAnsi="Garamond" w:cs="Garamond"/>
          <w:color w:val="2A2A2A"/>
          <w:sz w:val="22"/>
          <w:szCs w:val="22"/>
        </w:rPr>
        <w:t xml:space="preserve">(7) Government acts take legal effect from the moment of issuance regardless of NRS status — the NRS is the record of government, not a condition of it.</w:t>
      </w:r>
    </w:p>
    <w:p>
      <w:pPr>
        <w:spacing w:after="120"/>
        <w:ind w:left="431"/>
        <w:jc w:val="both"/>
      </w:pPr>
      <w:r>
        <w:rPr>
          <w:rFonts w:ascii="Garamond" w:eastAsia="Garamond" w:hAnsi="Garamond" w:cs="Garamond"/>
          <w:color w:val="2A2A2A"/>
          <w:sz w:val="22"/>
          <w:szCs w:val="22"/>
        </w:rPr>
        <w:t xml:space="preserve">(8)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w:t>
      </w:r>
    </w:p>
    <w:p>
      <w:pPr>
        <w:spacing w:after="120"/>
        <w:ind w:left="431"/>
        <w:jc w:val="both"/>
      </w:pPr>
      <w:r>
        <w:rPr>
          <w:rFonts w:ascii="Garamond" w:eastAsia="Garamond" w:hAnsi="Garamond" w:cs="Garamond"/>
          <w:color w:val="2A2A2A"/>
          <w:sz w:val="22"/>
          <w:szCs w:val="22"/>
        </w:rPr>
        <w:t xml:space="preserve">(9)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w:t>
      </w:r>
    </w:p>
    <w:p w14:paraId="0A9AFFF0" w14:textId="77777777" w:rsidR="00AF3D56" w:rsidRDefault="00000000">
      <w:pPr>
        <w:spacing w:before="200" w:after="60"/>
        <w:ind w:left="431"/>
      </w:pPr>
      <w:r>
        <w:rPr>
          <w:rFonts w:ascii="Courier New" w:eastAsia="Courier New" w:hAnsi="Courier New" w:cs="Courier New"/>
          <w:b/>
          <w:bCs/>
          <w:color w:val="2A2A2A"/>
          <w:sz w:val="18"/>
          <w:szCs w:val="18"/>
        </w:rPr>
        <w:t xml:space="preserve">§10.2  </w:t>
      </w:r>
      <w:r>
        <w:rPr>
          <w:rFonts w:ascii="Garamond" w:eastAsia="Garamond" w:hAnsi="Garamond" w:cs="Garamond"/>
          <w:i/>
          <w:iCs/>
          <w:color w:val="1B2A4A"/>
          <w:sz w:val="22"/>
          <w:szCs w:val="22"/>
        </w:rPr>
        <w:t>Classification Criteria</w:t>
      </w:r>
    </w:p>
    <w:p w14:paraId="77595E98" w14:textId="77777777" w:rsidR="00AF3D56" w:rsidRDefault="00000000">
      <w:pPr>
        <w:spacing w:after="120"/>
        <w:ind w:left="431"/>
        <w:jc w:val="both"/>
      </w:pPr>
      <w:r>
        <w:rPr>
          <w:rFonts w:ascii="Garamond" w:eastAsia="Garamond" w:hAnsi="Garamond" w:cs="Garamond"/>
          <w:color w:val="2A2A2A"/>
          <w:sz w:val="22"/>
          <w:szCs w:val="22"/>
        </w:rPr>
        <w:t>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14:paraId="3A8EE734"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 — NRS Panel and Elections Panel</w:t>
      </w:r>
    </w:p>
    <w:p w14:paraId="174884A5"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NRS Panel and Elections Panel</w:t>
      </w:r>
    </w:p>
    <w:p>
      <w:pPr>
        <w:spacing w:after="120"/>
        <w:ind w:left="431"/>
        <w:jc w:val="both"/>
      </w:pPr>
      <w:r>
        <w:rPr>
          <w:rFonts w:ascii="Garamond" w:eastAsia="Garamond" w:hAnsi="Garamond" w:cs="Garamond"/>
          <w:color w:val="2A2A2A"/>
          <w:sz w:val="22"/>
          <w:szCs w:val="22"/>
        </w:rPr>
        <w:t xml:space="preserve">(1) Two constitutionally independent panels — the NRS Panel and the Elections Panel — operate the Republic's permanent record infrastructure and electoral systems respectively.</w:t>
      </w:r>
    </w:p>
    <w:p>
      <w:pPr>
        <w:spacing w:after="120"/>
        <w:ind w:left="431"/>
        <w:jc w:val="both"/>
      </w:pPr>
      <w:r>
        <w:rPr>
          <w:rFonts w:ascii="Garamond" w:eastAsia="Garamond" w:hAnsi="Garamond" w:cs="Garamond"/>
          <w:color w:val="2A2A2A"/>
          <w:sz w:val="22"/>
          <w:szCs w:val="22"/>
        </w:rPr>
        <w:t xml:space="preserve">(2) The NRS Panel operates the National Record System.</w:t>
      </w:r>
    </w:p>
    <w:p>
      <w:pPr>
        <w:spacing w:after="120"/>
        <w:ind w:left="431"/>
        <w:jc w:val="both"/>
      </w:pPr>
      <w:r>
        <w:rPr>
          <w:rFonts w:ascii="Garamond" w:eastAsia="Garamond" w:hAnsi="Garamond" w:cs="Garamond"/>
          <w:color w:val="2A2A2A"/>
          <w:sz w:val="22"/>
          <w:szCs w:val="22"/>
        </w:rPr>
        <w:t xml:space="preserve">(3)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w:t>
      </w:r>
    </w:p>
    <w:p>
      <w:pPr>
        <w:spacing w:after="120"/>
        <w:ind w:left="431"/>
        <w:jc w:val="both"/>
      </w:pPr>
      <w:r>
        <w:rPr>
          <w:rFonts w:ascii="Garamond" w:eastAsia="Garamond" w:hAnsi="Garamond" w:cs="Garamond"/>
          <w:color w:val="2A2A2A"/>
          <w:sz w:val="22"/>
          <w:szCs w:val="22"/>
        </w:rPr>
        <w:t xml:space="preserve">(4) Where the Elections Panel certifies a State's election system as non-compliant before an election, the Panel may withhold result certification for affected districts pending compliance or a special election under §7.2.a.</w:t>
      </w:r>
    </w:p>
    <w:p>
      <w:pPr>
        <w:spacing w:after="120"/>
        <w:ind w:left="431"/>
        <w:jc w:val="both"/>
      </w:pPr>
      <w:r>
        <w:rPr>
          <w:rFonts w:ascii="Garamond" w:eastAsia="Garamond" w:hAnsi="Garamond" w:cs="Garamond"/>
          <w:color w:val="2A2A2A"/>
          <w:sz w:val="22"/>
          <w:szCs w:val="22"/>
        </w:rPr>
        <w:t xml:space="preserve">(5) Each panel is operationally independent of the other, of both executives, and of the Legislature in the exercise of its functions.</w:t>
      </w:r>
    </w:p>
    <w:p>
      <w:pPr>
        <w:spacing w:after="120"/>
        <w:ind w:left="431"/>
        <w:jc w:val="both"/>
      </w:pPr>
      <w:r>
        <w:rPr>
          <w:rFonts w:ascii="Garamond" w:eastAsia="Garamond" w:hAnsi="Garamond" w:cs="Garamond"/>
          <w:color w:val="2A2A2A"/>
          <w:sz w:val="22"/>
          <w:szCs w:val="22"/>
        </w:rPr>
        <w:t xml:space="preserve">(6)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w:t>
      </w:r>
    </w:p>
    <w:p>
      <w:pPr>
        <w:spacing w:after="120"/>
        <w:ind w:left="431"/>
        <w:jc w:val="both"/>
      </w:pPr>
      <w:r>
        <w:rPr>
          <w:rFonts w:ascii="Garamond" w:eastAsia="Garamond" w:hAnsi="Garamond" w:cs="Garamond"/>
          <w:color w:val="2A2A2A"/>
          <w:sz w:val="22"/>
          <w:szCs w:val="22"/>
        </w:rPr>
        <w:t xml:space="preserve">(7) The Chair of each panel is its most senior member by continuous service; where two or more members have equal continuous service, the Chair is determined by lot conducted by the JMC.</w:t>
      </w:r>
    </w:p>
    <w:p>
      <w:pPr>
        <w:spacing w:after="120"/>
        <w:ind w:left="431"/>
        <w:jc w:val="both"/>
      </w:pPr>
      <w:r>
        <w:rPr>
          <w:rFonts w:ascii="Garamond" w:eastAsia="Garamond" w:hAnsi="Garamond" w:cs="Garamond"/>
          <w:color w:val="2A2A2A"/>
          <w:sz w:val="22"/>
          <w:szCs w:val="22"/>
        </w:rPr>
        <w:t xml:space="preserve">(8)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w:t>
      </w:r>
    </w:p>
    <w:p>
      <w:pPr>
        <w:spacing w:after="120"/>
        <w:ind w:left="431"/>
        <w:jc w:val="both"/>
      </w:pPr>
      <w:r>
        <w:rPr>
          <w:rFonts w:ascii="Garamond" w:eastAsia="Garamond" w:hAnsi="Garamond" w:cs="Garamond"/>
          <w:color w:val="2A2A2A"/>
          <w:sz w:val="22"/>
          <w:szCs w:val="22"/>
        </w:rPr>
        <w:t xml:space="preserve">(9) Where either Panel falls below the five-member floor through resignation, removal, disqualification, or any other cause, the Civic Consul may appoint a qualified civil servant employed by that Panel to serve as Acting member, not to exceed the period defined by statute, which may not exceed 180 days; the Acting member may exercise all authorities of a full member during that period and the appointment does not affect the ordinary process for filling the vacancy permanently.</w:t>
      </w:r>
    </w:p>
    <w:p w14:paraId="52BA3DE1"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NVS Properties and Voting Rights</w:t>
      </w:r>
    </w:p>
    <w:p w14:paraId="4DE4C43E" w14:textId="77777777" w:rsidR="00AF3D56" w:rsidRDefault="00000000">
      <w:pPr>
        <w:spacing w:after="120"/>
        <w:ind w:left="431"/>
        <w:jc w:val="both"/>
      </w:pPr>
      <w:r>
        <w:rPr>
          <w:rFonts w:ascii="Garamond" w:eastAsia="Garamond" w:hAnsi="Garamond" w:cs="Garamond"/>
          <w:color w:val="2A2A2A"/>
          <w:sz w:val="22"/>
          <w:szCs w:val="22"/>
        </w:rPr>
        <w:t>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14:paraId="5C4960C1"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State Election Non-Compliance</w:t>
      </w:r>
    </w:p>
    <w:p w14:paraId="0611AAFA" w14:textId="77777777" w:rsidR="00AF3D56" w:rsidRDefault="00000000">
      <w:pPr>
        <w:spacing w:after="120"/>
        <w:ind w:left="431"/>
        <w:jc w:val="both"/>
      </w:pPr>
      <w:r>
        <w:rPr>
          <w:rFonts w:ascii="Garamond" w:eastAsia="Garamond" w:hAnsi="Garamond" w:cs="Garamond"/>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w:t>
        <w:lastRenderedPageBreak/>
        <w:t>that State for that electoral period only; State administration resumes automatically at the conclusion of that period. The State may challenge the Elections Panel’s finding under §4.5’s original jurisdiction provisions governing State-federal disputes; the process and timeline are defined by statute. A finding of non-compliance does not affect the validity of votes cast; the Elections Panel's administration obligation is to ensure constitutional standards are met going forward.</w:t>
      </w:r>
    </w:p>
    <w:p w14:paraId="6ED8EAA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 — Social State and Economic Rights</w:t>
      </w:r>
    </w:p>
    <w:p w14:paraId="12AEB42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The Social State and Monetary Authority</w:t>
      </w:r>
    </w:p>
    <w:p w14:paraId="534116F3" w14:textId="77777777" w:rsidR="00AF3D56" w:rsidRDefault="00000000">
      <w:pPr>
        <w:spacing w:after="120"/>
        <w:ind w:left="431"/>
        <w:jc w:val="both"/>
      </w:pPr>
      <w:r>
        <w:rPr>
          <w:rFonts w:ascii="Garamond" w:eastAsia="Garamond" w:hAnsi="Garamond" w:cs="Garamond"/>
          <w:color w:val="2A2A2A"/>
          <w:sz w:val="22"/>
          <w:szCs w:val="22"/>
        </w:rPr>
        <w:t>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14:paraId="031A54A1" w14:textId="77777777" w:rsidR="00AF3D56" w:rsidRDefault="00000000">
      <w:pPr>
        <w:spacing w:before="200" w:after="60"/>
        <w:ind w:left="431"/>
      </w:pPr>
      <w:r>
        <w:rPr>
          <w:rFonts w:ascii="Courier New" w:eastAsia="Courier New" w:hAnsi="Courier New" w:cs="Courier New"/>
          <w:b/>
          <w:bCs/>
          <w:color w:val="2A2A2A"/>
          <w:sz w:val="18"/>
          <w:szCs w:val="18"/>
        </w:rPr>
        <w:t xml:space="preserve">§12.1.a  </w:t>
      </w:r>
      <w:r>
        <w:rPr>
          <w:rFonts w:ascii="Garamond" w:eastAsia="Garamond" w:hAnsi="Garamond" w:cs="Garamond"/>
          <w:i/>
          <w:iCs/>
          <w:color w:val="1B2A4A"/>
          <w:sz w:val="22"/>
          <w:szCs w:val="22"/>
        </w:rPr>
        <w:t>The Monetary Authority</w:t>
      </w:r>
    </w:p>
    <w:p w14:paraId="242D4AA1" w14:textId="77777777" w:rsidR="00AF3D56" w:rsidRDefault="00000000">
      <w:pPr>
        <w:spacing w:after="120"/>
        <w:ind w:left="431"/>
        <w:jc w:val="both"/>
      </w:pPr>
      <w:r>
        <w:rPr>
          <w:rFonts w:ascii="Garamond" w:eastAsia="Garamond" w:hAnsi="Garamond" w:cs="Garamond"/>
          <w:color w:val="2A2A2A"/>
          <w:sz w:val="22"/>
          <w:szCs w:val="22"/>
        </w:rPr>
        <w:t>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14:paraId="7B1C2D01" w14:textId="77777777" w:rsidR="00AF3D56" w:rsidRDefault="00000000">
      <w:pPr>
        <w:spacing w:before="200" w:after="60"/>
        <w:ind w:left="431"/>
      </w:pPr>
      <w:r>
        <w:rPr>
          <w:rFonts w:ascii="Courier New" w:eastAsia="Courier New" w:hAnsi="Courier New" w:cs="Courier New"/>
          <w:b/>
          <w:bCs/>
          <w:color w:val="2A2A2A"/>
          <w:sz w:val="18"/>
          <w:szCs w:val="18"/>
        </w:rPr>
        <w:t xml:space="preserve">§12.1.b  </w:t>
      </w:r>
      <w:r>
        <w:rPr>
          <w:rFonts w:ascii="Garamond" w:eastAsia="Garamond" w:hAnsi="Garamond" w:cs="Garamond"/>
          <w:i/>
          <w:iCs/>
          <w:color w:val="1B2A4A"/>
          <w:sz w:val="22"/>
          <w:szCs w:val="22"/>
        </w:rPr>
        <w:t>Monetary Authority Reporting</w:t>
      </w:r>
    </w:p>
    <w:p w14:paraId="7B1C2D02" w14:textId="77777777" w:rsidR="00AF3D56" w:rsidRDefault="00000000">
      <w:pPr>
        <w:spacing w:after="120"/>
        <w:ind w:left="431"/>
        <w:jc w:val="both"/>
      </w:pPr>
      <w:r>
        <w:rPr>
          <w:rFonts w:ascii="Garamond" w:eastAsia="Garamond" w:hAnsi="Garamond" w:cs="Garamond"/>
          <w:color w:val="2A2A2A"/>
          <w:sz w:val="22"/>
          <w:szCs w:val="22"/>
        </w:rPr>
        <w:t>The Monetary Authority publishes a State of the Economy report to the Assembly, the Legat Consul, and the Civic Consul no less than semi-annually; the Legislature may by statute require a more frequent cycle. Each report includes the Monetary Authority’s account of relevant findings from the preceding period under §9.1.b and any applicable §9.5.a compliance findings. The Monetary Authority may publish additional reports at any time circumstances warrant, addressed to the same recipients. Where a Monitor publishes a Fail the publishing Monitor identifies as relevant to the Monetary Authority’s mandate, the Monetary Authority must, within 30 days, submit a report addressing the finding to the Assembly, the Legat Consul, and the Civic Consul, published to the NRS. Submission of that report discharges the Monetary Authority’s obligation under this provision; further action is a matter for the Legislature.</w:t>
      </w:r>
    </w:p>
    <w:p w14:paraId="7894C76C" w14:textId="77777777" w:rsidR="00AF3D56" w:rsidRDefault="00000000">
      <w:pPr>
        <w:spacing w:before="200" w:after="60"/>
        <w:ind w:left="431"/>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Fiscal Accountability</w:t>
      </w:r>
    </w:p>
    <w:p>
      <w:pPr>
        <w:spacing w:after="120"/>
        <w:ind w:left="431"/>
        <w:jc w:val="both"/>
      </w:pPr>
      <w:r>
        <w:rPr>
          <w:rFonts w:ascii="Garamond" w:eastAsia="Garamond" w:hAnsi="Garamond" w:cs="Garamond"/>
          <w:color w:val="2A2A2A"/>
          <w:sz w:val="22"/>
          <w:szCs w:val="22"/>
        </w:rPr>
        <w:t xml:space="preserve">(1) The annual budget originates in the Assembly. Each Consul prepares and submits to the Assembly a proposed budget for their respective domain, published to the NRS upon submission, by the deadline defined by statute; absent a statutory deadline, no later than 120 days before the start of the fiscal year.</w:t>
      </w:r>
    </w:p>
    <w:p>
      <w:pPr>
        <w:spacing w:after="120"/>
        <w:ind w:left="431"/>
        <w:jc w:val="both"/>
      </w:pPr>
      <w:r>
        <w:rPr>
          <w:rFonts w:ascii="Garamond" w:eastAsia="Garamond" w:hAnsi="Garamond" w:cs="Garamond"/>
          <w:color w:val="2A2A2A"/>
          <w:sz w:val="22"/>
          <w:szCs w:val="22"/>
        </w:rPr>
        <w:t xml:space="preserve">(2) The Assembly gives the Consuls' proposals due consideration in preparing the annual budget and is not bound by them.</w:t>
      </w:r>
    </w:p>
    <w:p>
      <w:pPr>
        <w:spacing w:after="120"/>
        <w:ind w:left="431"/>
        <w:jc w:val="both"/>
      </w:pPr>
      <w:r>
        <w:rPr>
          <w:rFonts w:ascii="Garamond" w:eastAsia="Garamond" w:hAnsi="Garamond" w:cs="Garamond"/>
          <w:color w:val="2A2A2A"/>
          <w:sz w:val="22"/>
          <w:szCs w:val="22"/>
        </w:rPr>
        <w:t xml:space="preserve">(3) A Consul's failure to submit a domain proposal does not delay or bar the budget process; the failure is published to the NRS and the Assembly proceeds.</w:t>
      </w:r>
    </w:p>
    <w:p>
      <w:pPr>
        <w:spacing w:after="120"/>
        <w:ind w:left="431"/>
        <w:jc w:val="both"/>
      </w:pPr>
      <w:r>
        <w:rPr>
          <w:rFonts w:ascii="Garamond" w:eastAsia="Garamond" w:hAnsi="Garamond" w:cs="Garamond"/>
          <w:color w:val="2A2A2A"/>
          <w:sz w:val="22"/>
          <w:szCs w:val="22"/>
        </w:rPr>
        <w:t xml:space="preserve">(4) The Legislature must pass a balanced budget or publish a structural deficit justification reviewed by the MA for fiscal accuracy.</w:t>
      </w:r>
    </w:p>
    <w:p>
      <w:pPr>
        <w:spacing w:after="120"/>
        <w:ind w:left="431"/>
        <w:jc w:val="both"/>
      </w:pPr>
      <w:r>
        <w:rPr>
          <w:rFonts w:ascii="Garamond" w:eastAsia="Garamond" w:hAnsi="Garamond" w:cs="Garamond"/>
          <w:color w:val="2A2A2A"/>
          <w:sz w:val="22"/>
          <w:szCs w:val="22"/>
        </w:rPr>
        <w:t xml:space="preserve">(5) Structural deficits above the threshold defined by the MA require a published plan for return to balance.</w:t>
      </w:r>
    </w:p>
    <w:p>
      <w:pPr>
        <w:spacing w:after="120"/>
        <w:ind w:left="431"/>
        <w:jc w:val="both"/>
      </w:pPr>
      <w:r>
        <w:rPr>
          <w:rFonts w:ascii="Garamond" w:eastAsia="Garamond" w:hAnsi="Garamond" w:cs="Garamond"/>
          <w:color w:val="2A2A2A"/>
          <w:sz w:val="22"/>
          <w:szCs w:val="22"/>
        </w:rPr>
        <w:t xml:space="preserve">(6) Where the Legislature fails to enact a budget by the constitutional deadline defined by statute, an interim automatic appropriation takes effect by constitutional operation covering:</w:t>
      </w:r>
    </w:p>
    <w:p>
      <w:pPr>
        <w:spacing w:after="120"/>
        <w:ind w:left="720"/>
        <w:jc w:val="both"/>
      </w:pPr>
      <w:r>
        <w:rPr>
          <w:rFonts w:ascii="Garamond" w:eastAsia="Garamond" w:hAnsi="Garamond" w:cs="Garamond"/>
          <w:color w:val="2A2A2A"/>
          <w:sz w:val="22"/>
          <w:szCs w:val="22"/>
        </w:rPr>
        <w:t xml:space="preserve">— judicial operations, active defense authorizations under §14.2, and social state continuity under §12.1;</w:t>
      </w:r>
    </w:p>
    <w:p>
      <w:pPr>
        <w:spacing w:after="120"/>
        <w:ind w:left="720"/>
        <w:jc w:val="both"/>
      </w:pPr>
      <w:r>
        <w:rPr>
          <w:rFonts w:ascii="Garamond" w:eastAsia="Garamond" w:hAnsi="Garamond" w:cs="Garamond"/>
          <w:color w:val="2A2A2A"/>
          <w:sz w:val="22"/>
          <w:szCs w:val="22"/>
        </w:rPr>
        <w:t xml:space="preserve">— civil service compensation;</w:t>
      </w:r>
    </w:p>
    <w:p>
      <w:pPr>
        <w:spacing w:after="120"/>
        <w:ind w:left="720"/>
        <w:jc w:val="both"/>
      </w:pPr>
      <w:r>
        <w:rPr>
          <w:rFonts w:ascii="Garamond" w:eastAsia="Garamond" w:hAnsi="Garamond" w:cs="Garamond"/>
          <w:color w:val="2A2A2A"/>
          <w:sz w:val="22"/>
          <w:szCs w:val="22"/>
        </w:rPr>
        <w:t xml:space="preserve">— and debt service obligations.</w:t>
      </w:r>
    </w:p>
    <w:p>
      <w:pPr>
        <w:spacing w:after="120"/>
        <w:ind w:left="431"/>
        <w:jc w:val="both"/>
      </w:pPr>
      <w:r>
        <w:rPr>
          <w:rFonts w:ascii="Garamond" w:eastAsia="Garamond" w:hAnsi="Garamond" w:cs="Garamond"/>
          <w:color w:val="2A2A2A"/>
          <w:sz w:val="22"/>
          <w:szCs w:val="22"/>
        </w:rPr>
        <w:t xml:space="preserve">(7) The interim appropriation continues at the prior fiscal year's inflation-adjusted level until a budget is enacted; no new programs may be initiated or expanded under the interim appropriation.</w:t>
      </w:r>
    </w:p>
    <w:p>
      <w:pPr>
        <w:spacing w:after="120"/>
        <w:ind w:left="431"/>
        <w:jc w:val="both"/>
      </w:pPr>
      <w:r>
        <w:rPr>
          <w:rFonts w:ascii="Garamond" w:eastAsia="Garamond" w:hAnsi="Garamond" w:cs="Garamond"/>
          <w:color w:val="2A2A2A"/>
          <w:sz w:val="22"/>
          <w:szCs w:val="22"/>
        </w:rPr>
        <w:t xml:space="preserve">(8)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14:paraId="44C09FA1" w14:textId="77777777" w:rsidR="00AF3D56" w:rsidRDefault="00000000">
      <w:pPr>
        <w:spacing w:before="200" w:after="60"/>
        <w:ind w:left="431"/>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Taxing Power and National Revenue Fund</w:t>
      </w:r>
    </w:p>
    <w:p w14:paraId="2CB8BD2E" w14:textId="77777777" w:rsidR="00AF3D56" w:rsidRDefault="00000000">
      <w:pPr>
        <w:spacing w:after="120"/>
        <w:ind w:left="431"/>
        <w:jc w:val="both"/>
      </w:pPr>
      <w:r>
        <w:rPr>
          <w:rFonts w:ascii="Garamond" w:eastAsia="Garamond" w:hAnsi="Garamond" w:cs="Garamond"/>
          <w:color w:val="2A2A2A"/>
          <w:sz w:val="22"/>
          <w:szCs w:val="22"/>
        </w:rPr>
        <w:t>The Legislature has exclusive authority to levy taxes, duties, and tariffs by statute; no other federal body may impose a tax, duty, or levy of any kind. States, Territories, and local governments retain authority to tax within their own jurisdictions, subject to §12.7 and the non-discrimination requirements of §1.6.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14:paraId="463E5172" w14:textId="77777777" w:rsidR="00AF3D56" w:rsidRDefault="00000000">
      <w:pPr>
        <w:spacing w:before="200" w:after="60"/>
        <w:ind w:left="431"/>
      </w:pPr>
      <w:r>
        <w:rPr>
          <w:rFonts w:ascii="Courier New" w:eastAsia="Courier New" w:hAnsi="Courier New" w:cs="Courier New"/>
          <w:b/>
          <w:bCs/>
          <w:color w:val="2A2A2A"/>
          <w:sz w:val="18"/>
          <w:szCs w:val="18"/>
        </w:rPr>
        <w:t xml:space="preserve">§12.4  </w:t>
      </w:r>
      <w:r>
        <w:rPr>
          <w:rFonts w:ascii="Garamond" w:eastAsia="Garamond" w:hAnsi="Garamond" w:cs="Garamond"/>
          <w:i/>
          <w:iCs/>
          <w:color w:val="1B2A4A"/>
          <w:sz w:val="22"/>
          <w:szCs w:val="22"/>
        </w:rPr>
        <w:t>Ethics and Conflict of Interest</w:t>
      </w:r>
    </w:p>
    <w:p>
      <w:pPr>
        <w:spacing w:after="120"/>
        <w:ind w:left="431"/>
        <w:jc w:val="both"/>
      </w:pPr>
      <w:r>
        <w:rPr>
          <w:rFonts w:ascii="Garamond" w:eastAsia="Garamond" w:hAnsi="Garamond" w:cs="Garamond"/>
          <w:color w:val="2A2A2A"/>
          <w:sz w:val="22"/>
          <w:szCs w:val="22"/>
        </w:rPr>
        <w:t xml:space="preserve">(1) A financial interest includes any holding, income source, liability, business relationship, or similar economic interest; a financial interest is disqualifying where it creates a direct and material conflict between an officer's personal economic interest and the impartial exercise of their official duties, with statute permitted to further specify categories and thresholds consistent with this standard.</w:t>
      </w:r>
    </w:p>
    <w:p>
      <w:pPr>
        <w:spacing w:after="120"/>
        <w:ind w:left="431"/>
        <w:jc w:val="both"/>
      </w:pPr>
      <w:r>
        <w:rPr>
          <w:rFonts w:ascii="Garamond" w:eastAsia="Garamond" w:hAnsi="Garamond" w:cs="Garamond"/>
          <w:color w:val="2A2A2A"/>
          <w:sz w:val="22"/>
          <w:szCs w:val="22"/>
        </w:rPr>
        <w:t xml:space="preserve">(2) All constitutional officers must disclose all financial interests, holdings, income sources, and liabilities to their respective Monitor — the LM for members of the Legislature; the EM for both Consuls, executive branch officers, and military officers; the JM for judicial officers — within the period defined by statute after taking office and annually thereafter; disclosure records are published to the NRS.</w:t>
      </w:r>
    </w:p>
    <w:p>
      <w:pPr>
        <w:spacing w:after="120"/>
        <w:ind w:left="431"/>
        <w:jc w:val="both"/>
      </w:pPr>
      <w:r>
        <w:rPr>
          <w:rFonts w:ascii="Garamond" w:eastAsia="Garamond" w:hAnsi="Garamond" w:cs="Garamond"/>
          <w:color w:val="2A2A2A"/>
          <w:sz w:val="22"/>
          <w:szCs w:val="22"/>
        </w:rPr>
        <w:t xml:space="preserve">(3) Candidates for a Monitor General's own candidate pool are audited for financial disclosure by the other two Monitors jointly rather than by the Monitor whose pool they would join, as provided in §9.3 and §9.4.</w:t>
      </w:r>
    </w:p>
    <w:p>
      <w:pPr>
        <w:spacing w:after="120"/>
        <w:ind w:left="431"/>
        <w:jc w:val="both"/>
      </w:pPr>
      <w:r>
        <w:rPr>
          <w:rFonts w:ascii="Garamond" w:eastAsia="Garamond" w:hAnsi="Garamond" w:cs="Garamond"/>
          <w:color w:val="2A2A2A"/>
          <w:sz w:val="22"/>
          <w:szCs w:val="22"/>
        </w:rPr>
        <w:t xml:space="preserve">(4) Any officer with a direct financial interest in a decision within their authority must recuse themselves; recusal is self-executing.</w:t>
      </w:r>
    </w:p>
    <w:p>
      <w:pPr>
        <w:spacing w:after="120"/>
        <w:ind w:left="431"/>
        <w:jc w:val="both"/>
      </w:pPr>
      <w:r>
        <w:rPr>
          <w:rFonts w:ascii="Garamond" w:eastAsia="Garamond" w:hAnsi="Garamond" w:cs="Garamond"/>
          <w:color w:val="2A2A2A"/>
          <w:sz w:val="22"/>
          <w:szCs w:val="22"/>
        </w:rPr>
        <w:t xml:space="preserve">(5) Any decision made without required recusal is voidable; the relevant chamber may void the decision by simple majority within 90 days of the conflict becoming a matter of public record on the NRS.</w:t>
      </w:r>
    </w:p>
    <w:p>
      <w:pPr>
        <w:spacing w:after="120"/>
        <w:ind w:left="431"/>
        <w:jc w:val="both"/>
      </w:pPr>
      <w:r>
        <w:rPr>
          <w:rFonts w:ascii="Garamond" w:eastAsia="Garamond" w:hAnsi="Garamond" w:cs="Garamond"/>
          <w:color w:val="2A2A2A"/>
          <w:sz w:val="22"/>
          <w:szCs w:val="22"/>
        </w:rPr>
        <w:t xml:space="preserve">(6) Constitutional officers may not, for a period defined by statute after leaving office — which may not be less than two years — engage in any activity that monetizes or draws on non-public information, relationships, or access accumulated during service; the respective Monitor audits post-service activities of constitutional officers for compliance with this restriction and publishes findings to the NRS; enforcement is through the appropriate legal authority.</w:t>
      </w:r>
    </w:p>
    <w:p>
      <w:pPr>
        <w:spacing w:after="120"/>
        <w:ind w:left="431"/>
        <w:jc w:val="both"/>
      </w:pPr>
      <w:r>
        <w:rPr>
          <w:rFonts w:ascii="Garamond" w:eastAsia="Garamond" w:hAnsi="Garamond" w:cs="Garamond"/>
          <w:color w:val="2A2A2A"/>
          <w:sz w:val="22"/>
          <w:szCs w:val="22"/>
        </w:rPr>
        <w:t xml:space="preserve">(7) Officers may not accept gifts above a de minimis threshold; all gifts above the threshold must be disclosed to their respective Monitor and deposited with the relevant treasury.</w:t>
      </w:r>
    </w:p>
    <w:p>
      <w:pPr>
        <w:spacing w:after="120"/>
        <w:ind w:left="431"/>
        <w:jc w:val="both"/>
      </w:pPr>
      <w:r>
        <w:rPr>
          <w:rFonts w:ascii="Garamond" w:eastAsia="Garamond" w:hAnsi="Garamond" w:cs="Garamond"/>
          <w:color w:val="2A2A2A"/>
          <w:sz w:val="22"/>
          <w:szCs w:val="22"/>
        </w:rPr>
        <w:t xml:space="preserve">(8) All records created in the exercise of official functions are public records and may not be retained, destroyed, or removed by departing officers.</w:t>
      </w:r>
    </w:p>
    <w:p>
      <w:pPr>
        <w:spacing w:after="120"/>
        <w:ind w:left="431"/>
        <w:jc w:val="both"/>
      </w:pPr>
      <w:r>
        <w:rPr>
          <w:rFonts w:ascii="Garamond" w:eastAsia="Garamond" w:hAnsi="Garamond" w:cs="Garamond"/>
          <w:color w:val="2A2A2A"/>
          <w:sz w:val="22"/>
          <w:szCs w:val="22"/>
        </w:rPr>
        <w:t xml:space="preserve">(9) Each Monitor investigates alleged violations of this section within their respective jurisdiction and publishes findings to the NRS; where findings warrant further action, the Monitor refers to the appropriate authority.</w:t>
      </w:r>
    </w:p>
    <w:p w14:paraId="7F55EDD5" w14:textId="77777777" w:rsidR="00AF3D56" w:rsidRDefault="00000000">
      <w:pPr>
        <w:spacing w:before="200" w:after="60"/>
        <w:ind w:left="431"/>
      </w:pPr>
      <w:r>
        <w:rPr>
          <w:rFonts w:ascii="Courier New" w:eastAsia="Courier New" w:hAnsi="Courier New" w:cs="Courier New"/>
          <w:b/>
          <w:bCs/>
          <w:color w:val="2A2A2A"/>
          <w:sz w:val="18"/>
          <w:szCs w:val="18"/>
        </w:rPr>
        <w:t xml:space="preserve">§12.4.a  </w:t>
      </w:r>
      <w:r>
        <w:rPr>
          <w:rFonts w:ascii="Garamond" w:eastAsia="Garamond" w:hAnsi="Garamond" w:cs="Garamond"/>
          <w:i/>
          <w:iCs/>
          <w:color w:val="1B2A4A"/>
          <w:sz w:val="22"/>
          <w:szCs w:val="22"/>
        </w:rPr>
        <w:t>Codes of Conduct and Recusal</w:t>
      </w:r>
    </w:p>
    <w:p w14:paraId="1E91FD8A" w14:textId="77777777" w:rsidR="00AF3D56" w:rsidRDefault="00000000">
      <w:pPr>
        <w:spacing w:after="120"/>
        <w:ind w:left="431"/>
        <w:jc w:val="both"/>
      </w:pPr>
      <w:r>
        <w:rPr>
          <w:rFonts w:ascii="Garamond" w:eastAsia="Garamond" w:hAnsi="Garamond" w:cs="Garamond"/>
          <w:color w:val="2A2A2A"/>
          <w:sz w:val="22"/>
          <w:szCs w:val="22"/>
        </w:rPr>
        <w:t>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§9.9.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14:paraId="61B86608" w14:textId="77777777" w:rsidR="00AF3D56" w:rsidRDefault="00000000">
      <w:pPr>
        <w:spacing w:before="200" w:after="60"/>
        <w:ind w:left="431"/>
      </w:pPr>
      <w:r>
        <w:rPr>
          <w:rFonts w:ascii="Courier New" w:eastAsia="Courier New" w:hAnsi="Courier New" w:cs="Courier New"/>
          <w:b/>
          <w:bCs/>
          <w:color w:val="2A2A2A"/>
          <w:sz w:val="18"/>
          <w:szCs w:val="18"/>
        </w:rPr>
        <w:t xml:space="preserve">§12.4.b  </w:t>
      </w:r>
      <w:r>
        <w:rPr>
          <w:rFonts w:ascii="Garamond" w:eastAsia="Garamond" w:hAnsi="Garamond" w:cs="Garamond"/>
          <w:i/>
          <w:iCs/>
          <w:color w:val="1B2A4A"/>
          <w:sz w:val="22"/>
          <w:szCs w:val="22"/>
        </w:rPr>
        <w:t>Monitor General Disclosure</w:t>
      </w:r>
    </w:p>
    <w:p w14:paraId="7A2F2502" w14:textId="77777777" w:rsidR="00AF3D56" w:rsidRDefault="00000000">
      <w:pPr>
        <w:spacing w:after="120"/>
        <w:ind w:left="431"/>
        <w:jc w:val="both"/>
      </w:pPr>
      <w:r>
        <w:rPr>
          <w:rFonts w:ascii="Garamond" w:eastAsia="Garamond" w:hAnsi="Garamond" w:cs="Garamond"/>
          <w:color w:val="2A2A2A"/>
          <w:sz w:val="22"/>
          <w:szCs w:val="22"/>
        </w:rPr>
        <w:t>Monitor Generals disclose under the same requirements and schedule as other constitutional officers under §12.4, published directly to the NRS; no Monitor reviews another Monitor’s disclosure. Self-executing recusal applies as under §12.4, but the voidable-decision remedy does not apply to Monitor General functions. The Legislature must include concealment of a disqualifying financial interest, or failure to recuse where required, among the statutory removal categories established for Monitor Generals under §9.9.</w:t>
      </w:r>
    </w:p>
    <w:p w14:paraId="7DABB156" w14:textId="77777777" w:rsidR="00AF3D56" w:rsidRDefault="00000000">
      <w:pPr>
        <w:spacing w:before="200" w:after="60"/>
        <w:ind w:left="431"/>
      </w:pPr>
      <w:r>
        <w:rPr>
          <w:rFonts w:ascii="Courier New" w:eastAsia="Courier New" w:hAnsi="Courier New" w:cs="Courier New"/>
          <w:b/>
          <w:bCs/>
          <w:color w:val="2A2A2A"/>
          <w:sz w:val="18"/>
          <w:szCs w:val="18"/>
        </w:rPr>
        <w:t xml:space="preserve">§12.4.c  </w:t>
      </w:r>
      <w:r>
        <w:rPr>
          <w:rFonts w:ascii="Garamond" w:eastAsia="Garamond" w:hAnsi="Garamond" w:cs="Garamond"/>
          <w:i/>
          <w:iCs/>
          <w:color w:val="1B2A4A"/>
          <w:sz w:val="22"/>
          <w:szCs w:val="22"/>
        </w:rPr>
        <w:t>Federal Employee and Military Disclosure</w:t>
      </w:r>
    </w:p>
    <w:p w14:paraId="3EBF3AEF" w14:textId="77777777" w:rsidR="00AF3D56" w:rsidRDefault="00000000">
      <w:pPr>
        <w:spacing w:after="120"/>
        <w:ind w:left="431"/>
        <w:jc w:val="both"/>
      </w:pPr>
      <w:r>
        <w:rPr>
          <w:rFonts w:ascii="Garamond" w:eastAsia="Garamond" w:hAnsi="Garamond" w:cs="Garamond"/>
          <w:color w:val="2A2A2A"/>
          <w:sz w:val="22"/>
          <w:szCs w:val="22"/>
        </w:rPr>
        <w:t>The Legislature must by statute establish disclosure and recusal requirements for federal government employees and military personnel whose duties create material conflict-of-interest risk, including procurement, regulatory, and senior civil service positions. The respective Monitor audits the administering agency’s compliance with this requirement and publishes findings to the NRS; this audit is systemic and does not require individual-filing review by the Monitor.</w:t>
      </w:r>
    </w:p>
    <w:p w14:paraId="4944C50E" w14:textId="77777777" w:rsidR="00AF3D56" w:rsidRDefault="00000000">
      <w:pPr>
        <w:spacing w:before="200" w:after="60"/>
        <w:ind w:left="431"/>
      </w:pPr>
      <w:r>
        <w:rPr>
          <w:rFonts w:ascii="Courier New" w:eastAsia="Courier New" w:hAnsi="Courier New" w:cs="Courier New"/>
          <w:b/>
          <w:bCs/>
          <w:color w:val="2A2A2A"/>
          <w:sz w:val="18"/>
          <w:szCs w:val="18"/>
        </w:rPr>
        <w:t xml:space="preserve">§12.5  </w:t>
      </w:r>
      <w:r>
        <w:rPr>
          <w:rFonts w:ascii="Garamond" w:eastAsia="Garamond" w:hAnsi="Garamond" w:cs="Garamond"/>
          <w:i/>
          <w:iCs/>
          <w:color w:val="1B2A4A"/>
          <w:sz w:val="22"/>
          <w:szCs w:val="22"/>
        </w:rPr>
        <w:t>National Endowment</w:t>
      </w:r>
    </w:p>
    <w:p w14:paraId="6E4888F1" w14:textId="77777777" w:rsidR="00AF3D56" w:rsidRDefault="00000000">
      <w:pPr>
        <w:spacing w:after="120"/>
        <w:ind w:left="431"/>
        <w:jc w:val="both"/>
      </w:pPr>
      <w:r>
        <w:rPr>
          <w:rFonts w:ascii="Garamond" w:eastAsia="Garamond" w:hAnsi="Garamond" w:cs="Garamond"/>
          <w:color w:val="2A2A2A"/>
          <w:sz w:val="22"/>
          <w:szCs w:val="22"/>
        </w:rPr>
        <w:lastRenderedPageBreak/>
        <w:t>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 Where a certified Severe Revenue Contraction continues beyond 12 months, continued Endowment disbursement requires authorization by statute, enacted through the ordinary legislative process and renewed at intervals not to exceed 12 months for the duration of the contraction. Where authorization is not renewed, disbursements cease and any adequacy-standard reduction under §1.16 or §1.17 lapses with them. The Monetary Authority's certification of the contraction's end terminates disbursements and any such reduction regardless of authorization status.</w:t>
      </w:r>
    </w:p>
    <w:p w14:paraId="6FBA841A" w14:textId="77777777" w:rsidR="00AF3D56" w:rsidRDefault="00000000">
      <w:pPr>
        <w:spacing w:before="200" w:after="60"/>
        <w:ind w:left="431"/>
      </w:pPr>
      <w:r>
        <w:rPr>
          <w:rFonts w:ascii="Courier New" w:eastAsia="Courier New" w:hAnsi="Courier New" w:cs="Courier New"/>
          <w:b/>
          <w:bCs/>
          <w:color w:val="2A2A2A"/>
          <w:sz w:val="18"/>
          <w:szCs w:val="18"/>
        </w:rPr>
        <w:t xml:space="preserve">§12.6  </w:t>
      </w:r>
      <w:r>
        <w:rPr>
          <w:rFonts w:ascii="Garamond" w:eastAsia="Garamond" w:hAnsi="Garamond" w:cs="Garamond"/>
          <w:i/>
          <w:iCs/>
          <w:color w:val="1B2A4A"/>
          <w:sz w:val="22"/>
          <w:szCs w:val="22"/>
        </w:rPr>
        <w:t>Compensation of Public Officials</w:t>
      </w:r>
    </w:p>
    <w:p w14:paraId="616AD1B4" w14:textId="77777777" w:rsidR="00AF3D56" w:rsidRDefault="00000000">
      <w:pPr>
        <w:spacing w:after="120"/>
        <w:ind w:left="431"/>
        <w:jc w:val="both"/>
      </w:pPr>
      <w:r>
        <w:rPr>
          <w:rFonts w:ascii="Garamond" w:eastAsia="Garamond" w:hAnsi="Garamond" w:cs="Garamond"/>
          <w:color w:val="2A2A2A"/>
          <w:sz w:val="22"/>
          <w:szCs w:val="22"/>
        </w:rPr>
        <w:t>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14:paraId="59FBD4C2" w14:textId="77777777" w:rsidR="00AF3D56" w:rsidRDefault="00000000">
      <w:pPr>
        <w:spacing w:before="200" w:after="60"/>
        <w:ind w:left="431"/>
      </w:pPr>
      <w:r>
        <w:rPr>
          <w:rFonts w:ascii="Courier New" w:eastAsia="Courier New" w:hAnsi="Courier New" w:cs="Courier New"/>
          <w:b/>
          <w:bCs/>
          <w:color w:val="2A2A2A"/>
          <w:sz w:val="18"/>
          <w:szCs w:val="18"/>
        </w:rPr>
        <w:t xml:space="preserve">§12.7  </w:t>
      </w:r>
      <w:r>
        <w:rPr>
          <w:rFonts w:ascii="Garamond" w:eastAsia="Garamond" w:hAnsi="Garamond" w:cs="Garamond"/>
          <w:i/>
          <w:iCs/>
          <w:color w:val="1B2A4A"/>
          <w:sz w:val="22"/>
          <w:szCs w:val="22"/>
        </w:rPr>
        <w:t>Internal Commerce</w:t>
      </w:r>
    </w:p>
    <w:p w14:paraId="2D1E05AC" w14:textId="77777777" w:rsidR="00AF3D56" w:rsidRDefault="00000000">
      <w:pPr>
        <w:spacing w:after="120"/>
        <w:ind w:left="431"/>
        <w:jc w:val="both"/>
      </w:pPr>
      <w:r>
        <w:rPr>
          <w:rFonts w:ascii="Garamond" w:eastAsia="Garamond" w:hAnsi="Garamond" w:cs="Garamond"/>
          <w:color w:val="2A2A2A"/>
          <w:sz w:val="22"/>
          <w:szCs w:val="22"/>
        </w:rPr>
        <w:t>No State or Territory may impose requirements on goods, services, or economic activity originating in another State or Territory that are more burdensome than those applied to its own. The Legislature may establish uniform internal commerce standards by statute.</w:t>
      </w:r>
    </w:p>
    <w:p w14:paraId="73CC603D" w14:textId="77777777" w:rsidR="00AF3D56" w:rsidRDefault="00000000">
      <w:pPr>
        <w:spacing w:before="200" w:after="60"/>
        <w:ind w:left="431"/>
      </w:pPr>
      <w:r>
        <w:rPr>
          <w:rFonts w:ascii="Courier New" w:eastAsia="Courier New" w:hAnsi="Courier New" w:cs="Courier New"/>
          <w:b/>
          <w:bCs/>
          <w:color w:val="2A2A2A"/>
          <w:sz w:val="18"/>
          <w:szCs w:val="18"/>
        </w:rPr>
        <w:t xml:space="preserve">§12.8  </w:t>
      </w:r>
      <w:r>
        <w:rPr>
          <w:rFonts w:ascii="Garamond" w:eastAsia="Garamond" w:hAnsi="Garamond" w:cs="Garamond"/>
          <w:i/>
          <w:iCs/>
          <w:color w:val="1B2A4A"/>
          <w:sz w:val="22"/>
          <w:szCs w:val="22"/>
        </w:rPr>
        <w:t>Fiscal Equalization</w:t>
      </w:r>
    </w:p>
    <w:p w14:paraId="0294EC51" w14:textId="77777777" w:rsidR="00AF3D56" w:rsidRDefault="00000000">
      <w:pPr>
        <w:spacing w:after="120"/>
        <w:ind w:left="431"/>
        <w:jc w:val="both"/>
      </w:pPr>
      <w:r>
        <w:rPr>
          <w:rFonts w:ascii="Garamond" w:eastAsia="Garamond" w:hAnsi="Garamond" w:cs="Garamond"/>
          <w:color w:val="2A2A2A"/>
          <w:sz w:val="22"/>
          <w:szCs w:val="22"/>
        </w:rPr>
        <w:t>The Legislature shall by statute establish a mechanism ensuring that every State and Territory has fiscal capacity reasonably sufficient to fulfill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publishes its response to the NRS within 90 days.</w:t>
      </w:r>
    </w:p>
    <w:p w14:paraId="263A7EF9"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XIII — Direct Democracy</w:t>
      </w:r>
    </w:p>
    <w:p w14:paraId="2D25DBFF" w14:textId="77777777" w:rsidR="00AF3D56" w:rsidRDefault="00000000">
      <w:pPr>
        <w:spacing w:before="200" w:after="60"/>
        <w:ind w:left="431"/>
      </w:pPr>
      <w:r>
        <w:rPr>
          <w:rFonts w:ascii="Courier New" w:eastAsia="Courier New" w:hAnsi="Courier New" w:cs="Courier New"/>
          <w:b/>
          <w:bCs/>
          <w:color w:val="2A2A2A"/>
          <w:sz w:val="18"/>
          <w:szCs w:val="18"/>
        </w:rPr>
        <w:t xml:space="preserve">§13.1  </w:t>
      </w:r>
      <w:r>
        <w:rPr>
          <w:rFonts w:ascii="Garamond" w:eastAsia="Garamond" w:hAnsi="Garamond" w:cs="Garamond"/>
          <w:i/>
          <w:iCs/>
          <w:color w:val="1B2A4A"/>
          <w:sz w:val="22"/>
          <w:szCs w:val="22"/>
        </w:rPr>
        <w:t>Optional Referendum</w:t>
      </w:r>
    </w:p>
    <w:p>
      <w:pPr>
        <w:spacing w:after="120"/>
        <w:ind w:left="431"/>
        <w:jc w:val="both"/>
      </w:pPr>
      <w:r>
        <w:rPr>
          <w:rFonts w:ascii="Garamond" w:eastAsia="Garamond" w:hAnsi="Garamond" w:cs="Garamond"/>
          <w:color w:val="2A2A2A"/>
          <w:sz w:val="22"/>
          <w:szCs w:val="22"/>
        </w:rPr>
        <w:t xml:space="preserve">(1) Citizens may initiate a national referendum to repeal enacted legislation. The petition process begins within 90 days of enactment and proceeds in two phases, each authenticated through the NVS using Citizen Voting Credentials.</w:t>
      </w:r>
    </w:p>
    <w:p>
      <w:pPr>
        <w:spacing w:after="120"/>
        <w:ind w:left="431"/>
        <w:jc w:val="both"/>
      </w:pPr>
      <w:r>
        <w:rPr>
          <w:rFonts w:ascii="Garamond" w:eastAsia="Garamond" w:hAnsi="Garamond" w:cs="Garamond"/>
          <w:color w:val="2A2A2A"/>
          <w:sz w:val="22"/>
          <w:szCs w:val="22"/>
        </w:rPr>
        <w:t xml:space="preserve">(2) Phase One, lasting up to 8 months, requires signatures from citizens equal to a percentage of eligible voters — defined by statute at not less than 0.5% nor more than 3% — in each of at least one-third of all States and Territories.</w:t>
      </w:r>
    </w:p>
    <w:p>
      <w:pPr>
        <w:spacing w:after="120"/>
        <w:ind w:left="431"/>
        <w:jc w:val="both"/>
      </w:pPr>
      <w:r>
        <w:rPr>
          <w:rFonts w:ascii="Garamond" w:eastAsia="Garamond" w:hAnsi="Garamond" w:cs="Garamond"/>
          <w:color w:val="2A2A2A"/>
          <w:sz w:val="22"/>
          <w:szCs w:val="22"/>
        </w:rPr>
        <w:t xml:space="preserve">(3) Phase Two, lasting up to 8 months following Phase One's completion, requires signatures from 5% of eligible voters nationally; signatures gathered in Phase One carry over and count toward this threshold.</w:t>
      </w:r>
    </w:p>
    <w:p>
      <w:pPr>
        <w:spacing w:after="120"/>
        <w:ind w:left="431"/>
        <w:jc w:val="both"/>
      </w:pPr>
      <w:r>
        <w:rPr>
          <w:rFonts w:ascii="Garamond" w:eastAsia="Garamond" w:hAnsi="Garamond" w:cs="Garamond"/>
          <w:color w:val="2A2A2A"/>
          <w:sz w:val="22"/>
          <w:szCs w:val="22"/>
        </w:rPr>
        <w:t xml:space="preserve">(4) Laws that solely or primarily expand an Article I right, budget laws, and laws implementing a constitutionally mandated obligation are ineligible.</w:t>
      </w:r>
    </w:p>
    <w:p>
      <w:pPr>
        <w:spacing w:after="120"/>
        <w:ind w:left="431"/>
        <w:jc w:val="both"/>
      </w:pPr>
      <w:r>
        <w:rPr>
          <w:rFonts w:ascii="Garamond" w:eastAsia="Garamond" w:hAnsi="Garamond" w:cs="Garamond"/>
          <w:color w:val="2A2A2A"/>
          <w:sz w:val="22"/>
          <w:szCs w:val="22"/>
        </w:rPr>
        <w:t xml:space="preserve">(5)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w:t>
      </w:r>
    </w:p>
    <w:p>
      <w:pPr>
        <w:spacing w:after="120"/>
        <w:ind w:left="431"/>
        <w:jc w:val="both"/>
      </w:pPr>
      <w:r>
        <w:rPr>
          <w:rFonts w:ascii="Garamond" w:eastAsia="Garamond" w:hAnsi="Garamond" w:cs="Garamond"/>
          <w:color w:val="2A2A2A"/>
          <w:sz w:val="22"/>
          <w:szCs w:val="22"/>
        </w:rPr>
        <w:t xml:space="preserve">(6)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w:t>
      </w:r>
    </w:p>
    <w:p>
      <w:pPr>
        <w:spacing w:after="120"/>
        <w:ind w:left="431"/>
        <w:jc w:val="both"/>
      </w:pPr>
      <w:r>
        <w:rPr>
          <w:rFonts w:ascii="Garamond" w:eastAsia="Garamond" w:hAnsi="Garamond" w:cs="Garamond"/>
          <w:color w:val="2A2A2A"/>
          <w:sz w:val="22"/>
          <w:szCs w:val="22"/>
        </w:rPr>
        <w:t xml:space="preserve">(7) A failed referendum may not be re-initiated on the same or substantially similar grounds; the Legislature may re-enact a repealed law, which is again subject to referendum.</w:t>
      </w:r>
    </w:p>
    <w:p w14:paraId="56A2B479" w14:textId="77777777" w:rsidR="00AF3D56" w:rsidRDefault="00000000">
      <w:pPr>
        <w:spacing w:before="200" w:after="60"/>
        <w:ind w:left="431"/>
      </w:pPr>
      <w:r>
        <w:rPr>
          <w:rFonts w:ascii="Courier New" w:eastAsia="Courier New" w:hAnsi="Courier New" w:cs="Courier New"/>
          <w:b/>
          <w:bCs/>
          <w:color w:val="2A2A2A"/>
          <w:sz w:val="18"/>
          <w:szCs w:val="18"/>
        </w:rPr>
        <w:t xml:space="preserve">§13.2  </w:t>
      </w:r>
      <w:r>
        <w:rPr>
          <w:rFonts w:ascii="Garamond" w:eastAsia="Garamond" w:hAnsi="Garamond" w:cs="Garamond"/>
          <w:i/>
          <w:iCs/>
          <w:color w:val="1B2A4A"/>
          <w:sz w:val="22"/>
          <w:szCs w:val="22"/>
        </w:rPr>
        <w:t>Citizen Legislative Initiative</w:t>
      </w:r>
    </w:p>
    <w:p w14:paraId="3AF26292" w14:textId="77777777" w:rsidR="00AF3D56" w:rsidRDefault="00000000">
      <w:pPr>
        <w:spacing w:after="120"/>
        <w:ind w:left="431"/>
        <w:jc w:val="both"/>
      </w:pPr>
      <w:r>
        <w:rPr>
          <w:rFonts w:ascii="Garamond" w:eastAsia="Garamond" w:hAnsi="Garamond" w:cs="Garamond"/>
          <w:color w:val="2A2A2A"/>
          <w:sz w:val="22"/>
          <w:szCs w:val="22"/>
        </w:rPr>
        <w:t>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§7.3  </w:t>
      </w:r>
      <w:r>
        <w:rPr>
          <w:rFonts w:ascii="Garamond" w:eastAsia="Garamond" w:hAnsi="Garamond" w:cs="Garamond"/>
          <w:i/>
          <w:iCs/>
          <w:color w:val="1B2A4A"/>
          <w:sz w:val="22"/>
          <w:szCs w:val="22"/>
        </w:rPr>
        <w:t>Electoral Supermajority Threshold</w:t>
      </w:r>
    </w:p>
    <w:p w14:paraId="743CADFF" w14:textId="77777777" w:rsidR="00AF3D56" w:rsidRDefault="00000000">
      <w:pPr>
        <w:spacing w:after="120"/>
        <w:ind w:left="431"/>
        <w:jc w:val="both"/>
      </w:pPr>
      <w:r>
        <w:rPr>
          <w:rFonts w:ascii="Garamond" w:eastAsia="Garamond" w:hAnsi="Garamond" w:cs="Garamond"/>
          <w:color w:val="2A2A2A"/>
          <w:sz w:val="22"/>
          <w:szCs w:val="22"/>
        </w:rPr>
        <w:t>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(§7.1); public confirmation of a Supreme Court justice under the Senate bypass mechanism (§4.4.a); public recall of the Legat Consul under §2.13; and the national independence referendum under §15.9.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§7.4  </w:t>
      </w:r>
      <w:r>
        <w:rPr>
          <w:rFonts w:ascii="Garamond" w:eastAsia="Garamond" w:hAnsi="Garamond" w:cs="Garamond"/>
          <w:i/>
          <w:iCs/>
          <w:color w:val="1B2A4A"/>
          <w:sz w:val="22"/>
          <w:szCs w:val="22"/>
        </w:rPr>
        <w:t>Eligibility and Disclosure for Federal Office</w:t>
      </w:r>
    </w:p>
    <w:p>
      <w:pPr>
        <w:spacing w:after="120"/>
        <w:ind w:left="431"/>
        <w:jc w:val="both"/>
      </w:pPr>
      <w:r>
        <w:rPr>
          <w:rFonts w:ascii="Garamond" w:eastAsia="Garamond" w:hAnsi="Garamond" w:cs="Garamond"/>
          <w:color w:val="2A2A2A"/>
          <w:sz w:val="22"/>
          <w:szCs w:val="22"/>
        </w:rPr>
        <w:t xml:space="preserve">(1) Every candidate for federal office, and every person selected or elevated to a federal office without standing for election, shall disclose their criminal history on the official candidacy or acceptance filing, under penalty of perjury; the disclosure is published to the NRS and is available to voters and to any body that selects the officeholder.</w:t>
      </w:r>
    </w:p>
    <w:p>
      <w:pPr>
        <w:spacing w:after="120"/>
        <w:ind w:left="431"/>
        <w:jc w:val="both"/>
      </w:pPr>
      <w:r>
        <w:rPr>
          <w:rFonts w:ascii="Garamond" w:eastAsia="Garamond" w:hAnsi="Garamond" w:cs="Garamond"/>
          <w:color w:val="2A2A2A"/>
          <w:sz w:val="22"/>
          <w:szCs w:val="22"/>
        </w:rPr>
        <w:t xml:space="preserve">(2) A person who has made a current disclosure for one federal office satisfies this requirement for elevation to another so long as the disclosure remains accurate.</w:t>
      </w:r>
    </w:p>
    <w:p>
      <w:pPr>
        <w:spacing w:after="120"/>
        <w:ind w:left="431"/>
        <w:jc w:val="both"/>
      </w:pPr>
      <w:r>
        <w:rPr>
          <w:rFonts w:ascii="Garamond" w:eastAsia="Garamond" w:hAnsi="Garamond" w:cs="Garamond"/>
          <w:color w:val="2A2A2A"/>
          <w:sz w:val="22"/>
          <w:szCs w:val="22"/>
        </w:rPr>
        <w:t xml:space="preserve">(3) A false or incomplete disclosure is itself a federal offense.</w:t>
      </w:r>
    </w:p>
    <w:p>
      <w:pPr>
        <w:spacing w:after="120"/>
        <w:ind w:left="431"/>
        <w:jc w:val="both"/>
      </w:pPr>
      <w:r>
        <w:rPr>
          <w:rFonts w:ascii="Garamond" w:eastAsia="Garamond" w:hAnsi="Garamond" w:cs="Garamond"/>
          <w:color w:val="2A2A2A"/>
          <w:sz w:val="22"/>
          <w:szCs w:val="22"/>
        </w:rPr>
        <w:t xml:space="preserve">(4) No criminal conviction bars a person from federal office except as provided in this section; the weight of a disclosed history is for the voters, or for the selecting body, to judge.</w:t>
      </w:r>
    </w:p>
    <w:p>
      <w:pPr>
        <w:spacing w:after="120"/>
        <w:ind w:left="431"/>
        <w:jc w:val="both"/>
      </w:pPr>
      <w:r>
        <w:rPr>
          <w:rFonts w:ascii="Garamond" w:eastAsia="Garamond" w:hAnsi="Garamond" w:cs="Garamond"/>
          <w:color w:val="2A2A2A"/>
          <w:sz w:val="22"/>
          <w:szCs w:val="22"/>
        </w:rPr>
        <w:t xml:space="preserve">(5) A person convicted of insurrection against the Republic, rebellion against the Republic, treason against the Republic, or subversion of a federal election is barred from holding any federal office. These grounds are exhaustive; no other conviction bars a person from federal office, and any change to these grounds requires constitutional amendment.</w:t>
      </w:r>
    </w:p>
    <w:p>
      <w:pPr>
        <w:spacing w:after="120"/>
        <w:ind w:left="431"/>
        <w:jc w:val="both"/>
      </w:pPr>
      <w:r>
        <w:rPr>
          <w:rFonts w:ascii="Garamond" w:eastAsia="Garamond" w:hAnsi="Garamond" w:cs="Garamond"/>
          <w:color w:val="2A2A2A"/>
          <w:sz w:val="22"/>
          <w:szCs w:val="22"/>
        </w:rPr>
        <w:t xml:space="preserve">(6) This bar requires a conviction, not an accusation or a pending charge.</w:t>
      </w:r>
    </w:p>
    <w:p>
      <w:pPr>
        <w:spacing w:after="120"/>
        <w:ind w:left="431"/>
        <w:jc w:val="both"/>
      </w:pPr>
      <w:r>
        <w:rPr>
          <w:rFonts w:ascii="Garamond" w:eastAsia="Garamond" w:hAnsi="Garamond" w:cs="Garamond"/>
          <w:color w:val="2A2A2A"/>
          <w:sz w:val="22"/>
          <w:szCs w:val="22"/>
        </w:rPr>
        <w:t xml:space="preserve">(7) A person removed from a federal office by an affirmative removal process -- including impeachment, a for-cause removal, a constructive vote of no confidence, or recall -- may not hold or seek that office until the remainder of the electoral cycle in which the removal occurred and one full electoral cycle thereafter have passed. The ordinary expiration of a term, and loss of office through an election, are not removals for purposes of this section.</w:t>
      </w:r>
    </w:p>
    <w:p>
      <w:pPr>
        <w:spacing w:after="120"/>
        <w:ind w:left="431"/>
        <w:jc w:val="both"/>
      </w:pPr>
      <w:r>
        <w:rPr>
          <w:rFonts w:ascii="Garamond" w:eastAsia="Garamond" w:hAnsi="Garamond" w:cs="Garamond"/>
          <w:color w:val="2A2A2A"/>
          <w:sz w:val="22"/>
          <w:szCs w:val="22"/>
        </w:rPr>
        <w:t xml:space="preserve">(8) Where this Constitution bars a person from holding an office, no election, succession, elevation, designation, or automatic assumption may place that person in that office or in an acting exercise of its authority, except where this Constitution expressly provides otherwise. Where an order of succession or acting authority would otherwise place a barred person, the role passes to the next eligible person in the applicable order as if that person were unable to serve.</w:t>
      </w:r>
    </w:p>
    <w:p w14:paraId="56EC121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XIV — Military Authorization and Accountability</w:t>
      </w:r>
    </w:p>
    <w:p w14:paraId="397EB8F9" w14:textId="77777777" w:rsidR="00AF3D56" w:rsidRDefault="00000000">
      <w:pPr>
        <w:spacing w:before="200" w:after="60"/>
        <w:ind w:left="431"/>
      </w:pPr>
      <w:r>
        <w:rPr>
          <w:rFonts w:ascii="Courier New" w:eastAsia="Courier New" w:hAnsi="Courier New" w:cs="Courier New"/>
          <w:b/>
          <w:bCs/>
          <w:color w:val="2A2A2A"/>
          <w:sz w:val="18"/>
          <w:szCs w:val="18"/>
        </w:rPr>
        <w:t xml:space="preserve">§14.1  </w:t>
      </w:r>
      <w:r>
        <w:rPr>
          <w:rFonts w:ascii="Garamond" w:eastAsia="Garamond" w:hAnsi="Garamond" w:cs="Garamond"/>
          <w:i/>
          <w:iCs/>
          <w:color w:val="1B2A4A"/>
          <w:sz w:val="22"/>
          <w:szCs w:val="22"/>
        </w:rPr>
        <w:t>Authorized Purposes for Military Force</w:t>
      </w:r>
    </w:p>
    <w:p w14:paraId="4D8B0046" w14:textId="77777777" w:rsidR="00AF3D56" w:rsidRDefault="00000000">
      <w:pPr>
        <w:spacing w:after="120"/>
        <w:ind w:left="431"/>
        <w:jc w:val="both"/>
      </w:pPr>
      <w:r>
        <w:rPr>
          <w:rFonts w:ascii="Garamond" w:eastAsia="Garamond" w:hAnsi="Garamond" w:cs="Garamond"/>
          <w:color w:val="2A2A2A"/>
          <w:sz w:val="22"/>
          <w:szCs w:val="22"/>
        </w:rPr>
        <w:t>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14:paraId="689652C5" w14:textId="77777777" w:rsidR="00AF3D56" w:rsidRDefault="00000000">
      <w:pPr>
        <w:spacing w:before="200" w:after="60"/>
        <w:ind w:left="431"/>
      </w:pPr>
      <w:r>
        <w:rPr>
          <w:rFonts w:ascii="Courier New" w:eastAsia="Courier New" w:hAnsi="Courier New" w:cs="Courier New"/>
          <w:b/>
          <w:bCs/>
          <w:color w:val="2A2A2A"/>
          <w:sz w:val="18"/>
          <w:szCs w:val="18"/>
        </w:rPr>
        <w:t xml:space="preserve">§14.2  </w:t>
      </w:r>
      <w:r>
        <w:rPr>
          <w:rFonts w:ascii="Garamond" w:eastAsia="Garamond" w:hAnsi="Garamond" w:cs="Garamond"/>
          <w:i/>
          <w:iCs/>
          <w:color w:val="1B2A4A"/>
          <w:sz w:val="22"/>
          <w:szCs w:val="22"/>
        </w:rPr>
        <w:t>Defense Authorization and Allocation</w:t>
      </w:r>
    </w:p>
    <w:p w14:paraId="69F24B7F" w14:textId="77777777" w:rsidR="00AF3D56" w:rsidRDefault="00000000">
      <w:pPr>
        <w:spacing w:after="120"/>
        <w:ind w:left="431"/>
        <w:jc w:val="both"/>
      </w:pPr>
      <w:r>
        <w:rPr>
          <w:rFonts w:ascii="Garamond" w:eastAsia="Garamond" w:hAnsi="Garamond" w:cs="Garamond"/>
          <w:color w:val="2A2A2A"/>
          <w:sz w:val="22"/>
          <w:szCs w:val="22"/>
        </w:rPr>
        <w:t>Military expenditure requires legislative authorization under §14.1 and budget passage under §12.2;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14:paraId="0F47319D" w14:textId="77777777" w:rsidR="00AF3D56" w:rsidRDefault="00000000">
      <w:pPr>
        <w:spacing w:before="200" w:after="60"/>
        <w:ind w:left="431"/>
      </w:pPr>
      <w:r>
        <w:rPr>
          <w:rFonts w:ascii="Courier New" w:eastAsia="Courier New" w:hAnsi="Courier New" w:cs="Courier New"/>
          <w:b/>
          <w:bCs/>
          <w:color w:val="2A2A2A"/>
          <w:sz w:val="18"/>
          <w:szCs w:val="18"/>
        </w:rPr>
        <w:t xml:space="preserve">§14.3  </w:t>
      </w:r>
      <w:r>
        <w:rPr>
          <w:rFonts w:ascii="Garamond" w:eastAsia="Garamond" w:hAnsi="Garamond" w:cs="Garamond"/>
          <w:i/>
          <w:iCs/>
          <w:color w:val="1B2A4A"/>
          <w:sz w:val="22"/>
          <w:szCs w:val="22"/>
        </w:rPr>
        <w:t>Military Accountability</w:t>
      </w:r>
    </w:p>
    <w:p w14:paraId="39470BC8" w14:textId="77777777" w:rsidR="00AF3D56" w:rsidRDefault="00000000">
      <w:pPr>
        <w:spacing w:after="120"/>
        <w:ind w:left="431"/>
        <w:jc w:val="both"/>
      </w:pPr>
      <w:r>
        <w:rPr>
          <w:rFonts w:ascii="Garamond" w:eastAsia="Garamond" w:hAnsi="Garamond" w:cs="Garamond"/>
          <w:color w:val="2A2A2A"/>
          <w:sz w:val="22"/>
          <w:szCs w:val="22"/>
        </w:rPr>
        <w:t>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14:paraId="759BD6E3" w14:textId="77777777" w:rsidR="00AF3D56" w:rsidRDefault="00000000">
      <w:pPr>
        <w:spacing w:before="200" w:after="60"/>
        <w:ind w:left="431"/>
      </w:pPr>
      <w:r>
        <w:rPr>
          <w:rFonts w:ascii="Courier New" w:eastAsia="Courier New" w:hAnsi="Courier New" w:cs="Courier New"/>
          <w:b/>
          <w:bCs/>
          <w:color w:val="2A2A2A"/>
          <w:sz w:val="18"/>
          <w:szCs w:val="18"/>
        </w:rPr>
        <w:t xml:space="preserve">§14.4  </w:t>
      </w:r>
      <w:r>
        <w:rPr>
          <w:rFonts w:ascii="Garamond" w:eastAsia="Garamond" w:hAnsi="Garamond" w:cs="Garamond"/>
          <w:i/>
          <w:iCs/>
          <w:color w:val="1B2A4A"/>
          <w:sz w:val="22"/>
          <w:szCs w:val="22"/>
        </w:rPr>
        <w:t>Treaty-Based Military Authorization</w:t>
      </w:r>
    </w:p>
    <w:p w14:paraId="768FBD7E" w14:textId="77777777" w:rsidR="00AF3D56" w:rsidRDefault="00000000">
      <w:pPr>
        <w:spacing w:after="120"/>
        <w:ind w:left="431"/>
        <w:jc w:val="both"/>
      </w:pPr>
      <w:r>
        <w:rPr>
          <w:rFonts w:ascii="Garamond" w:eastAsia="Garamond" w:hAnsi="Garamond" w:cs="Garamond"/>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w:t>
        <w:lastRenderedPageBreak/>
        <w:t>authorization, and the action proceeds under the ordinary terms of this Article from that point. Absent an affirmative vote within the 30-day period, §14.2’s expiration and wind-down provisions apply.</w:t>
      </w:r>
    </w:p>
    <w:p w14:paraId="036594B8"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 — Territorial Structure and Statehood</w:t>
      </w:r>
    </w:p>
    <w:p w14:paraId="6B0719C1" w14:textId="77777777" w:rsidR="00AF3D56" w:rsidRDefault="00000000">
      <w:pPr>
        <w:spacing w:before="200" w:after="60"/>
        <w:ind w:left="431"/>
      </w:pPr>
      <w:r>
        <w:rPr>
          <w:rFonts w:ascii="Courier New" w:eastAsia="Courier New" w:hAnsi="Courier New" w:cs="Courier New"/>
          <w:b/>
          <w:bCs/>
          <w:color w:val="2A2A2A"/>
          <w:sz w:val="18"/>
          <w:szCs w:val="18"/>
        </w:rPr>
        <w:t xml:space="preserve">§15.1  </w:t>
      </w:r>
      <w:r>
        <w:rPr>
          <w:rFonts w:ascii="Garamond" w:eastAsia="Garamond" w:hAnsi="Garamond" w:cs="Garamond"/>
          <w:i/>
          <w:iCs/>
          <w:color w:val="1B2A4A"/>
          <w:sz w:val="22"/>
          <w:szCs w:val="22"/>
        </w:rPr>
        <w:t>Territorial Compact</w:t>
      </w:r>
    </w:p>
    <w:p w14:paraId="0A73E2D3" w14:textId="77777777" w:rsidR="00AF3D56" w:rsidRDefault="00000000">
      <w:pPr>
        <w:spacing w:after="120"/>
        <w:ind w:left="431"/>
        <w:jc w:val="both"/>
      </w:pPr>
      <w:r>
        <w:rPr>
          <w:rFonts w:ascii="Garamond" w:eastAsia="Garamond" w:hAnsi="Garamond" w:cs="Garamond"/>
          <w:color w:val="2A2A2A"/>
          <w:sz w:val="22"/>
          <w:szCs w:val="22"/>
        </w:rPr>
        <w:t>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14:paraId="2D3E4F01" w14:textId="77777777" w:rsidR="00AF3D56" w:rsidRDefault="00000000">
      <w:pPr>
        <w:spacing w:before="200" w:after="60"/>
        <w:ind w:left="431"/>
      </w:pPr>
      <w:r>
        <w:rPr>
          <w:rFonts w:ascii="Courier New" w:eastAsia="Courier New" w:hAnsi="Courier New" w:cs="Courier New"/>
          <w:b/>
          <w:bCs/>
          <w:color w:val="2A2A2A"/>
          <w:sz w:val="18"/>
          <w:szCs w:val="18"/>
        </w:rPr>
        <w:t xml:space="preserve">§15.1.a  </w:t>
      </w:r>
      <w:r>
        <w:rPr>
          <w:rFonts w:ascii="Garamond" w:eastAsia="Garamond" w:hAnsi="Garamond" w:cs="Garamond"/>
          <w:i/>
          <w:iCs/>
          <w:color w:val="1B2A4A"/>
          <w:sz w:val="22"/>
          <w:szCs w:val="22"/>
        </w:rPr>
        <w:t>Provisional Status</w:t>
      </w:r>
    </w:p>
    <w:p w14:paraId="2D3E4F02" w14:textId="77777777" w:rsidR="00AF3D56" w:rsidRDefault="00000000">
      <w:pPr>
        <w:spacing w:after="120"/>
        <w:ind w:left="431"/>
        <w:jc w:val="both"/>
      </w:pPr>
      <w:r>
        <w:rPr>
          <w:rFonts w:ascii="Garamond" w:eastAsia="Garamond" w:hAnsi="Garamond" w:cs="Garamond"/>
          <w:color w:val="2A2A2A"/>
          <w:sz w:val="22"/>
          <w:szCs w:val="22"/>
        </w:rPr>
        <w:t>Provisional status is the intermediate constitutional stage between Territory and full State. A jurisdiction in Provisional status retains full self-governing authority — its legislature, executive, courts, administrative functions, State-level electoral processes, social state access, and Article I protections continue without interruption. No federal Senate elections may be held for a jurisdiction in Provisional status; sitting senators complete their current terms; Senate seats are not filled upon expiry during Provisional status. Full Statehood takes effect automatically and immediately upon publication of a second consecutive clean Statehood Audit finding while in Provisional status to the NRS; no additional vote, legislative act, or executive confirmation is required. Further rules governing transition support, fiscal coordination, and administrative assistance during Provisional status are defined by statute.</w:t>
      </w:r>
    </w:p>
    <w:p w14:paraId="1AD166BC" w14:textId="77777777" w:rsidR="00AF3D56" w:rsidRDefault="00000000">
      <w:pPr>
        <w:spacing w:before="200" w:after="60"/>
        <w:ind w:left="431"/>
      </w:pPr>
      <w:r>
        <w:rPr>
          <w:rFonts w:ascii="Courier New" w:eastAsia="Courier New" w:hAnsi="Courier New" w:cs="Courier New"/>
          <w:b/>
          <w:bCs/>
          <w:color w:val="2A2A2A"/>
          <w:sz w:val="18"/>
          <w:szCs w:val="18"/>
        </w:rPr>
        <w:t xml:space="preserve">§15.2  </w:t>
      </w:r>
      <w:r>
        <w:rPr>
          <w:rFonts w:ascii="Garamond" w:eastAsia="Garamond" w:hAnsi="Garamond" w:cs="Garamond"/>
          <w:i/>
          <w:iCs/>
          <w:color w:val="1B2A4A"/>
          <w:sz w:val="22"/>
          <w:szCs w:val="22"/>
        </w:rPr>
        <w:t>The Statehood Audit</w:t>
      </w:r>
    </w:p>
    <w:p w14:paraId="6E5F08F8" w14:textId="77777777" w:rsidR="00AF3D56" w:rsidRDefault="00000000">
      <w:pPr>
        <w:spacing w:after="120"/>
        <w:ind w:left="431"/>
        <w:jc w:val="both"/>
      </w:pPr>
      <w:r>
        <w:rPr>
          <w:rFonts w:ascii="Garamond" w:eastAsia="Garamond" w:hAnsi="Garamond" w:cs="Garamond"/>
          <w:color w:val="2A2A2A"/>
          <w:sz w:val="22"/>
          <w:szCs w:val="22"/>
        </w:rPr>
        <w:t>The pathway from Territory to State proceeds through Provisional status under §15.1.a upon passing the Statehood Audit — no political vote is required. The JMC administers the Statehood Audit; the Legislature defines audit components, methodology, and resubmission timelines by statute, subject to 2/3 majority of both chambers. A jurisdiction that fails receives specific published findings and may resubmit after addressing the failures. Upon passing, the Territory enters Provisional status immediately. Every State must maintain three ongoing conditions: functioning electoral processes, basic rule of law and judicial function, and Article I rights compliance; annual audit verifies continued compliance.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14:paraId="4EE807A8" w14:textId="77777777" w:rsidR="00AF3D56" w:rsidRDefault="00000000">
      <w:pPr>
        <w:spacing w:before="200" w:after="60"/>
        <w:ind w:left="431"/>
      </w:pPr>
      <w:r>
        <w:rPr>
          <w:rFonts w:ascii="Courier New" w:eastAsia="Courier New" w:hAnsi="Courier New" w:cs="Courier New"/>
          <w:b/>
          <w:bCs/>
          <w:color w:val="2A2A2A"/>
          <w:sz w:val="18"/>
          <w:szCs w:val="18"/>
        </w:rPr>
        <w:t xml:space="preserve">§15.3  </w:t>
      </w:r>
      <w:r>
        <w:rPr>
          <w:rFonts w:ascii="Garamond" w:eastAsia="Garamond" w:hAnsi="Garamond" w:cs="Garamond"/>
          <w:i/>
          <w:iCs/>
          <w:color w:val="1B2A4A"/>
          <w:sz w:val="22"/>
          <w:szCs w:val="22"/>
        </w:rPr>
        <w:t>Mandatory Devolution</w:t>
      </w:r>
    </w:p>
    <w:p>
      <w:pPr>
        <w:spacing w:after="120"/>
        <w:ind w:left="431"/>
        <w:jc w:val="both"/>
      </w:pPr>
      <w:r>
        <w:rPr>
          <w:rFonts w:ascii="Garamond" w:eastAsia="Garamond" w:hAnsi="Garamond" w:cs="Garamond"/>
          <w:color w:val="2A2A2A"/>
          <w:sz w:val="22"/>
          <w:szCs w:val="22"/>
        </w:rPr>
        <w:t xml:space="preserve">(1) A State enters Mandatory Devolution upon three consecutive annual Statehood Audit findings of failure published by the JMC.</w:t>
      </w:r>
    </w:p>
    <w:p>
      <w:pPr>
        <w:spacing w:after="120"/>
        <w:ind w:left="431"/>
        <w:jc w:val="both"/>
      </w:pPr>
      <w:r>
        <w:rPr>
          <w:rFonts w:ascii="Garamond" w:eastAsia="Garamond" w:hAnsi="Garamond" w:cs="Garamond"/>
          <w:color w:val="2A2A2A"/>
          <w:sz w:val="22"/>
          <w:szCs w:val="22"/>
        </w:rPr>
        <w:t xml:space="preserve">(2) After each failing audit, the JMC publishes an Early Warning specifying compliance requirements; the State must publish a Remediation Plan within the period defined by statute. Upon three consecutive failures, the State enters Provisional status under §15.1.a.</w:t>
      </w:r>
    </w:p>
    <w:p>
      <w:pPr>
        <w:spacing w:after="120"/>
        <w:ind w:left="431"/>
        <w:jc w:val="both"/>
      </w:pPr>
      <w:r>
        <w:rPr>
          <w:rFonts w:ascii="Garamond" w:eastAsia="Garamond" w:hAnsi="Garamond" w:cs="Garamond"/>
          <w:color w:val="2A2A2A"/>
          <w:sz w:val="22"/>
          <w:szCs w:val="22"/>
        </w:rPr>
        <w:t xml:space="preserve">(3) A Provisional Audit Council activates upon a State entering Provisional status under this section. The Council comprises two officers appointed by the Civic Consul through the standard executive officer appointment process and two delegates appointed by the State legislature; appointments may be changed through the same process by which they were made.</w:t>
      </w:r>
    </w:p>
    <w:p>
      <w:pPr>
        <w:spacing w:after="120"/>
        <w:ind w:left="431"/>
        <w:jc w:val="both"/>
      </w:pPr>
      <w:r>
        <w:rPr>
          <w:rFonts w:ascii="Garamond" w:eastAsia="Garamond" w:hAnsi="Garamond" w:cs="Garamond"/>
          <w:color w:val="2A2A2A"/>
          <w:sz w:val="22"/>
          <w:szCs w:val="22"/>
        </w:rPr>
        <w:t xml:space="preserve">(4) The Council reviews audit findings, proposes remediation plans, and publishes its findings and recommendations to the NRS; the State must publish a formal response within the period defined by statute; the form of response and preparation process are defined by statute. The Council is advisory only — the State legislature retains full legislative authority over all remediation decisions. The Council dissolves automatically upon Statehood restoration.</w:t>
      </w:r>
    </w:p>
    <w:p>
      <w:pPr>
        <w:spacing w:after="120"/>
        <w:ind w:left="431"/>
        <w:jc w:val="both"/>
      </w:pPr>
      <w:r>
        <w:rPr>
          <w:rFonts w:ascii="Garamond" w:eastAsia="Garamond" w:hAnsi="Garamond" w:cs="Garamond"/>
          <w:color w:val="2A2A2A"/>
          <w:sz w:val="22"/>
          <w:szCs w:val="22"/>
        </w:rPr>
        <w:t xml:space="preserve">(5) Upon entering Provisional status under this section, the Elections Panel administers a citizen vote on the principle of pursuing devolution on the same terms as §15.4's voluntary process; upon each subsequent annual audit failure while in Provisional status and no §15.4 negotiation is actively underway following a prior affirmative vote under this section, the Elections Panel administers another citizen vote on the same terms.</w:t>
      </w:r>
    </w:p>
    <w:p>
      <w:pPr>
        <w:spacing w:after="120"/>
        <w:ind w:left="431"/>
        <w:jc w:val="both"/>
      </w:pPr>
      <w:r>
        <w:rPr>
          <w:rFonts w:ascii="Garamond" w:eastAsia="Garamond" w:hAnsi="Garamond" w:cs="Garamond"/>
          <w:color w:val="2A2A2A"/>
          <w:sz w:val="22"/>
          <w:szCs w:val="22"/>
        </w:rPr>
        <w:t xml:space="preserve">(6) An affirmative vote proceeds through negotiation and Senate ratification under §15.4; the State remains in Provisional status throughout that process; absent an affirmative vote, the State continues in Provisional status under this section.</w:t>
      </w:r>
    </w:p>
    <w:p>
      <w:pPr>
        <w:spacing w:after="120"/>
        <w:ind w:left="431"/>
        <w:jc w:val="both"/>
      </w:pPr>
      <w:r>
        <w:rPr>
          <w:rFonts w:ascii="Garamond" w:eastAsia="Garamond" w:hAnsi="Garamond" w:cs="Garamond"/>
          <w:color w:val="2A2A2A"/>
          <w:sz w:val="22"/>
          <w:szCs w:val="22"/>
        </w:rPr>
        <w:t xml:space="preserve">(7) Within 30 days of entering Provisional status under this section, the State may petition the courts on the sole ground that the audit findings are factually insufficient to establish three consecutive failures; the court reviews only the factual basis; process and timeline are defined by statute.</w:t>
      </w:r>
    </w:p>
    <w:p w14:paraId="173529F2" w14:textId="77777777" w:rsidR="00AF3D56" w:rsidRDefault="00000000">
      <w:pPr>
        <w:spacing w:before="200" w:after="60"/>
        <w:ind w:left="431"/>
      </w:pPr>
      <w:r>
        <w:rPr>
          <w:rFonts w:ascii="Courier New" w:eastAsia="Courier New" w:hAnsi="Courier New" w:cs="Courier New"/>
          <w:b/>
          <w:bCs/>
          <w:color w:val="2A2A2A"/>
          <w:sz w:val="18"/>
          <w:szCs w:val="18"/>
        </w:rPr>
        <w:t xml:space="preserve">§15.4  </w:t>
      </w:r>
      <w:r>
        <w:rPr>
          <w:rFonts w:ascii="Garamond" w:eastAsia="Garamond" w:hAnsi="Garamond" w:cs="Garamond"/>
          <w:i/>
          <w:iCs/>
          <w:color w:val="1B2A4A"/>
          <w:sz w:val="22"/>
          <w:szCs w:val="22"/>
        </w:rPr>
        <w:t>Voluntary Devolution and Merger</w:t>
      </w:r>
    </w:p>
    <w:p w14:paraId="6D96E42E" w14:textId="77777777" w:rsidR="00AF3D56" w:rsidRDefault="00000000">
      <w:pPr>
        <w:spacing w:after="120"/>
        <w:ind w:left="431"/>
        <w:jc w:val="both"/>
      </w:pPr>
      <w:r>
        <w:rPr>
          <w:rFonts w:ascii="Garamond" w:eastAsia="Garamond" w:hAnsi="Garamond" w:cs="Garamond"/>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w:t>
        <w:lastRenderedPageBreak/>
        <w:t>Senate approval by 2/3 majority. The agreement specifies asset and liability allocation, transition timeline, constitutional status of successor jurisdictions, fiscal obligations to the Republic, and continuing obligations; it is published to the NRS and legally binding. Where devolution is initiated under this section without prior entry into Provisional status under §15.3, the State retains full State status — including Senate representation — throughout; State status is unchanged unless and until the restructuring agreement takes effect upon Senate ratification.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120"/>
        <w:ind w:left="431"/>
        <w:jc w:val="both"/>
      </w:pPr>
      <w:r>
        <w:rPr>
          <w:rFonts w:ascii="Garamond" w:eastAsia="Garamond" w:hAnsi="Garamond" w:cs="Garamond"/>
          <w:color w:val="2A2A2A"/>
          <w:sz w:val="22"/>
          <w:szCs w:val="22"/>
        </w:rPr>
        <w:t xml:space="preserve">A referendum under this section for a defined portion of a Territory is triggered by a petition signed by at least 25% of the eligible voters within the defined portion, authenticated through the NVS using Citizen Voting Credentials, and certified by the Elections Panel.</w:t>
      </w:r>
    </w:p>
    <w:p>
      <w:pPr>
        <w:spacing w:after="120"/>
        <w:ind w:left="431"/>
        <w:jc w:val="both"/>
      </w:pPr>
      <w:r>
        <w:rPr>
          <w:rFonts w:ascii="Garamond" w:eastAsia="Garamond" w:hAnsi="Garamond" w:cs="Garamond"/>
          <w:color w:val="2A2A2A"/>
          <w:sz w:val="22"/>
          <w:szCs w:val="22"/>
        </w:rPr>
        <w:t xml:space="preserve">Following certification of any referendum under this section, any party with standing has 30 days to file a legal challenge to the process or result. Where no challenge is filed, or upon resolution of a challenge that is filed, the window closes and the next step proceeds; a certified result may not be challenged on the same grounds once the window closes.</w:t>
      </w:r>
    </w:p>
    <w:p w14:paraId="50BCAC8D" w14:textId="77777777" w:rsidR="00AF3D56" w:rsidRDefault="00000000">
      <w:pPr>
        <w:spacing w:before="200" w:after="60"/>
        <w:ind w:left="431"/>
      </w:pPr>
      <w:r>
        <w:rPr>
          <w:rFonts w:ascii="Courier New" w:eastAsia="Courier New" w:hAnsi="Courier New" w:cs="Courier New"/>
          <w:b/>
          <w:bCs/>
          <w:color w:val="2A2A2A"/>
          <w:sz w:val="18"/>
          <w:szCs w:val="18"/>
        </w:rPr>
        <w:t xml:space="preserve">§15.5  </w:t>
      </w:r>
      <w:r>
        <w:rPr>
          <w:rFonts w:ascii="Garamond" w:eastAsia="Garamond" w:hAnsi="Garamond" w:cs="Garamond"/>
          <w:i/>
          <w:iCs/>
          <w:color w:val="1B2A4A"/>
          <w:sz w:val="22"/>
          <w:szCs w:val="22"/>
        </w:rPr>
        <w:t>Re-Qualification Pathway</w:t>
      </w:r>
    </w:p>
    <w:p w14:paraId="71347004" w14:textId="77777777" w:rsidR="00AF3D56" w:rsidRDefault="00000000">
      <w:pPr>
        <w:spacing w:after="120"/>
        <w:ind w:left="431"/>
        <w:jc w:val="both"/>
      </w:pPr>
      <w:r>
        <w:rPr>
          <w:rFonts w:ascii="Garamond" w:eastAsia="Garamond" w:hAnsi="Garamond" w:cs="Garamond"/>
          <w:color w:val="2A2A2A"/>
          <w:sz w:val="22"/>
          <w:szCs w:val="22"/>
        </w:rPr>
        <w:t>A Territory resulting from mandatory or voluntary devolution enters the §15.2 pathway immediately upon the effective date of devolution — no additional political vote is required. Where a defined geographic subdivision of the Territory separately achieves Statehood under §15.2 or merges with an existing State under §15.4, the remainder continues as Territory without interruption.</w:t>
      </w:r>
    </w:p>
    <w:p>
      <w:pPr>
        <w:spacing w:before="200" w:after="60"/>
        <w:ind w:left="431"/>
      </w:pPr>
      <w:r>
        <w:rPr>
          <w:rFonts w:ascii="Courier New" w:eastAsia="Courier New" w:hAnsi="Courier New" w:cs="Courier New"/>
          <w:b/>
          <w:bCs/>
          <w:color w:val="2A2A2A"/>
          <w:sz w:val="18"/>
          <w:szCs w:val="18"/>
        </w:rPr>
        <w:t xml:space="preserve">§15.5.a  </w:t>
      </w:r>
      <w:r>
        <w:rPr>
          <w:rFonts w:ascii="Garamond" w:eastAsia="Garamond" w:hAnsi="Garamond" w:cs="Garamond"/>
          <w:i/>
          <w:iCs/>
          <w:color w:val="1B2A4A"/>
          <w:sz w:val="22"/>
          <w:szCs w:val="22"/>
        </w:rPr>
        <w:t>Remainder Viability</w:t>
      </w:r>
    </w:p>
    <w:p>
      <w:pPr>
        <w:spacing w:after="120"/>
        <w:ind w:left="431"/>
        <w:jc w:val="both"/>
      </w:pPr>
      <w:r>
        <w:rPr>
          <w:rFonts w:ascii="Garamond" w:eastAsia="Garamond" w:hAnsi="Garamond" w:cs="Garamond"/>
          <w:color w:val="2A2A2A"/>
          <w:sz w:val="22"/>
          <w:szCs w:val="22"/>
        </w:rPr>
        <w:t xml:space="preserve">(1) Where two or more petitions under §15.4 or §15.2 affecting different defined portions of the same Territory are certified within 90 days of one another, subsections (2) and (3) do not apply to any of them; all such petitions are addressed together under subsection (4).</w:t>
      </w:r>
    </w:p>
    <w:p>
      <w:pPr>
        <w:spacing w:after="120"/>
        <w:ind w:left="431"/>
        <w:jc w:val="both"/>
      </w:pPr>
      <w:r>
        <w:rPr>
          <w:rFonts w:ascii="Garamond" w:eastAsia="Garamond" w:hAnsi="Garamond" w:cs="Garamond"/>
          <w:color w:val="2A2A2A"/>
          <w:sz w:val="22"/>
          <w:szCs w:val="22"/>
        </w:rPr>
        <w:t xml:space="preserve">(2) Where subsection (1) does not apply: before any referendum is held under §15.4, or before a defined geographic subdivision of a Territory may petition for Statehood under §15.2, the JMC must, within 90 days of petition certification, assess whether the Territory's remaining portion could realistically satisfy the conditions of the §15.2 Statehood Audit on its own administrative and economic resources, and publish its assessment to the NRS before the referendum or petition proceeds. The JMC may extend this period once, by up to 30 additional days, upon publishing to the NRS a justification for the extension and a specified date by which the assessment will be completed. Where the JMC does not publish its assessment within the period established by this subsection, including any extension, each member of the JMC has 7 days to cast an individual vote on whether the remaining portion could realistically satisfy those conditions, publishing the result to the NRS. The outcome is decided by a majority of votes actually cast; a member who does not cast a vote within that period is treated as abstaining. Where the vote does not produce a majority determination that the remaining portion could realistically satisfy those conditions — including where all three members abstain — the remaining portion is treated as not satisfying them.</w:t>
      </w:r>
    </w:p>
    <w:p>
      <w:pPr>
        <w:spacing w:after="120"/>
        <w:ind w:left="431"/>
        <w:jc w:val="both"/>
      </w:pPr>
      <w:r>
        <w:rPr>
          <w:rFonts w:ascii="Garamond" w:eastAsia="Garamond" w:hAnsi="Garamond" w:cs="Garamond"/>
          <w:color w:val="2A2A2A"/>
          <w:sz w:val="22"/>
          <w:szCs w:val="22"/>
        </w:rPr>
        <w:t xml:space="preserve">(3) Where the JMC finds the remaining portion could realistically satisfy those conditions, the underlying referendum or Statehood certification proceeds without further condition under this section.</w:t>
      </w:r>
    </w:p>
    <w:p>
      <w:pPr>
        <w:spacing w:after="120"/>
        <w:ind w:left="431"/>
        <w:jc w:val="both"/>
      </w:pPr>
      <w:r>
        <w:rPr>
          <w:rFonts w:ascii="Garamond" w:eastAsia="Garamond" w:hAnsi="Garamond" w:cs="Garamond"/>
          <w:color w:val="2A2A2A"/>
          <w:sz w:val="22"/>
          <w:szCs w:val="22"/>
        </w:rPr>
        <w:t xml:space="preserve">(4) Where subsection (1) applies, or where the JMC under subsection (2) finds the remaining portion could not realistically satisfy those conditions, the underlying referendum(s) or Statehood certification(s) do not proceed. The Civic Consul convenes a Territory Convention, composed of the Assembly members representing districts within the Territory, to determine a proposed resolution addressing all affected portions together. The Convention has 90 days from its first session to produce a proposed resolution. Where no resolution is produced within that period, all petitions addressed under this subsection lapse together and the Territory continues undivided. None of the lapsed petitions may be reinitiated under substantially the same geographic scope for three years. This Constitution does not prescribe the Convention's terms. Any resolution the Convention produces must be ratified by referendum of the eligible voters it affects, and proceeds under the applicable process of §15.2 or §15.4, including any approval, audit, or ratification steps those sections otherwise require.</w:t>
      </w:r>
    </w:p>
    <w:p w14:paraId="03BA3EA5" w14:textId="77777777" w:rsidR="00AF3D56" w:rsidRDefault="00000000">
      <w:pPr>
        <w:spacing w:before="200" w:after="60"/>
        <w:ind w:left="431"/>
      </w:pPr>
      <w:r>
        <w:rPr>
          <w:rFonts w:ascii="Courier New" w:eastAsia="Courier New" w:hAnsi="Courier New" w:cs="Courier New"/>
          <w:b/>
          <w:bCs/>
          <w:color w:val="2A2A2A"/>
          <w:sz w:val="18"/>
          <w:szCs w:val="18"/>
        </w:rPr>
        <w:t xml:space="preserve">§15.6  </w:t>
      </w:r>
      <w:r>
        <w:rPr>
          <w:rFonts w:ascii="Garamond" w:eastAsia="Garamond" w:hAnsi="Garamond" w:cs="Garamond"/>
          <w:i/>
          <w:iCs/>
          <w:color w:val="1B2A4A"/>
          <w:sz w:val="22"/>
          <w:szCs w:val="22"/>
        </w:rPr>
        <w:t>Voluntary Incorporation</w:t>
      </w:r>
    </w:p>
    <w:p w14:paraId="1B01F6B7" w14:textId="77777777" w:rsidR="00AF3D56" w:rsidRDefault="00000000">
      <w:pPr>
        <w:spacing w:after="120"/>
        <w:ind w:left="431"/>
        <w:jc w:val="both"/>
      </w:pPr>
      <w:r>
        <w:rPr>
          <w:rFonts w:ascii="Garamond" w:eastAsia="Garamond" w:hAnsi="Garamond" w:cs="Garamond"/>
          <w:color w:val="2A2A2A"/>
          <w:sz w:val="22"/>
          <w:szCs w:val="22"/>
        </w:rPr>
        <w:t>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§1.19.a before that ratification vote; published JM findings must be given due consideration. Any person with standing may challenge the incorporation before the SC on the ground that the entity systematically violates §1.19.a. No constitutional officer may condition treaty obligations, trade relations, military cooperation, or foreign aid on any entity's decision to initiate or advance this process. During the Transition Window, a recognized indigenous nation proceeds under §16.2; thereafter, a recognized indigenous nation holding Associated Community status petitions under this provision as a sovereign entity.</w:t>
      </w:r>
    </w:p>
    <w:p w14:paraId="35629BDB" w14:textId="77777777" w:rsidR="00AF3D56" w:rsidRDefault="00000000">
      <w:pPr>
        <w:spacing w:before="200" w:after="60"/>
        <w:ind w:left="431"/>
      </w:pPr>
      <w:r>
        <w:rPr>
          <w:rFonts w:ascii="Courier New" w:eastAsia="Courier New" w:hAnsi="Courier New" w:cs="Courier New"/>
          <w:b/>
          <w:bCs/>
          <w:color w:val="2A2A2A"/>
          <w:sz w:val="18"/>
          <w:szCs w:val="18"/>
        </w:rPr>
        <w:t xml:space="preserve">§15.7  </w:t>
      </w:r>
      <w:r>
        <w:rPr>
          <w:rFonts w:ascii="Garamond" w:eastAsia="Garamond" w:hAnsi="Garamond" w:cs="Garamond"/>
          <w:i/>
          <w:iCs/>
          <w:color w:val="1B2A4A"/>
          <w:sz w:val="22"/>
          <w:szCs w:val="22"/>
        </w:rPr>
        <w:t>State Immutability and Territorial Integrity</w:t>
      </w:r>
    </w:p>
    <w:p w14:paraId="2301DE14" w14:textId="77777777" w:rsidR="00AF3D56" w:rsidRDefault="00000000">
      <w:pPr>
        <w:spacing w:after="120"/>
        <w:ind w:left="431"/>
        <w:jc w:val="both"/>
      </w:pPr>
      <w:r>
        <w:rPr>
          <w:rFonts w:ascii="Garamond" w:eastAsia="Garamond" w:hAnsi="Garamond" w:cs="Garamond"/>
          <w:color w:val="2A2A2A"/>
          <w:sz w:val="22"/>
          <w:szCs w:val="22"/>
        </w:rPr>
        <w:t>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founding status election under §16.2 constitutes the consent mechanism required by this section for indigenous territorial transitions effected during the Transition Window; no additional Popular Ratification is required. Recognition under §16.4 effects no territorial change; post-founding indigenous territorial transitions proceed under Article XVII. A completed process under §15.9, including its national referendum, constitutes the consent mechanism required by this section; no additional amendment or Popular Ratification is required.</w:t>
      </w:r>
    </w:p>
    <w:p w14:paraId="19B15D9D" w14:textId="77777777" w:rsidR="00AF3D56" w:rsidRDefault="00000000">
      <w:pPr>
        <w:spacing w:before="200" w:after="60"/>
        <w:ind w:left="431"/>
      </w:pPr>
      <w:r>
        <w:rPr>
          <w:rFonts w:ascii="Courier New" w:eastAsia="Courier New" w:hAnsi="Courier New" w:cs="Courier New"/>
          <w:b/>
          <w:bCs/>
          <w:color w:val="2A2A2A"/>
          <w:sz w:val="18"/>
          <w:szCs w:val="18"/>
        </w:rPr>
        <w:t xml:space="preserve">§15.8  </w:t>
      </w:r>
      <w:r>
        <w:rPr>
          <w:rFonts w:ascii="Garamond" w:eastAsia="Garamond" w:hAnsi="Garamond" w:cs="Garamond"/>
          <w:i/>
          <w:iCs/>
          <w:color w:val="1B2A4A"/>
          <w:sz w:val="22"/>
          <w:szCs w:val="22"/>
        </w:rPr>
        <w:t>Local Government</w:t>
      </w:r>
    </w:p>
    <w:p w14:paraId="44611A4A" w14:textId="77777777" w:rsidR="00AF3D56" w:rsidRDefault="00000000">
      <w:pPr>
        <w:spacing w:after="120"/>
        <w:ind w:left="431"/>
        <w:jc w:val="both"/>
      </w:pPr>
      <w:r>
        <w:rPr>
          <w:rFonts w:ascii="Garamond" w:eastAsia="Garamond" w:hAnsi="Garamond" w:cs="Garamond"/>
          <w:color w:val="2A2A2A"/>
          <w:sz w:val="22"/>
          <w:szCs w:val="22"/>
        </w:rPr>
        <w:t>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14:paraId="5C3A62F2" w14:textId="77777777" w:rsidR="00AF3D56" w:rsidRDefault="00000000">
      <w:pPr>
        <w:spacing w:before="200" w:after="60"/>
        <w:ind w:left="431"/>
      </w:pPr>
      <w:r>
        <w:rPr>
          <w:rFonts w:ascii="Courier New" w:eastAsia="Courier New" w:hAnsi="Courier New" w:cs="Courier New"/>
          <w:b/>
          <w:bCs/>
          <w:color w:val="2A2A2A"/>
          <w:sz w:val="18"/>
          <w:szCs w:val="18"/>
        </w:rPr>
        <w:t xml:space="preserve">§15.9  </w:t>
      </w:r>
      <w:r>
        <w:rPr>
          <w:rFonts w:ascii="Garamond" w:eastAsia="Garamond" w:hAnsi="Garamond" w:cs="Garamond"/>
          <w:i/>
          <w:iCs/>
          <w:color w:val="1B2A4A"/>
          <w:sz w:val="22"/>
          <w:szCs w:val="22"/>
        </w:rPr>
        <w:t>Voluntary State Independence</w:t>
      </w:r>
    </w:p>
    <w:p>
      <w:pPr>
        <w:spacing w:after="120"/>
        <w:ind w:left="431"/>
        <w:jc w:val="both"/>
      </w:pPr>
      <w:r>
        <w:rPr>
          <w:rFonts w:ascii="Garamond" w:eastAsia="Garamond" w:hAnsi="Garamond" w:cs="Garamond"/>
          <w:color w:val="2A2A2A"/>
          <w:sz w:val="22"/>
          <w:szCs w:val="22"/>
        </w:rPr>
        <w:t xml:space="preserve">(1) A State may seek independence from the Republic through a three-stage process.</w:t>
      </w:r>
    </w:p>
    <w:p>
      <w:pPr>
        <w:spacing w:after="120"/>
        <w:ind w:left="431"/>
        <w:jc w:val="both"/>
      </w:pPr>
      <w:r>
        <w:rPr>
          <w:rFonts w:ascii="Garamond" w:eastAsia="Garamond" w:hAnsi="Garamond" w:cs="Garamond"/>
          <w:color w:val="2A2A2A"/>
          <w:sz w:val="22"/>
          <w:szCs w:val="22"/>
        </w:rPr>
        <w:t xml:space="preserve">(2)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w:t>
      </w:r>
    </w:p>
    <w:p>
      <w:pPr>
        <w:spacing w:after="120"/>
        <w:ind w:left="431"/>
        <w:jc w:val="both"/>
      </w:pPr>
      <w:r>
        <w:rPr>
          <w:rFonts w:ascii="Garamond" w:eastAsia="Garamond" w:hAnsi="Garamond" w:cs="Garamond"/>
          <w:color w:val="2A2A2A"/>
          <w:sz w:val="22"/>
          <w:szCs w:val="22"/>
        </w:rPr>
        <w:t xml:space="preserve">(3) Upon certification of the referendum result, the Elections Panel publishes the independence petition to the NRS; the petition may not be withdrawn by the State while the process continues.</w:t>
      </w:r>
    </w:p>
    <w:p>
      <w:pPr>
        <w:spacing w:after="120"/>
        <w:ind w:left="431"/>
        <w:jc w:val="both"/>
      </w:pPr>
      <w:r>
        <w:rPr>
          <w:rFonts w:ascii="Garamond" w:eastAsia="Garamond" w:hAnsi="Garamond" w:cs="Garamond"/>
          <w:color w:val="2A2A2A"/>
          <w:sz w:val="22"/>
          <w:szCs w:val="22"/>
        </w:rPr>
        <w:t xml:space="preserve">(4) The Republic may not prefer, discourage, or offer inducements toward any independence petition or referendum; the Republic must provide factual information about the process upon request.</w:t>
      </w:r>
    </w:p>
    <w:p>
      <w:pPr>
        <w:spacing w:after="120"/>
        <w:ind w:left="431"/>
        <w:jc w:val="both"/>
      </w:pPr>
      <w:r>
        <w:rPr>
          <w:rFonts w:ascii="Garamond" w:eastAsia="Garamond" w:hAnsi="Garamond" w:cs="Garamond"/>
          <w:color w:val="2A2A2A"/>
          <w:sz w:val="22"/>
          <w:szCs w:val="22"/>
        </w:rPr>
        <w:t xml:space="preserve">(5) Stage Two requires both chambers to hold a concurrent ratification vote within 90 days of NRS publication; Assembly members elected from districts within the petitioning State and senators elected from the petitioning State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w:t>
      </w:r>
    </w:p>
    <w:p>
      <w:pPr>
        <w:spacing w:after="120"/>
        <w:ind w:left="431"/>
        <w:jc w:val="both"/>
      </w:pPr>
      <w:r>
        <w:rPr>
          <w:rFonts w:ascii="Garamond" w:eastAsia="Garamond" w:hAnsi="Garamond" w:cs="Garamond"/>
          <w:color w:val="2A2A2A"/>
          <w:sz w:val="22"/>
          <w:szCs w:val="22"/>
        </w:rPr>
        <w:t xml:space="preserve">(6) Stage Three requires a national referendum administered by the Elections Panel within 180 days of the Stage Two vote, in which all eligible voters of the Republic — including those of the petitioning State — participate; independence is approved by 60% of votes cast under §7.2 with a minimum 50% citizen participation. Where the referendum fails, the petition lapses and the State may reinitiate Stage One without restriction.</w:t>
      </w:r>
    </w:p>
    <w:p>
      <w:pPr>
        <w:spacing w:after="120"/>
        <w:ind w:left="431"/>
        <w:jc w:val="both"/>
      </w:pPr>
      <w:r>
        <w:rPr>
          <w:rFonts w:ascii="Garamond" w:eastAsia="Garamond" w:hAnsi="Garamond" w:cs="Garamond"/>
          <w:color w:val="2A2A2A"/>
          <w:sz w:val="22"/>
          <w:szCs w:val="22"/>
        </w:rPr>
        <w:t xml:space="preserve">(7) Upon certification of an affirmative Stage Three result, the State and the Legislature negotiate a separation agreement specifying asset and liability allocation, borders, transition timeline, fiscal obligations, and continuing obligations, ratified by the Senate by 2/3 of full seated membership and published to the NRS; independence takes effect on the date the agreement specifies.</w:t>
      </w:r>
    </w:p>
    <w:p w14:paraId="6A68E2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 — Indigenous Sovereignty</w:t>
      </w:r>
    </w:p>
    <w:p w:rsidR="00AF3D56" w:rsidRDefault="00000000">
      <w:pPr>
        <w:spacing w:before="200" w:after="60"/>
        <w:ind w:left="431"/>
      </w:pPr>
      <w:r>
        <w:rPr>
          <w:rFonts w:ascii="Courier New" w:eastAsia="Courier New" w:hAnsi="Courier New" w:cs="Courier New"/>
          <w:b/>
          <w:bCs/>
          <w:color w:val="2A2A2A"/>
          <w:sz w:val="18"/>
          <w:szCs w:val="18"/>
        </w:rPr>
        <w:t xml:space="preserve">§16.1  </w:t>
      </w:r>
      <w:r>
        <w:rPr>
          <w:rFonts w:ascii="Garamond" w:eastAsia="Garamond" w:hAnsi="Garamond" w:cs="Garamond"/>
          <w:i/>
          <w:iCs/>
          <w:color w:val="1B2A4A"/>
          <w:sz w:val="22"/>
          <w:szCs w:val="22"/>
        </w:rPr>
        <w:t>Acknowledgment of Prior Sovereignty and Recognition</w:t>
      </w:r>
    </w:p>
    <w:p w:rsidR="00AF3D56" w:rsidRDefault="00000000">
      <w:pPr>
        <w:spacing w:after="120"/>
        <w:ind w:left="431"/>
        <w:jc w:val="both"/>
      </w:pPr>
      <w:r>
        <w:rPr>
          <w:rFonts w:ascii="Garamond" w:eastAsia="Garamond" w:hAnsi="Garamond" w:cs="Garamond"/>
          <w:color w:val="2A2A2A"/>
          <w:sz w:val="22"/>
          <w:szCs w:val="22"/>
        </w:rPr>
        <w:t>Indigenous Nations hold sovereignty that precedes the Republic. This sovereignty is acknowledged, not granted — the Republic's constitutional framework does not create it and may not extinguish it. The Republic deals with recognized indigenous nations as sovereign nations. A recognized indigenous nation, wherever that term appears in this Constitution, means a nation that, as of Day Zero, held a treaty with, a compact with, or formal recognition from a predecessor government, or a nation recognized under §16.4. The joint Monitor panel under §19.3 compiles the founding register of recognized nations from the predecessor record and publishes it to the NRS before the close of Phase 1; compilation is ministerial and applies the predecessor record as it stands. A nation omitted from the founding register may appeal to the SC within the period defined by statute on the sole ground that the predecessor record was misapplied. Recognition confers no territorial rights of itself; no act of recognition alters the Article I rights, citizenship, property, or residency of any person.</w:t>
      </w:r>
    </w:p>
    <w:p w:rsidR="00AF3D56" w:rsidRDefault="00000000">
      <w:pPr>
        <w:spacing w:before="200" w:after="60"/>
        <w:ind w:left="431"/>
      </w:pPr>
      <w:r>
        <w:rPr>
          <w:rFonts w:ascii="Courier New" w:eastAsia="Courier New" w:hAnsi="Courier New" w:cs="Courier New"/>
          <w:b/>
          <w:bCs/>
          <w:color w:val="2A2A2A"/>
          <w:sz w:val="18"/>
          <w:szCs w:val="18"/>
        </w:rPr>
        <w:t xml:space="preserve">§16.2  </w:t>
      </w:r>
      <w:r>
        <w:rPr>
          <w:rFonts w:ascii="Garamond" w:eastAsia="Garamond" w:hAnsi="Garamond" w:cs="Garamond"/>
          <w:i/>
          <w:iCs/>
          <w:color w:val="1B2A4A"/>
          <w:sz w:val="22"/>
          <w:szCs w:val="22"/>
        </w:rPr>
        <w:t>Founding Status Election</w:t>
      </w:r>
    </w:p>
    <w:p>
      <w:pPr>
        <w:spacing w:after="120"/>
        <w:ind w:left="431"/>
        <w:jc w:val="both"/>
      </w:pPr>
      <w:r>
        <w:rPr>
          <w:rFonts w:ascii="Garamond" w:eastAsia="Garamond" w:hAnsi="Garamond" w:cs="Garamond"/>
          <w:color w:val="2A2A2A"/>
          <w:sz w:val="22"/>
          <w:szCs w:val="22"/>
        </w:rPr>
        <w:t xml:space="preserve">(1) At ratification, the Republic formally notifies every nation on the founding register of its rights under this section; notification is published to the NRS.</w:t>
      </w:r>
    </w:p>
    <w:p>
      <w:pPr>
        <w:spacing w:after="120"/>
        <w:ind w:left="431"/>
        <w:jc w:val="both"/>
      </w:pPr>
      <w:r>
        <w:rPr>
          <w:rFonts w:ascii="Garamond" w:eastAsia="Garamond" w:hAnsi="Garamond" w:cs="Garamond"/>
          <w:color w:val="2A2A2A"/>
          <w:sz w:val="22"/>
          <w:szCs w:val="22"/>
        </w:rPr>
        <w:t xml:space="preserve">(2) From Day Zero until the close of the Transition Window under §19.2, each recognized nation may elect, by its own democratic or traditional governance process meeting the standards the nation itself defines for major governance decisions, one of the following statuses, published to the NRS: (a) Associated Community — the nation proceeds as a sovereign nation in a compact relationship with the Republic under Article XX; (b) Territorial Integration — the nation enters the Republic as a Territory under §15.1, with the standard §15.2 Statehood pathway available; the published election constitutes the petition and confirmation required by §15.6, and the nation and the Legislature proceed directly to negotiation of the incorporation agreement, ratified by 2/3 of both chambers.</w:t>
      </w:r>
    </w:p>
    <w:p>
      <w:pPr>
        <w:spacing w:after="120"/>
        <w:ind w:left="431"/>
        <w:jc w:val="both"/>
      </w:pPr>
      <w:r>
        <w:rPr>
          <w:rFonts w:ascii="Garamond" w:eastAsia="Garamond" w:hAnsi="Garamond" w:cs="Garamond"/>
          <w:color w:val="2A2A2A"/>
          <w:sz w:val="22"/>
          <w:szCs w:val="22"/>
        </w:rPr>
        <w:t xml:space="preserve">(3) Associated Community status is the default: a nation that makes no election holds Associated Community status by constitutional operation at the close of the Transition Window.</w:t>
      </w:r>
    </w:p>
    <w:p>
      <w:pPr>
        <w:spacing w:after="120"/>
        <w:ind w:left="431"/>
        <w:jc w:val="both"/>
      </w:pPr>
      <w:r>
        <w:rPr>
          <w:rFonts w:ascii="Garamond" w:eastAsia="Garamond" w:hAnsi="Garamond" w:cs="Garamond"/>
          <w:color w:val="2A2A2A"/>
          <w:sz w:val="22"/>
          <w:szCs w:val="22"/>
        </w:rPr>
        <w:t xml:space="preserve">(4) The Republic may not prefer, discourage, or offer inducements toward any status; it must provide factual information about each status upon request.</w:t>
      </w:r>
    </w:p>
    <w:p>
      <w:pPr>
        <w:spacing w:after="120"/>
        <w:ind w:left="431"/>
        <w:jc w:val="both"/>
      </w:pPr>
      <w:r>
        <w:rPr>
          <w:rFonts w:ascii="Garamond" w:eastAsia="Garamond" w:hAnsi="Garamond" w:cs="Garamond"/>
          <w:color w:val="2A2A2A"/>
          <w:sz w:val="22"/>
          <w:szCs w:val="22"/>
        </w:rPr>
        <w:t xml:space="preserve">(5) Article I applies within the territory of each recognized nation throughout the Transition Window unless the nation, by its own governance process, positively rejects that application, published to the NRS; rejection constitutes an early assertion of the default status.</w:t>
      </w:r>
    </w:p>
    <w:p>
      <w:pPr>
        <w:spacing w:after="120"/>
        <w:ind w:left="431"/>
        <w:jc w:val="both"/>
      </w:pPr>
      <w:r>
        <w:rPr>
          <w:rFonts w:ascii="Garamond" w:eastAsia="Garamond" w:hAnsi="Garamond" w:cs="Garamond"/>
          <w:color w:val="2A2A2A"/>
          <w:sz w:val="22"/>
          <w:szCs w:val="22"/>
        </w:rPr>
        <w:t xml:space="preserve">(6) While Article I so applies, any resident of the nation's territory who believes an Article I right has been violated may bring an Emergency Rights Writ directly to the SC under its original jurisdiction in §4.5; the SC must rule within 7 days; the extension and interim protective order provisions of §4.5 apply.</w:t>
      </w:r>
    </w:p>
    <w:p>
      <w:pPr>
        <w:spacing w:after="120"/>
        <w:ind w:left="431"/>
        <w:jc w:val="both"/>
      </w:pPr>
      <w:r>
        <w:rPr>
          <w:rFonts w:ascii="Garamond" w:eastAsia="Garamond" w:hAnsi="Garamond" w:cs="Garamond"/>
          <w:color w:val="2A2A2A"/>
          <w:sz w:val="22"/>
          <w:szCs w:val="22"/>
        </w:rPr>
        <w:t xml:space="preserve">(7) Indigenous nation membership and Republic citizenship are compatible and independent statuses; no status under this section diminishes the Republic citizenship of any person, consistent with §5.1.</w:t>
      </w:r>
    </w:p>
    <w:p w:rsidR="00AF3D56" w:rsidRDefault="00000000">
      <w:pPr>
        <w:spacing w:before="200" w:after="60"/>
        <w:ind w:left="431"/>
      </w:pPr>
      <w:r>
        <w:rPr>
          <w:rFonts w:ascii="Courier New" w:eastAsia="Courier New" w:hAnsi="Courier New" w:cs="Courier New"/>
          <w:b/>
          <w:bCs/>
          <w:color w:val="2A2A2A"/>
          <w:sz w:val="18"/>
          <w:szCs w:val="18"/>
        </w:rPr>
        <w:t xml:space="preserve">§16.3  </w:t>
      </w:r>
      <w:r>
        <w:rPr>
          <w:rFonts w:ascii="Garamond" w:eastAsia="Garamond" w:hAnsi="Garamond" w:cs="Garamond"/>
          <w:i/>
          <w:iCs/>
          <w:color w:val="1B2A4A"/>
          <w:sz w:val="22"/>
          <w:szCs w:val="22"/>
        </w:rPr>
        <w:t>Treaty Supremacy and Continuity</w:t>
      </w:r>
    </w:p>
    <w:p w:rsidR="00AF3D56" w:rsidRDefault="00000000">
      <w:pPr>
        <w:spacing w:after="120"/>
        <w:ind w:left="431"/>
        <w:jc w:val="both"/>
      </w:pPr>
      <w:r>
        <w:rPr>
          <w:rFonts w:ascii="Garamond" w:eastAsia="Garamond" w:hAnsi="Garamond" w:cs="Garamond"/>
          <w:color w:val="2A2A2A"/>
          <w:sz w:val="22"/>
          <w:szCs w:val="22"/>
        </w:rPr>
        <w:t>All treaties entered into by predecessor governments with indigenous nations are binding obligations of the Republic, regardless of the nation's status under this Constitution. Treaty rights cannot be diminished by legislation — they must be honored, renegotiated with consent, or formally superseded by mutual agreement through negotiation between the Legat Consul and the nation, ratified by the Senate under §3.6.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a ministerial counterpart designated by the Legat Consul and published to the NRS administers the treaty's institutional functions on an interim basis. The EM audits the Republic's compliance with its treaty obligations under this section annually and publishes findings to the NRS.</w:t>
      </w:r>
    </w:p>
    <w:p w:rsidR="00AF3D56" w:rsidRDefault="00000000">
      <w:pPr>
        <w:spacing w:before="200" w:after="60"/>
        <w:ind w:left="431"/>
      </w:pPr>
      <w:r>
        <w:rPr>
          <w:rFonts w:ascii="Courier New" w:eastAsia="Courier New" w:hAnsi="Courier New" w:cs="Courier New"/>
          <w:b/>
          <w:bCs/>
          <w:color w:val="2A2A2A"/>
          <w:sz w:val="18"/>
          <w:szCs w:val="18"/>
        </w:rPr>
        <w:t xml:space="preserve">§16.4  </w:t>
      </w:r>
      <w:r>
        <w:rPr>
          <w:rFonts w:ascii="Garamond" w:eastAsia="Garamond" w:hAnsi="Garamond" w:cs="Garamond"/>
          <w:i/>
          <w:iCs/>
          <w:color w:val="1B2A4A"/>
          <w:sz w:val="22"/>
          <w:szCs w:val="22"/>
        </w:rPr>
        <w:t>Post-Founding Recognition</w:t>
      </w:r>
    </w:p>
    <w:p w:rsidR="00AF3D56" w:rsidRDefault="00000000">
      <w:pPr>
        <w:spacing w:after="120"/>
        <w:ind w:left="431"/>
        <w:jc w:val="both"/>
      </w:pPr>
      <w:r>
        <w:rPr>
          <w:rFonts w:ascii="Garamond" w:eastAsia="Garamond" w:hAnsi="Garamond" w:cs="Garamond"/>
          <w:color w:val="2A2A2A"/>
          <w:sz w:val="22"/>
          <w:szCs w:val="22"/>
        </w:rPr>
        <w:t>A people asserting sovereignty preceding the Republic may submit a claim of prior sovereignty to the JMC at any time after the close of the Transition Window; the claim is published to the NRS. The JMC investigates the claim against the predecessor record and the criteria of §16.1 and publishes its findings to the NRS. The investigation is information-only: the JMC's findings bind no constitutional actor and compel no governmental act. Claimants may present the published findings in a petition for recognition to the Legat Consul, or pursue any legal remedy available under Article I. Where a petition for recognition is submitted, the Legat Consul determines it within the period defined by statute, not to exceed 180 days, with written grounds published to the NRS whether recognition is granted or declined. Recognition under this section activates the Republic's obligations under §16.3, establishes the nation as a collective legal person capable of negotiating with the Republic and entering arrangements under statute and §18.4, and constitutes the factual predicate for any subsequent constitutional amendment under Article XVII concerning the nation's territorial or sovereign status. Recognition under this section confers no territorial rights and effects no change to the Republic's territorial extent; any such change proceeds only under Article XVII, consistent with §15.7. A declined petition may be resubmitted after 5 years or upon a material change in the available record.</w:t>
      </w:r>
    </w:p>
    <w:p w:rsidR="00AF3D56" w:rsidRDefault="00000000">
      <w:pPr>
        <w:spacing w:before="200" w:after="60"/>
        <w:ind w:left="431"/>
      </w:pPr>
      <w:r>
        <w:rPr>
          <w:rFonts w:ascii="Courier New" w:eastAsia="Courier New" w:hAnsi="Courier New" w:cs="Courier New"/>
          <w:b/>
          <w:bCs/>
          <w:color w:val="2A2A2A"/>
          <w:sz w:val="18"/>
          <w:szCs w:val="18"/>
        </w:rPr>
        <w:t xml:space="preserve">§16.5  </w:t>
      </w:r>
      <w:r>
        <w:rPr>
          <w:rFonts w:ascii="Garamond" w:eastAsia="Garamond" w:hAnsi="Garamond" w:cs="Garamond"/>
          <w:i/>
          <w:iCs/>
          <w:color w:val="1B2A4A"/>
          <w:sz w:val="22"/>
          <w:szCs w:val="22"/>
        </w:rPr>
        <w:t>Transition of Existing Arrangements</w:t>
      </w:r>
    </w:p>
    <w:p w:rsidR="00AF3D56" w:rsidRDefault="00000000">
      <w:pPr>
        <w:spacing w:after="120"/>
        <w:ind w:left="431"/>
        <w:jc w:val="both"/>
      </w:pPr>
      <w:r>
        <w:rPr>
          <w:rFonts w:ascii="Garamond" w:eastAsia="Garamond" w:hAnsi="Garamond" w:cs="Garamond"/>
          <w:color w:val="2A2A2A"/>
          <w:sz w:val="22"/>
          <w:szCs w:val="22"/>
        </w:rPr>
        <w:t>Existing arrangements between a recognized nation and the predecessor government — governance, services, land use, borders, trade, and infrastructure — continue provisionally from Day Zero until replaced by an Article XX compact, an incorporation agreement under §16.2, or a treaty instrument under §16.3. For a nation holding Associated Community status, the Republic must open compact negotiations under Article XX within 90 days of the status taking effect and negotiate in good faith; either party may propose terms at any time. Citizenship arrangements follow §5.1 throughout. Either party may petition the SC to resolve specific disputes arising within the provisional framework; nothing in this section delays or conditions the obligations under §16.3.</w:t>
      </w:r>
    </w:p>
    <w:p w14:paraId="5C94506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 — Constitutional Amendments</w:t>
      </w:r>
    </w:p>
    <w:p w14:paraId="40DC85A9" w14:textId="77777777" w:rsidR="00AF3D56" w:rsidRDefault="00000000">
      <w:pPr>
        <w:spacing w:before="200" w:after="60"/>
        <w:ind w:left="431"/>
      </w:pPr>
      <w:r>
        <w:rPr>
          <w:rFonts w:ascii="Courier New" w:eastAsia="Courier New" w:hAnsi="Courier New" w:cs="Courier New"/>
          <w:b/>
          <w:bCs/>
          <w:color w:val="2A2A2A"/>
          <w:sz w:val="18"/>
          <w:szCs w:val="18"/>
        </w:rPr>
        <w:t xml:space="preserve">§17.1  </w:t>
      </w:r>
      <w:r>
        <w:rPr>
          <w:rFonts w:ascii="Garamond" w:eastAsia="Garamond" w:hAnsi="Garamond" w:cs="Garamond"/>
          <w:i/>
          <w:iCs/>
          <w:color w:val="1B2A4A"/>
          <w:sz w:val="22"/>
          <w:szCs w:val="22"/>
        </w:rPr>
        <w:t>Amendment Paths</w:t>
      </w:r>
    </w:p>
    <w:p>
      <w:pPr>
        <w:spacing w:after="120"/>
        <w:ind w:left="431"/>
        <w:jc w:val="both"/>
      </w:pPr>
      <w:r>
        <w:rPr>
          <w:rFonts w:ascii="Garamond" w:eastAsia="Garamond" w:hAnsi="Garamond" w:cs="Garamond"/>
          <w:color w:val="2A2A2A"/>
          <w:sz w:val="22"/>
          <w:szCs w:val="22"/>
        </w:rPr>
        <w:t xml:space="preserve">(1) This Constitution may be amended through the parliamentary path or through citizen initiative. No executive signature is required; no executive veto applies. Every member's vote on any amendment is published to the NRS.</w:t>
      </w:r>
    </w:p>
    <w:p>
      <w:pPr>
        <w:spacing w:after="120"/>
        <w:ind w:left="431"/>
        <w:jc w:val="both"/>
      </w:pPr>
      <w:r>
        <w:rPr>
          <w:rFonts w:ascii="Garamond" w:eastAsia="Garamond" w:hAnsi="Garamond" w:cs="Garamond"/>
          <w:color w:val="2A2A2A"/>
          <w:sz w:val="22"/>
          <w:szCs w:val="22"/>
        </w:rPr>
        <w:t xml:space="preserve">(2) A parliamentary amendment requires 2/3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w:t>
      </w:r>
    </w:p>
    <w:p>
      <w:pPr>
        <w:spacing w:after="120"/>
        <w:ind w:left="431"/>
        <w:jc w:val="both"/>
      </w:pPr>
      <w:r>
        <w:rPr>
          <w:rFonts w:ascii="Garamond" w:eastAsia="Garamond" w:hAnsi="Garamond" w:cs="Garamond"/>
          <w:color w:val="2A2A2A"/>
          <w:sz w:val="22"/>
          <w:szCs w:val="22"/>
        </w:rPr>
        <w:t xml:space="preserve">(3)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w:t>
      </w:r>
    </w:p>
    <w:p>
      <w:pPr>
        <w:spacing w:after="120"/>
        <w:ind w:left="431"/>
        <w:jc w:val="both"/>
      </w:pPr>
      <w:r>
        <w:rPr>
          <w:rFonts w:ascii="Garamond" w:eastAsia="Garamond" w:hAnsi="Garamond" w:cs="Garamond"/>
          <w:color w:val="2A2A2A"/>
          <w:sz w:val="22"/>
          <w:szCs w:val="22"/>
        </w:rPr>
        <w:t xml:space="preserve">(4) Amendment of the following provisions requires Popular Ratification regardless of the amendment's origin: the Monitor selection mechanisms and independence protections (§9.2–§9.4), the Monitor information-only mandate and non-dependency principle (§9.1), the Monitor funding guarantee (§9.5),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14:paraId="18034077" w14:textId="77777777" w:rsidR="00AF3D56" w:rsidRDefault="00000000">
      <w:pPr>
        <w:spacing w:before="200" w:after="60"/>
        <w:ind w:left="431"/>
      </w:pPr>
      <w:r>
        <w:rPr>
          <w:rFonts w:ascii="Courier New" w:eastAsia="Courier New" w:hAnsi="Courier New" w:cs="Courier New"/>
          <w:b/>
          <w:bCs/>
          <w:color w:val="2A2A2A"/>
          <w:sz w:val="18"/>
          <w:szCs w:val="18"/>
        </w:rPr>
        <w:t xml:space="preserve">§17.2  </w:t>
      </w:r>
      <w:r>
        <w:rPr>
          <w:rFonts w:ascii="Garamond" w:eastAsia="Garamond" w:hAnsi="Garamond" w:cs="Garamond"/>
          <w:i/>
          <w:iCs/>
          <w:color w:val="1B2A4A"/>
          <w:sz w:val="22"/>
          <w:szCs w:val="22"/>
        </w:rPr>
        <w:t>No Executive Veto; Amendment Takes Effect</w:t>
      </w:r>
    </w:p>
    <w:p w14:paraId="4FCCCD47" w14:textId="77777777" w:rsidR="00AF3D56" w:rsidRDefault="00000000">
      <w:pPr>
        <w:spacing w:after="120"/>
        <w:ind w:left="431"/>
        <w:jc w:val="both"/>
      </w:pPr>
      <w:r>
        <w:rPr>
          <w:rFonts w:ascii="Garamond" w:eastAsia="Garamond" w:hAnsi="Garamond" w:cs="Garamond"/>
          <w:color w:val="2A2A2A"/>
          <w:sz w:val="22"/>
          <w:szCs w:val="22"/>
        </w:rPr>
        <w:t>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14:paraId="7EEBF189" w14:textId="77777777" w:rsidR="00AF3D56" w:rsidRDefault="00000000">
      <w:pPr>
        <w:spacing w:before="200" w:after="60"/>
        <w:ind w:left="431"/>
      </w:pPr>
      <w:r>
        <w:rPr>
          <w:rFonts w:ascii="Courier New" w:eastAsia="Courier New" w:hAnsi="Courier New" w:cs="Courier New"/>
          <w:b/>
          <w:bCs/>
          <w:color w:val="2A2A2A"/>
          <w:sz w:val="18"/>
          <w:szCs w:val="18"/>
        </w:rPr>
        <w:t xml:space="preserve">§17.3  </w:t>
      </w:r>
      <w:r>
        <w:rPr>
          <w:rFonts w:ascii="Garamond" w:eastAsia="Garamond" w:hAnsi="Garamond" w:cs="Garamond"/>
          <w:i/>
          <w:iCs/>
          <w:color w:val="1B2A4A"/>
          <w:sz w:val="22"/>
          <w:szCs w:val="22"/>
        </w:rPr>
        <w:t>Amendment Consistency and Supremacy</w:t>
      </w:r>
    </w:p>
    <w:p>
      <w:pPr>
        <w:spacing w:after="120"/>
        <w:ind w:left="431"/>
        <w:jc w:val="both"/>
      </w:pPr>
      <w:r>
        <w:rPr>
          <w:rFonts w:ascii="Garamond" w:eastAsia="Garamond" w:hAnsi="Garamond" w:cs="Garamond"/>
          <w:color w:val="2A2A2A"/>
          <w:sz w:val="22"/>
          <w:szCs w:val="22"/>
        </w:rPr>
        <w:t xml:space="preserve">(1) An amendment that is logically inconsistent with an existing provision must either explicitly repeal the inconsistent provision or the inconsistency is treated as void.</w:t>
      </w:r>
    </w:p>
    <w:p>
      <w:pPr>
        <w:spacing w:after="120"/>
        <w:ind w:left="431"/>
        <w:jc w:val="both"/>
      </w:pPr>
      <w:r>
        <w:rPr>
          <w:rFonts w:ascii="Garamond" w:eastAsia="Garamond" w:hAnsi="Garamond" w:cs="Garamond"/>
          <w:color w:val="2A2A2A"/>
          <w:sz w:val="22"/>
          <w:szCs w:val="22"/>
        </w:rPr>
        <w:t xml:space="preserve">(2)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w:t>
      </w:r>
    </w:p>
    <w:p>
      <w:pPr>
        <w:spacing w:after="120"/>
        <w:ind w:left="431"/>
        <w:jc w:val="both"/>
      </w:pPr>
      <w:r>
        <w:rPr>
          <w:rFonts w:ascii="Garamond" w:eastAsia="Garamond" w:hAnsi="Garamond" w:cs="Garamond"/>
          <w:color w:val="2A2A2A"/>
          <w:sz w:val="22"/>
          <w:szCs w:val="22"/>
        </w:rPr>
        <w:t xml:space="preserve">(3) If a ratified amendment's consistency with existing provisions is disputed, the SC resolves the dispute under its original jurisdiction in §4.5 on petition of any person with standing; the SC may not refuse to apply an amendment that has met its procedural thresholds, except that no constitutional amendment may extinguish a right designated non-derogable under §1.19.a; any amendment purporting to do so is void to the extent of the extinguishment, and the SC must so rule under its original jurisdiction in §4.5 on petition of any person with standing.</w:t>
      </w:r>
    </w:p>
    <w:p>
      <w:pPr>
        <w:spacing w:after="120"/>
        <w:ind w:left="431"/>
        <w:jc w:val="both"/>
      </w:pPr>
      <w:r>
        <w:rPr>
          <w:rFonts w:ascii="Garamond" w:eastAsia="Garamond" w:hAnsi="Garamond" w:cs="Garamond"/>
          <w:color w:val="2A2A2A"/>
          <w:sz w:val="22"/>
          <w:szCs w:val="22"/>
        </w:rPr>
        <w:t xml:space="preserve">(4) Amendments take prospective effect from the date of ratification — they do not retroactively alter the constitutionality of acts that were constitutional when performed.</w:t>
      </w:r>
    </w:p>
    <w:p>
      <w:pPr>
        <w:spacing w:after="120"/>
        <w:ind w:left="431"/>
        <w:jc w:val="both"/>
      </w:pPr>
      <w:r>
        <w:rPr>
          <w:rFonts w:ascii="Garamond" w:eastAsia="Garamond" w:hAnsi="Garamond" w:cs="Garamond"/>
          <w:color w:val="2A2A2A"/>
          <w:sz w:val="22"/>
          <w:szCs w:val="22"/>
        </w:rPr>
        <w:t xml:space="preserve">(5) Two amendments may be simultaneously in the ratification process; if both pass, both are law; where they conflict, the one ratified later prevails; where margins and timing are equal, the LM determines precedence from NRS records.</w:t>
      </w:r>
    </w:p>
    <w:p>
      <w:pPr>
        <w:spacing w:after="120"/>
        <w:ind w:left="431"/>
        <w:jc w:val="both"/>
      </w:pPr>
      <w:r>
        <w:rPr>
          <w:rFonts w:ascii="Garamond" w:eastAsia="Garamond" w:hAnsi="Garamond" w:cs="Garamond"/>
          <w:color w:val="2A2A2A"/>
          <w:sz w:val="22"/>
          <w:szCs w:val="22"/>
        </w:rPr>
        <w:t xml:space="preserve">(6) A proposed amendment may be withdrawn at any point before ratification is certified.</w:t>
      </w:r>
    </w:p>
    <w:p w14:paraId="1458AB82" w14:textId="77777777" w:rsidR="00AF3D56" w:rsidRDefault="00000000">
      <w:pPr>
        <w:spacing w:before="200" w:after="60"/>
        <w:ind w:left="431"/>
      </w:pPr>
      <w:r>
        <w:rPr>
          <w:rFonts w:ascii="Courier New" w:eastAsia="Courier New" w:hAnsi="Courier New" w:cs="Courier New"/>
          <w:b/>
          <w:bCs/>
          <w:color w:val="2A2A2A"/>
          <w:sz w:val="18"/>
          <w:szCs w:val="18"/>
        </w:rPr>
        <w:t xml:space="preserve">§17.4  </w:t>
      </w:r>
      <w:r>
        <w:rPr>
          <w:rFonts w:ascii="Garamond" w:eastAsia="Garamond" w:hAnsi="Garamond" w:cs="Garamond"/>
          <w:i/>
          <w:iCs/>
          <w:color w:val="1B2A4A"/>
          <w:sz w:val="22"/>
          <w:szCs w:val="22"/>
        </w:rPr>
        <w:t>Supremacy of This Constitution</w:t>
      </w:r>
    </w:p>
    <w:p w14:paraId="28B84EFA" w14:textId="77777777" w:rsidR="00AF3D56" w:rsidRDefault="00000000">
      <w:pPr>
        <w:spacing w:after="120"/>
        <w:ind w:left="431"/>
        <w:jc w:val="both"/>
      </w:pPr>
      <w:r>
        <w:rPr>
          <w:rFonts w:ascii="Garamond" w:eastAsia="Garamond" w:hAnsi="Garamond" w:cs="Garamond"/>
          <w:color w:val="2A2A2A"/>
          <w:sz w:val="22"/>
          <w:szCs w:val="22"/>
        </w:rPr>
        <w:lastRenderedPageBreak/>
        <w:t>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14:paraId="41BAA1D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XVIII — Federal Property and National Trust</w:t>
      </w:r>
    </w:p>
    <w:p w14:paraId="2FE07B58" w14:textId="77777777" w:rsidR="00AF3D56" w:rsidRDefault="00000000">
      <w:pPr>
        <w:spacing w:before="200" w:after="60"/>
        <w:ind w:left="431"/>
      </w:pPr>
      <w:r>
        <w:rPr>
          <w:rFonts w:ascii="Courier New" w:eastAsia="Courier New" w:hAnsi="Courier New" w:cs="Courier New"/>
          <w:b/>
          <w:bCs/>
          <w:color w:val="2A2A2A"/>
          <w:sz w:val="18"/>
          <w:szCs w:val="18"/>
        </w:rPr>
        <w:t xml:space="preserve">§18.1  </w:t>
      </w:r>
      <w:r>
        <w:rPr>
          <w:rFonts w:ascii="Garamond" w:eastAsia="Garamond" w:hAnsi="Garamond" w:cs="Garamond"/>
          <w:i/>
          <w:iCs/>
          <w:color w:val="1B2A4A"/>
          <w:sz w:val="22"/>
          <w:szCs w:val="22"/>
        </w:rPr>
        <w:t>The Use Doctrine</w:t>
      </w:r>
    </w:p>
    <w:p w14:paraId="51E8B390" w14:textId="77777777" w:rsidR="00AF3D56" w:rsidRDefault="00000000">
      <w:pPr>
        <w:spacing w:after="120"/>
        <w:ind w:left="431"/>
        <w:jc w:val="both"/>
      </w:pPr>
      <w:r>
        <w:rPr>
          <w:rFonts w:ascii="Garamond" w:eastAsia="Garamond" w:hAnsi="Garamond" w:cs="Garamond"/>
          <w:color w:val="2A2A2A"/>
          <w:sz w:val="22"/>
          <w:szCs w:val="22"/>
        </w:rPr>
        <w:t>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14:paraId="673D77EC" w14:textId="77777777" w:rsidR="00AF3D56" w:rsidRDefault="00000000">
      <w:pPr>
        <w:spacing w:before="200" w:after="60"/>
        <w:ind w:left="431"/>
      </w:pPr>
      <w:r>
        <w:rPr>
          <w:rFonts w:ascii="Courier New" w:eastAsia="Courier New" w:hAnsi="Courier New" w:cs="Courier New"/>
          <w:b/>
          <w:bCs/>
          <w:color w:val="2A2A2A"/>
          <w:sz w:val="18"/>
          <w:szCs w:val="18"/>
        </w:rPr>
        <w:t xml:space="preserve">§18.2  </w:t>
      </w:r>
      <w:r>
        <w:rPr>
          <w:rFonts w:ascii="Garamond" w:eastAsia="Garamond" w:hAnsi="Garamond" w:cs="Garamond"/>
          <w:i/>
          <w:iCs/>
          <w:color w:val="1B2A4A"/>
          <w:sz w:val="22"/>
          <w:szCs w:val="22"/>
        </w:rPr>
        <w:t>Seat of Government</w:t>
      </w:r>
    </w:p>
    <w:p w14:paraId="3C2E860E" w14:textId="77777777" w:rsidR="00AF3D56" w:rsidRDefault="00000000">
      <w:pPr>
        <w:spacing w:after="120"/>
        <w:ind w:left="431"/>
        <w:jc w:val="both"/>
      </w:pPr>
      <w:r>
        <w:rPr>
          <w:rFonts w:ascii="Garamond" w:eastAsia="Garamond" w:hAnsi="Garamond" w:cs="Garamond"/>
          <w:color w:val="2A2A2A"/>
          <w:sz w:val="22"/>
          <w:szCs w:val="22"/>
        </w:rPr>
        <w:t>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14:paraId="5FD9A173" w14:textId="77777777" w:rsidR="00AF3D56" w:rsidRDefault="00000000">
      <w:pPr>
        <w:spacing w:before="200" w:after="60"/>
        <w:ind w:left="431"/>
      </w:pPr>
      <w:r>
        <w:rPr>
          <w:rFonts w:ascii="Courier New" w:eastAsia="Courier New" w:hAnsi="Courier New" w:cs="Courier New"/>
          <w:b/>
          <w:bCs/>
          <w:color w:val="2A2A2A"/>
          <w:sz w:val="18"/>
          <w:szCs w:val="18"/>
        </w:rPr>
        <w:t xml:space="preserve">§18.3  </w:t>
      </w:r>
      <w:r>
        <w:rPr>
          <w:rFonts w:ascii="Garamond" w:eastAsia="Garamond" w:hAnsi="Garamond" w:cs="Garamond"/>
          <w:i/>
          <w:iCs/>
          <w:color w:val="1B2A4A"/>
          <w:sz w:val="22"/>
          <w:szCs w:val="22"/>
        </w:rPr>
        <w:t>Operational Use Rights</w:t>
      </w:r>
    </w:p>
    <w:p w14:paraId="3B1394DD" w14:textId="77777777" w:rsidR="00AF3D56" w:rsidRDefault="00000000">
      <w:pPr>
        <w:spacing w:after="120"/>
        <w:ind w:left="431"/>
        <w:jc w:val="both"/>
      </w:pPr>
      <w:r>
        <w:rPr>
          <w:rFonts w:ascii="Garamond" w:eastAsia="Garamond" w:hAnsi="Garamond" w:cs="Garamond"/>
          <w:color w:val="2A2A2A"/>
          <w:sz w:val="22"/>
          <w:szCs w:val="22"/>
        </w:rPr>
        <w:t>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14:paraId="7942C530" w14:textId="77777777" w:rsidR="00AF3D56" w:rsidRDefault="00000000">
      <w:pPr>
        <w:spacing w:before="200" w:after="60"/>
        <w:ind w:left="431"/>
      </w:pPr>
      <w:r>
        <w:rPr>
          <w:rFonts w:ascii="Courier New" w:eastAsia="Courier New" w:hAnsi="Courier New" w:cs="Courier New"/>
          <w:b/>
          <w:bCs/>
          <w:color w:val="2A2A2A"/>
          <w:sz w:val="18"/>
          <w:szCs w:val="18"/>
        </w:rPr>
        <w:t xml:space="preserve">§18.4  </w:t>
      </w:r>
      <w:r>
        <w:rPr>
          <w:rFonts w:ascii="Garamond" w:eastAsia="Garamond" w:hAnsi="Garamond" w:cs="Garamond"/>
          <w:i/>
          <w:iCs/>
          <w:color w:val="1B2A4A"/>
          <w:sz w:val="22"/>
          <w:szCs w:val="22"/>
        </w:rPr>
        <w:t>The National Trust</w:t>
      </w:r>
    </w:p>
    <w:p w14:paraId="1193B9A7" w14:textId="77777777" w:rsidR="00AF3D56" w:rsidRDefault="00000000">
      <w:pPr>
        <w:spacing w:after="120"/>
        <w:ind w:left="431"/>
        <w:jc w:val="both"/>
      </w:pPr>
      <w:r>
        <w:rPr>
          <w:rFonts w:ascii="Garamond" w:eastAsia="Garamond" w:hAnsi="Garamond" w:cs="Garamond"/>
          <w:color w:val="2A2A2A"/>
          <w:sz w:val="22"/>
          <w:szCs w:val="22"/>
        </w:rPr>
        <w:t>The National Trust holds all federal land not conveyed by statute to States, recognized indigenous nations,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14:paraId="6B45EED7" w14:textId="77777777" w:rsidR="00AF3D56" w:rsidRDefault="00000000">
      <w:pPr>
        <w:spacing w:before="200" w:after="60"/>
        <w:ind w:left="431"/>
      </w:pPr>
      <w:r>
        <w:rPr>
          <w:rFonts w:ascii="Courier New" w:eastAsia="Courier New" w:hAnsi="Courier New" w:cs="Courier New"/>
          <w:b/>
          <w:bCs/>
          <w:color w:val="2A2A2A"/>
          <w:sz w:val="18"/>
          <w:szCs w:val="18"/>
        </w:rPr>
        <w:t xml:space="preserve">§18.5  </w:t>
      </w:r>
      <w:r>
        <w:rPr>
          <w:rFonts w:ascii="Garamond" w:eastAsia="Garamond" w:hAnsi="Garamond" w:cs="Garamond"/>
          <w:i/>
          <w:iCs/>
          <w:color w:val="1B2A4A"/>
          <w:sz w:val="22"/>
          <w:szCs w:val="22"/>
        </w:rPr>
        <w:t>Federal Property in Territories</w:t>
      </w:r>
    </w:p>
    <w:p w14:paraId="74E8B0A1" w14:textId="77777777" w:rsidR="00AF3D56" w:rsidRDefault="00000000">
      <w:pPr>
        <w:spacing w:after="120"/>
        <w:ind w:left="431"/>
        <w:jc w:val="both"/>
      </w:pPr>
      <w:r>
        <w:rPr>
          <w:rFonts w:ascii="Garamond" w:eastAsia="Garamond" w:hAnsi="Garamond" w:cs="Garamond"/>
          <w:color w:val="2A2A2A"/>
          <w:sz w:val="22"/>
          <w:szCs w:val="22"/>
        </w:rPr>
        <w:lastRenderedPageBreak/>
        <w:t>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14:paraId="1DCCFA5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XIX — Transition and Ratification</w:t>
      </w:r>
    </w:p>
    <w:p w14:paraId="5BAD8E96" w14:textId="77777777" w:rsidR="00AF3D56" w:rsidRDefault="00000000">
      <w:pPr>
        <w:spacing w:before="200" w:after="60"/>
        <w:ind w:left="431"/>
      </w:pPr>
      <w:r>
        <w:rPr>
          <w:rFonts w:ascii="Courier New" w:eastAsia="Courier New" w:hAnsi="Courier New" w:cs="Courier New"/>
          <w:b/>
          <w:bCs/>
          <w:color w:val="2A2A2A"/>
          <w:sz w:val="18"/>
          <w:szCs w:val="18"/>
        </w:rPr>
        <w:t xml:space="preserve">§19.1  </w:t>
      </w:r>
      <w:r>
        <w:rPr>
          <w:rFonts w:ascii="Garamond" w:eastAsia="Garamond" w:hAnsi="Garamond" w:cs="Garamond"/>
          <w:i/>
          <w:iCs/>
          <w:color w:val="1B2A4A"/>
          <w:sz w:val="22"/>
          <w:szCs w:val="22"/>
        </w:rPr>
        <w:t>Activation Threshold and Ratification</w:t>
      </w:r>
    </w:p>
    <w:p w14:paraId="2C43F14D" w14:textId="77777777" w:rsidR="00AF3D56" w:rsidRDefault="00000000">
      <w:pPr>
        <w:spacing w:after="120"/>
        <w:ind w:left="431"/>
        <w:jc w:val="both"/>
      </w:pPr>
      <w:r>
        <w:rPr>
          <w:rFonts w:ascii="Garamond" w:eastAsia="Garamond" w:hAnsi="Garamond" w:cs="Garamond"/>
          <w:color w:val="2A2A2A"/>
          <w:sz w:val="22"/>
          <w:szCs w:val="22"/>
        </w:rPr>
        <w:t>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14:paraId="458CE486" w14:textId="77777777" w:rsidR="00AF3D56" w:rsidRDefault="00000000">
      <w:pPr>
        <w:spacing w:before="200" w:after="60"/>
        <w:ind w:left="431"/>
      </w:pPr>
      <w:r>
        <w:rPr>
          <w:rFonts w:ascii="Courier New" w:eastAsia="Courier New" w:hAnsi="Courier New" w:cs="Courier New"/>
          <w:b/>
          <w:bCs/>
          <w:color w:val="2A2A2A"/>
          <w:sz w:val="18"/>
          <w:szCs w:val="18"/>
        </w:rPr>
        <w:t xml:space="preserve">§19.2  </w:t>
      </w:r>
      <w:r>
        <w:rPr>
          <w:rFonts w:ascii="Garamond" w:eastAsia="Garamond" w:hAnsi="Garamond" w:cs="Garamond"/>
          <w:i/>
          <w:iCs/>
          <w:color w:val="1B2A4A"/>
          <w:sz w:val="22"/>
          <w:szCs w:val="22"/>
        </w:rPr>
        <w:t>Day Zero and Transition</w:t>
      </w:r>
    </w:p>
    <w:p w14:paraId="4927C272" w14:textId="77777777" w:rsidR="00AF3D56" w:rsidRDefault="00000000">
      <w:pPr>
        <w:spacing w:after="120"/>
        <w:ind w:left="431"/>
        <w:jc w:val="both"/>
      </w:pPr>
      <w:r>
        <w:rPr>
          <w:rFonts w:ascii="Garamond" w:eastAsia="Garamond" w:hAnsi="Garamond" w:cs="Garamond"/>
          <w:color w:val="2A2A2A"/>
          <w:sz w:val="22"/>
          <w:szCs w:val="22"/>
        </w:rPr>
        <w:t>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14:paraId="155B5A1F" w14:textId="77777777" w:rsidR="00AF3D56" w:rsidRDefault="00000000">
      <w:pPr>
        <w:spacing w:before="200" w:after="60"/>
        <w:ind w:left="431"/>
      </w:pPr>
      <w:r>
        <w:rPr>
          <w:rFonts w:ascii="Courier New" w:eastAsia="Courier New" w:hAnsi="Courier New" w:cs="Courier New"/>
          <w:b/>
          <w:bCs/>
          <w:color w:val="2A2A2A"/>
          <w:sz w:val="18"/>
          <w:szCs w:val="18"/>
        </w:rPr>
        <w:t xml:space="preserve">§19.3  </w:t>
      </w:r>
      <w:r>
        <w:rPr>
          <w:rFonts w:ascii="Garamond" w:eastAsia="Garamond" w:hAnsi="Garamond" w:cs="Garamond"/>
          <w:i/>
          <w:iCs/>
          <w:color w:val="1B2A4A"/>
          <w:sz w:val="22"/>
          <w:szCs w:val="22"/>
        </w:rPr>
        <w:t>Caretaker Status</w:t>
      </w:r>
    </w:p>
    <w:p w14:paraId="6C9D0E68" w14:textId="77777777" w:rsidR="00AF3D56" w:rsidRDefault="00000000">
      <w:pPr>
        <w:spacing w:after="120"/>
        <w:ind w:left="431"/>
        <w:jc w:val="both"/>
      </w:pPr>
      <w:r>
        <w:rPr>
          <w:rFonts w:ascii="Garamond" w:eastAsia="Garamond" w:hAnsi="Garamond" w:cs="Garamond"/>
          <w:color w:val="2A2A2A"/>
          <w:sz w:val="22"/>
          <w:szCs w:val="22"/>
        </w:rPr>
        <w:t>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14:paraId="603E9FFE" w14:textId="77777777" w:rsidR="00AF3D56" w:rsidRDefault="00000000">
      <w:pPr>
        <w:spacing w:before="200" w:after="60"/>
        <w:ind w:left="431"/>
      </w:pPr>
      <w:r>
        <w:rPr>
          <w:rFonts w:ascii="Courier New" w:eastAsia="Courier New" w:hAnsi="Courier New" w:cs="Courier New"/>
          <w:b/>
          <w:bCs/>
          <w:color w:val="2A2A2A"/>
          <w:sz w:val="18"/>
          <w:szCs w:val="18"/>
        </w:rPr>
        <w:t xml:space="preserve">§19.4  </w:t>
      </w:r>
      <w:r>
        <w:rPr>
          <w:rFonts w:ascii="Garamond" w:eastAsia="Garamond" w:hAnsi="Garamond" w:cs="Garamond"/>
          <w:i/>
          <w:iCs/>
          <w:color w:val="1B2A4A"/>
          <w:sz w:val="22"/>
          <w:szCs w:val="22"/>
        </w:rPr>
        <w:t>Pre-Constitutional Classified Documents</w:t>
      </w:r>
    </w:p>
    <w:p w14:paraId="5D8CC8FC" w14:textId="77777777" w:rsidR="00AF3D56" w:rsidRDefault="00000000">
      <w:pPr>
        <w:spacing w:after="120"/>
        <w:ind w:left="431"/>
        <w:jc w:val="both"/>
      </w:pPr>
      <w:r>
        <w:rPr>
          <w:rFonts w:ascii="Garamond" w:eastAsia="Garamond" w:hAnsi="Garamond" w:cs="Garamond"/>
          <w:color w:val="2A2A2A"/>
          <w:sz w:val="22"/>
          <w:szCs w:val="22"/>
        </w:rPr>
        <w:t>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14:paraId="7D07531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§19.5  </w:t>
      </w:r>
      <w:r>
        <w:rPr>
          <w:rFonts w:ascii="Garamond" w:eastAsia="Garamond" w:hAnsi="Garamond" w:cs="Garamond"/>
          <w:i/>
          <w:iCs/>
          <w:color w:val="1B2A4A"/>
          <w:sz w:val="22"/>
          <w:szCs w:val="22"/>
        </w:rPr>
        <w:t>Pre-Existing Obligations</w:t>
      </w:r>
    </w:p>
    <w:p>
      <w:pPr>
        <w:spacing w:after="120"/>
        <w:ind w:left="431"/>
        <w:jc w:val="both"/>
      </w:pPr>
      <w:r>
        <w:rPr>
          <w:rFonts w:ascii="Garamond" w:eastAsia="Garamond" w:hAnsi="Garamond" w:cs="Garamond"/>
          <w:color w:val="2A2A2A"/>
          <w:sz w:val="22"/>
          <w:szCs w:val="22"/>
        </w:rPr>
        <w:t xml:space="preserve">(1) The Republic assumes the public debt obligations of its predecessor government as a constitutional matter — it does not inherit a clean slate.</w:t>
      </w:r>
    </w:p>
    <w:p>
      <w:pPr>
        <w:spacing w:after="120"/>
        <w:ind w:left="431"/>
        <w:jc w:val="both"/>
      </w:pPr>
      <w:r>
        <w:rPr>
          <w:rFonts w:ascii="Garamond" w:eastAsia="Garamond" w:hAnsi="Garamond" w:cs="Garamond"/>
          <w:color w:val="2A2A2A"/>
          <w:sz w:val="22"/>
          <w:szCs w:val="22"/>
        </w:rPr>
        <w:t xml:space="preserve">(2)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w:t>
      </w:r>
    </w:p>
    <w:p>
      <w:pPr>
        <w:spacing w:after="120"/>
        <w:ind w:left="431"/>
        <w:jc w:val="both"/>
      </w:pPr>
      <w:r>
        <w:rPr>
          <w:rFonts w:ascii="Garamond" w:eastAsia="Garamond" w:hAnsi="Garamond" w:cs="Garamond"/>
          <w:color w:val="2A2A2A"/>
          <w:sz w:val="22"/>
          <w:szCs w:val="22"/>
        </w:rPr>
        <w:t xml:space="preserve">(3) Social insurance programs — retirement pensions, disability benefits, health coverage — continue uninterrupted during the Transition Window.</w:t>
      </w:r>
    </w:p>
    <w:p>
      <w:pPr>
        <w:spacing w:after="120"/>
        <w:ind w:left="431"/>
        <w:jc w:val="both"/>
      </w:pPr>
      <w:r>
        <w:rPr>
          <w:rFonts w:ascii="Garamond" w:eastAsia="Garamond" w:hAnsi="Garamond" w:cs="Garamond"/>
          <w:color w:val="2A2A2A"/>
          <w:sz w:val="22"/>
          <w:szCs w:val="22"/>
        </w:rPr>
        <w:t xml:space="preserve">(4) All benefit obligations to persons who served in military or national service under the prior government are inherited and honored; the Legislature must pass a Veterans and National Service Benefits Act within the first budget cycle following Phase 4.</w:t>
      </w:r>
    </w:p>
    <w:p>
      <w:pPr>
        <w:spacing w:after="120"/>
        <w:ind w:left="431"/>
        <w:jc w:val="both"/>
      </w:pPr>
      <w:r>
        <w:rPr>
          <w:rFonts w:ascii="Garamond" w:eastAsia="Garamond" w:hAnsi="Garamond" w:cs="Garamond"/>
          <w:color w:val="2A2A2A"/>
          <w:sz w:val="22"/>
          <w:szCs w:val="22"/>
        </w:rPr>
        <w:t xml:space="preserve">(5)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§1.19.a.</w:t>
      </w:r>
    </w:p>
    <w:p>
      <w:pPr>
        <w:spacing w:after="120"/>
        <w:ind w:left="431"/>
        <w:jc w:val="both"/>
      </w:pPr>
      <w:r>
        <w:rPr>
          <w:rFonts w:ascii="Garamond" w:eastAsia="Garamond" w:hAnsi="Garamond" w:cs="Garamond"/>
          <w:color w:val="2A2A2A"/>
          <w:sz w:val="22"/>
          <w:szCs w:val="22"/>
        </w:rPr>
        <w:t xml:space="preserve">(6)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14:paraId="66F6D0AB" w14:textId="77777777" w:rsidR="00AF3D56" w:rsidRDefault="00000000">
      <w:pPr>
        <w:spacing w:before="200" w:after="60"/>
        <w:ind w:left="431"/>
      </w:pPr>
      <w:r>
        <w:rPr>
          <w:rFonts w:ascii="Courier New" w:eastAsia="Courier New" w:hAnsi="Courier New" w:cs="Courier New"/>
          <w:b/>
          <w:bCs/>
          <w:color w:val="2A2A2A"/>
          <w:sz w:val="18"/>
          <w:szCs w:val="18"/>
        </w:rPr>
        <w:t xml:space="preserve">§19.6  </w:t>
      </w:r>
      <w:r>
        <w:rPr>
          <w:rFonts w:ascii="Garamond" w:eastAsia="Garamond" w:hAnsi="Garamond" w:cs="Garamond"/>
          <w:i/>
          <w:iCs/>
          <w:color w:val="1B2A4A"/>
          <w:sz w:val="22"/>
          <w:szCs w:val="22"/>
        </w:rPr>
        <w:t>Transition Territories</w:t>
      </w:r>
    </w:p>
    <w:p>
      <w:pPr>
        <w:spacing w:after="120"/>
        <w:ind w:left="431"/>
        <w:jc w:val="both"/>
      </w:pPr>
      <w:r>
        <w:rPr>
          <w:rFonts w:ascii="Garamond" w:eastAsia="Garamond" w:hAnsi="Garamond" w:cs="Garamond"/>
          <w:color w:val="2A2A2A"/>
          <w:sz w:val="22"/>
          <w:szCs w:val="22"/>
        </w:rPr>
        <w:t xml:space="preserve">(1) Territories or subdivisions meeting the Statehood Audit by Phase 2 end may petition to enter as State or Territory. Those failing the Statehood Audit enter as Territory and may begin the Statehood Audit immediately.</w:t>
      </w:r>
    </w:p>
    <w:p>
      <w:pPr>
        <w:spacing w:after="120"/>
        <w:ind w:left="431"/>
        <w:jc w:val="both"/>
      </w:pPr>
      <w:r>
        <w:rPr>
          <w:rFonts w:ascii="Garamond" w:eastAsia="Garamond" w:hAnsi="Garamond" w:cs="Garamond"/>
          <w:color w:val="2A2A2A"/>
          <w:sz w:val="22"/>
          <w:szCs w:val="22"/>
        </w:rPr>
        <w:t xml:space="preserve">(2) Any territory may choose Territory status by simple legislative vote regardless of whether it meets the Statehood Audit.</w:t>
      </w:r>
    </w:p>
    <w:p>
      <w:pPr>
        <w:spacing w:after="120"/>
        <w:ind w:left="431"/>
        <w:jc w:val="both"/>
      </w:pPr>
      <w:r>
        <w:rPr>
          <w:rFonts w:ascii="Garamond" w:eastAsia="Garamond" w:hAnsi="Garamond" w:cs="Garamond"/>
          <w:color w:val="2A2A2A"/>
          <w:sz w:val="22"/>
          <w:szCs w:val="22"/>
        </w:rPr>
        <w:t xml:space="preserve">(3) Prior government states or territories may voluntarily subdivide during the Transition Window by vote of their existing legislative body; new subdivisions are treated as separate petitioning entities.</w:t>
      </w:r>
    </w:p>
    <w:p>
      <w:pPr>
        <w:spacing w:after="120"/>
        <w:ind w:left="431"/>
        <w:jc w:val="both"/>
      </w:pPr>
      <w:r>
        <w:rPr>
          <w:rFonts w:ascii="Garamond" w:eastAsia="Garamond" w:hAnsi="Garamond" w:cs="Garamond"/>
          <w:color w:val="2A2A2A"/>
          <w:sz w:val="22"/>
          <w:szCs w:val="22"/>
        </w:rPr>
        <w:t xml:space="preserve">(4) Where a State fails the Phase 2 Statehood Audit, it enters as a Territory; its population retains all Article I rights and participates in first Assembly elections proportionally.</w:t>
      </w:r>
    </w:p>
    <w:p>
      <w:pPr>
        <w:spacing w:after="120"/>
        <w:ind w:left="431"/>
        <w:jc w:val="both"/>
      </w:pPr>
      <w:r>
        <w:rPr>
          <w:rFonts w:ascii="Garamond" w:eastAsia="Garamond" w:hAnsi="Garamond" w:cs="Garamond"/>
          <w:color w:val="2A2A2A"/>
          <w:sz w:val="22"/>
          <w:szCs w:val="22"/>
        </w:rPr>
        <w:t xml:space="preserve">(5)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120"/>
        <w:ind w:left="431"/>
        <w:jc w:val="both"/>
      </w:pPr>
      <w:r>
        <w:rPr>
          <w:rFonts w:ascii="Garamond" w:eastAsia="Garamond" w:hAnsi="Garamond" w:cs="Garamond"/>
          <w:color w:val="2A2A2A"/>
          <w:sz w:val="22"/>
          <w:szCs w:val="22"/>
        </w:rPr>
        <w:t xml:space="preserve">(6) Political entities that held recognized State or equivalent status immediately prior to ratification and choose to enter the Republic as States do so as full States from Day Zero for the purpose of constituting the Senate and seating their legislators.</w:t>
      </w:r>
    </w:p>
    <w:p>
      <w:pPr>
        <w:spacing w:after="120"/>
        <w:ind w:left="431"/>
        <w:jc w:val="both"/>
      </w:pPr>
      <w:r>
        <w:rPr>
          <w:rFonts w:ascii="Garamond" w:eastAsia="Garamond" w:hAnsi="Garamond" w:cs="Garamond"/>
          <w:color w:val="2A2A2A"/>
          <w:sz w:val="22"/>
          <w:szCs w:val="22"/>
        </w:rPr>
        <w:t xml:space="preserve">(7) The annual Statehood Audit under §15.2 applies to all States from the first full audit cycle following Phase 4 activation; no founding status confers exemption from ongoing audit obligations or the consequences of audit failure. All other status determinations — Territory entry, Statehood qualification during the transition window, and post-founding pathways — follow §15.2.</w:t>
      </w:r>
    </w:p>
    <w:p w14:paraId="714F27F0" w14:textId="77777777" w:rsidR="00AF3D56" w:rsidRDefault="00000000">
      <w:pPr>
        <w:spacing w:before="200" w:after="60"/>
        <w:ind w:left="431"/>
      </w:pPr>
      <w:r>
        <w:rPr>
          <w:rFonts w:ascii="Courier New" w:eastAsia="Courier New" w:hAnsi="Courier New" w:cs="Courier New"/>
          <w:b/>
          <w:bCs/>
          <w:color w:val="2A2A2A"/>
          <w:sz w:val="18"/>
          <w:szCs w:val="18"/>
        </w:rPr>
        <w:t xml:space="preserve">§19.7  </w:t>
      </w:r>
      <w:r>
        <w:rPr>
          <w:rFonts w:ascii="Garamond" w:eastAsia="Garamond" w:hAnsi="Garamond" w:cs="Garamond"/>
          <w:i/>
          <w:iCs/>
          <w:color w:val="1B2A4A"/>
          <w:sz w:val="22"/>
          <w:szCs w:val="22"/>
        </w:rPr>
        <w:t>Transition Candidate Registers</w:t>
      </w:r>
    </w:p>
    <w:p w14:paraId="04BC09BE" w14:textId="77777777" w:rsidR="00AF3D56" w:rsidRDefault="00000000">
      <w:pPr>
        <w:spacing w:after="120"/>
        <w:ind w:left="431"/>
        <w:jc w:val="both"/>
      </w:pPr>
      <w:r>
        <w:rPr>
          <w:rFonts w:ascii="Garamond" w:eastAsia="Garamond" w:hAnsi="Garamond" w:cs="Garamond"/>
          <w:color w:val="2A2A2A"/>
          <w:sz w:val="22"/>
          <w:szCs w:val="22"/>
        </w:rPr>
        <w:t>The joint Monitor panel assembles the initial Candidate Registers for all constitutionally established positions before Phase 3 elections can occur. The panel performs the register-assembly and qualification review function that permanent Monitors will assume after Phase 4; the panel compiles the founding register of recognized indigenous nations under §16.1 and publishes it to the NRS before the close of Phase 1;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the MA Director within 90 days of Phase 4 activation. Where the Civic Consul fails to meet this deadline, the LM publishes a compliance finding to the NRS, and the LM's ongoing audit encompasses the unfilled nomination until it is made.</w:t>
      </w:r>
    </w:p>
    <w:p w14:paraId="3CCE728C" w14:textId="77777777" w:rsidR="00AF3D56" w:rsidRDefault="00000000">
      <w:pPr>
        <w:spacing w:before="200" w:after="60"/>
        <w:ind w:left="431"/>
      </w:pPr>
      <w:r>
        <w:rPr>
          <w:rFonts w:ascii="Courier New" w:eastAsia="Courier New" w:hAnsi="Courier New" w:cs="Courier New"/>
          <w:b/>
          <w:bCs/>
          <w:color w:val="2A2A2A"/>
          <w:sz w:val="18"/>
          <w:szCs w:val="18"/>
        </w:rPr>
        <w:t xml:space="preserve">§19.8  </w:t>
      </w:r>
      <w:r>
        <w:rPr>
          <w:rFonts w:ascii="Garamond" w:eastAsia="Garamond" w:hAnsi="Garamond" w:cs="Garamond"/>
          <w:i/>
          <w:iCs/>
          <w:color w:val="1B2A4A"/>
          <w:sz w:val="22"/>
          <w:szCs w:val="22"/>
        </w:rPr>
        <w:t>Transitional Accountability Mechanism</w:t>
      </w:r>
    </w:p>
    <w:p w14:paraId="570D4B5C" w14:textId="77777777" w:rsidR="00AF3D56" w:rsidRDefault="00000000">
      <w:pPr>
        <w:spacing w:after="120"/>
        <w:ind w:left="431"/>
        <w:jc w:val="both"/>
      </w:pPr>
      <w:r>
        <w:rPr>
          <w:rFonts w:ascii="Garamond" w:eastAsia="Garamond" w:hAnsi="Garamond" w:cs="Garamond"/>
          <w:color w:val="2A2A2A"/>
          <w:sz w:val="22"/>
          <w:szCs w:val="22"/>
        </w:rPr>
        <w:t>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14:paraId="3410F4D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§19.9  </w:t>
      </w:r>
      <w:r>
        <w:rPr>
          <w:rFonts w:ascii="Garamond" w:eastAsia="Garamond" w:hAnsi="Garamond" w:cs="Garamond"/>
          <w:i/>
          <w:iCs/>
          <w:color w:val="1B2A4A"/>
          <w:sz w:val="22"/>
          <w:szCs w:val="22"/>
        </w:rPr>
        <w:t>Required Statutory Agency Establishment</w:t>
      </w:r>
    </w:p>
    <w:p w14:paraId="098DD5F1" w14:textId="77777777" w:rsidR="00AF3D56" w:rsidRDefault="00000000">
      <w:pPr>
        <w:spacing w:after="120"/>
        <w:ind w:left="431"/>
        <w:jc w:val="both"/>
      </w:pPr>
      <w:r>
        <w:rPr>
          <w:rFonts w:ascii="Garamond" w:eastAsia="Garamond" w:hAnsi="Garamond" w:cs="Garamond"/>
          <w:color w:val="2A2A2A"/>
          <w:sz w:val="22"/>
          <w:szCs w:val="22"/>
        </w:rPr>
        <w:t>Where this Constitution assigns a specific function to a statutory independent agency under §3.9, the Legislature must establish that agency within the following timeframes from Phase 4 activation: the civic proficiency assessment administrator under §5.1, within 180 days; the census agency under §3.2, within 18 months; the Monetary Authority under §12.1.a,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 Monitor in lieu of establishing the required agency. The Legislature must by statute establish the transition from any predecessor voting infrastructure to the constitutionally required NVS, ensuring no gap in democratic participation.</w:t>
      </w:r>
    </w:p>
    <w:p w14:paraId="21553F5E"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XX — Associated Communities</w:t>
      </w:r>
    </w:p>
    <w:p w14:paraId="5E6CB131" w14:textId="77777777" w:rsidR="00AF3D56" w:rsidRDefault="00000000">
      <w:pPr>
        <w:spacing w:before="200" w:after="60"/>
        <w:ind w:left="431"/>
      </w:pPr>
      <w:r>
        <w:rPr>
          <w:rFonts w:ascii="Courier New" w:eastAsia="Courier New" w:hAnsi="Courier New" w:cs="Courier New"/>
          <w:b/>
          <w:bCs/>
          <w:color w:val="2A2A2A"/>
          <w:sz w:val="18"/>
          <w:szCs w:val="18"/>
        </w:rPr>
        <w:t xml:space="preserve">§20.1  </w:t>
      </w:r>
      <w:r>
        <w:rPr>
          <w:rFonts w:ascii="Garamond" w:eastAsia="Garamond" w:hAnsi="Garamond" w:cs="Garamond"/>
          <w:i/>
          <w:iCs/>
          <w:color w:val="1B2A4A"/>
          <w:sz w:val="22"/>
          <w:szCs w:val="22"/>
        </w:rPr>
        <w:t>Associated Community Status</w:t>
      </w:r>
    </w:p>
    <w:p w14:paraId="0AD69FE9" w14:textId="77777777" w:rsidR="00AF3D56" w:rsidRDefault="00000000">
      <w:pPr>
        <w:spacing w:after="120"/>
        <w:ind w:left="431"/>
        <w:jc w:val="both"/>
      </w:pPr>
      <w:r>
        <w:rPr>
          <w:rFonts w:ascii="Garamond" w:eastAsia="Garamond" w:hAnsi="Garamond" w:cs="Garamond"/>
          <w:color w:val="2A2A2A"/>
          <w:sz w:val="22"/>
          <w:szCs w:val="22"/>
        </w:rPr>
        <w:t>Exclusively for sovereign entities — not a form of State or Territory status, not transitional, not incorporation. Available to recognized indigenous nations holding Associated Community status under §16.2, to sovereign nations that have achieved full sovereignty through the constitutional amendment process, and to independent nations outside the Republic seeking a defined relationship.</w:t>
      </w:r>
    </w:p>
    <w:p w14:paraId="66C171D4" w14:textId="77777777" w:rsidR="00AF3D56" w:rsidRDefault="00000000">
      <w:pPr>
        <w:spacing w:before="200" w:after="60"/>
        <w:ind w:left="431"/>
      </w:pPr>
      <w:r>
        <w:rPr>
          <w:rFonts w:ascii="Courier New" w:eastAsia="Courier New" w:hAnsi="Courier New" w:cs="Courier New"/>
          <w:b/>
          <w:bCs/>
          <w:color w:val="2A2A2A"/>
          <w:sz w:val="18"/>
          <w:szCs w:val="18"/>
        </w:rPr>
        <w:t xml:space="preserve">§20.2  </w:t>
      </w:r>
      <w:r>
        <w:rPr>
          <w:rFonts w:ascii="Garamond" w:eastAsia="Garamond" w:hAnsi="Garamond" w:cs="Garamond"/>
          <w:i/>
          <w:iCs/>
          <w:color w:val="1B2A4A"/>
          <w:sz w:val="22"/>
          <w:szCs w:val="22"/>
        </w:rPr>
        <w:t>Compact Terms and Equal Sovereignty</w:t>
      </w:r>
    </w:p>
    <w:p w14:paraId="2638B719" w14:textId="77777777" w:rsidR="00AF3D56" w:rsidRDefault="00000000">
      <w:pPr>
        <w:spacing w:after="120"/>
        <w:ind w:left="431"/>
        <w:jc w:val="both"/>
      </w:pPr>
      <w:r>
        <w:rPr>
          <w:rFonts w:ascii="Garamond" w:eastAsia="Garamond" w:hAnsi="Garamond" w:cs="Garamond"/>
          <w:color w:val="2A2A2A"/>
          <w:sz w:val="22"/>
          <w:szCs w:val="22"/>
        </w:rPr>
        <w:t>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14:paraId="68D4EED4" w14:textId="77777777" w:rsidR="00AF3D56" w:rsidRDefault="00000000">
      <w:pPr>
        <w:spacing w:before="200" w:after="60"/>
        <w:ind w:left="431"/>
      </w:pPr>
      <w:r>
        <w:rPr>
          <w:rFonts w:ascii="Courier New" w:eastAsia="Courier New" w:hAnsi="Courier New" w:cs="Courier New"/>
          <w:b/>
          <w:bCs/>
          <w:color w:val="2A2A2A"/>
          <w:sz w:val="18"/>
          <w:szCs w:val="18"/>
        </w:rPr>
        <w:t xml:space="preserve">§20.3  </w:t>
      </w:r>
      <w:r>
        <w:rPr>
          <w:rFonts w:ascii="Garamond" w:eastAsia="Garamond" w:hAnsi="Garamond" w:cs="Garamond"/>
          <w:i/>
          <w:iCs/>
          <w:color w:val="1B2A4A"/>
          <w:sz w:val="22"/>
          <w:szCs w:val="22"/>
        </w:rPr>
        <w:t>Compact Conditions and Compliance</w:t>
      </w:r>
    </w:p>
    <w:p>
      <w:pPr>
        <w:spacing w:after="120"/>
        <w:ind w:left="431"/>
        <w:jc w:val="both"/>
      </w:pPr>
      <w:r>
        <w:rPr>
          <w:rFonts w:ascii="Garamond" w:eastAsia="Garamond" w:hAnsi="Garamond" w:cs="Garamond"/>
          <w:color w:val="2A2A2A"/>
          <w:sz w:val="22"/>
          <w:szCs w:val="22"/>
        </w:rPr>
        <w:t xml:space="preserve">(1) No compact may be entered or ratified with any entity whose governance practices include, authorize, or systematically permit violations of any of the non-derogable rights established in §1.19.a, committed against any person within its jurisdiction.</w:t>
      </w:r>
    </w:p>
    <w:p>
      <w:pPr>
        <w:spacing w:after="120"/>
        <w:ind w:left="431"/>
        <w:jc w:val="both"/>
      </w:pPr>
      <w:r>
        <w:rPr>
          <w:rFonts w:ascii="Garamond" w:eastAsia="Garamond" w:hAnsi="Garamond" w:cs="Garamond"/>
          <w:color w:val="2A2A2A"/>
          <w:sz w:val="22"/>
          <w:szCs w:val="22"/>
        </w:rPr>
        <w:t xml:space="preserve">(2) The JM conducts annual compliance reviews and publishes findings to the NRS. Where the JM finds systematic violations of §1.19.a rights or any party challenges a compact on those grounds, the compact is suspended pending review through the compact's independent arbitration mechanism; the arbitration panel must issue a preliminary determination within 90 days of suspension; where no preliminary determination is issued within that period, the suspension lifts and the compact resumes pending the panel's final determination.</w:t>
      </w:r>
    </w:p>
    <w:p>
      <w:pPr>
        <w:spacing w:after="120"/>
        <w:ind w:left="431"/>
        <w:jc w:val="both"/>
      </w:pPr>
      <w:r>
        <w:rPr>
          <w:rFonts w:ascii="Garamond" w:eastAsia="Garamond" w:hAnsi="Garamond" w:cs="Garamond"/>
          <w:color w:val="2A2A2A"/>
          <w:sz w:val="22"/>
          <w:szCs w:val="22"/>
        </w:rPr>
        <w:t xml:space="preserve">(3) The arbitration panel may determine compact termination on confirmed violations without remediation within the period the compact specifies.</w:t>
      </w:r>
    </w:p>
    <w:p>
      <w:pPr>
        <w:spacing w:after="120"/>
        <w:ind w:left="431"/>
        <w:jc w:val="both"/>
      </w:pPr>
      <w:r>
        <w:rPr>
          <w:rFonts w:ascii="Garamond" w:eastAsia="Garamond" w:hAnsi="Garamond" w:cs="Garamond"/>
          <w:color w:val="2A2A2A"/>
          <w:sz w:val="22"/>
          <w:szCs w:val="22"/>
        </w:rPr>
        <w:t xml:space="preserve">(4) Economic value of the compact relationship is not a factor in JM assessment or arbitration review.</w:t>
      </w:r>
    </w:p>
    <w:p>
      <w:pPr>
        <w:spacing w:after="120"/>
        <w:ind w:left="431"/>
        <w:jc w:val="both"/>
      </w:pPr>
      <w:r>
        <w:rPr>
          <w:rFonts w:ascii="Garamond" w:eastAsia="Garamond" w:hAnsi="Garamond" w:cs="Garamond"/>
          <w:color w:val="2A2A2A"/>
          <w:sz w:val="22"/>
          <w:szCs w:val="22"/>
        </w:rPr>
        <w:t xml:space="preserve">(5)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w:t>
      </w:r>
    </w:p>
    <w:p>
      <w:pPr>
        <w:spacing w:after="120"/>
        <w:ind w:left="431"/>
        <w:jc w:val="both"/>
      </w:pPr>
      <w:r>
        <w:rPr>
          <w:rFonts w:ascii="Garamond" w:eastAsia="Garamond" w:hAnsi="Garamond" w:cs="Garamond"/>
          <w:color w:val="2A2A2A"/>
          <w:sz w:val="22"/>
          <w:szCs w:val="22"/>
        </w:rPr>
        <w:t xml:space="preserve">(6) Compact suspension means the Associated Community's observer delegate participation rights are suspended for the duration of the review; all other compact obligations of both parties continue in effect pending the arbitration panel's final determination.</w:t>
      </w:r>
    </w:p>
    <w:p w14:paraId="33C3AD4B" w14:textId="77777777" w:rsidR="00AF3D56" w:rsidRDefault="00000000">
      <w:pPr>
        <w:spacing w:before="200" w:after="60"/>
        <w:ind w:left="431"/>
      </w:pPr>
      <w:r>
        <w:rPr>
          <w:rFonts w:ascii="Courier New" w:eastAsia="Courier New" w:hAnsi="Courier New" w:cs="Courier New"/>
          <w:b/>
          <w:bCs/>
          <w:color w:val="2A2A2A"/>
          <w:sz w:val="18"/>
          <w:szCs w:val="18"/>
        </w:rPr>
        <w:t xml:space="preserve">§20.4  </w:t>
      </w:r>
      <w:r>
        <w:rPr>
          <w:rFonts w:ascii="Garamond" w:eastAsia="Garamond" w:hAnsi="Garamond" w:cs="Garamond"/>
          <w:i/>
          <w:iCs/>
          <w:color w:val="1B2A4A"/>
          <w:sz w:val="22"/>
          <w:szCs w:val="22"/>
        </w:rPr>
        <w:t>Sovereign Mobility</w:t>
      </w:r>
    </w:p>
    <w:p w14:paraId="74DBEAD6" w14:textId="77777777" w:rsidR="00AF3D56" w:rsidRDefault="00000000">
      <w:pPr>
        <w:spacing w:after="120"/>
        <w:ind w:left="431"/>
        <w:jc w:val="both"/>
      </w:pPr>
      <w:r>
        <w:rPr>
          <w:rFonts w:ascii="Garamond" w:eastAsia="Garamond" w:hAnsi="Garamond" w:cs="Garamond"/>
          <w:color w:val="2A2A2A"/>
          <w:sz w:val="22"/>
          <w:szCs w:val="22"/>
        </w:rPr>
        <w:t>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14:paraId="33CD16B8" w14:textId="77777777" w:rsidR="00AF3D56" w:rsidRDefault="00000000">
      <w:pPr>
        <w:spacing w:before="200" w:after="60"/>
        <w:ind w:left="431"/>
      </w:pPr>
      <w:r>
        <w:rPr>
          <w:rFonts w:ascii="Courier New" w:eastAsia="Courier New" w:hAnsi="Courier New" w:cs="Courier New"/>
          <w:b/>
          <w:bCs/>
          <w:color w:val="2A2A2A"/>
          <w:sz w:val="18"/>
          <w:szCs w:val="18"/>
        </w:rPr>
        <w:t xml:space="preserve">§20.5  </w:t>
      </w:r>
      <w:r>
        <w:rPr>
          <w:rFonts w:ascii="Garamond" w:eastAsia="Garamond" w:hAnsi="Garamond" w:cs="Garamond"/>
          <w:i/>
          <w:iCs/>
          <w:color w:val="1B2A4A"/>
          <w:sz w:val="22"/>
          <w:szCs w:val="22"/>
        </w:rPr>
        <w:t>Reciprocal Obligations and Review</w:t>
      </w:r>
    </w:p>
    <w:p w14:paraId="5DED57CD" w14:textId="77777777" w:rsidR="00AF3D56" w:rsidRDefault="00000000">
      <w:pPr>
        <w:spacing w:after="120"/>
        <w:ind w:left="431"/>
        <w:jc w:val="both"/>
      </w:pPr>
      <w:r>
        <w:rPr>
          <w:rFonts w:ascii="Garamond" w:eastAsia="Garamond" w:hAnsi="Garamond" w:cs="Garamond"/>
          <w:color w:val="2A2A2A"/>
          <w:sz w:val="22"/>
          <w:szCs w:val="22"/>
        </w:rPr>
        <w:t xml:space="preserve">The compact must specify with particularity the reciprocal obligations of both parties and the review mechanism. The Associated Community holds obligations to the Republic as well as rights from it. Review </w:t>
        <w:lastRenderedPageBreak/>
        <w:t>must be scheduled at regular intervals defined in the compact; either party may request a review outside the schedule by providing written notice to the NRS.</w:t>
      </w:r>
    </w:p>
    <w:p w14:paraId="754E2DD5" w14:textId="77777777" w:rsidR="00AF3D56" w:rsidRDefault="00000000">
      <w:pPr>
        <w:spacing w:before="200" w:after="60"/>
        <w:ind w:left="431"/>
      </w:pPr>
      <w:r>
        <w:rPr>
          <w:rFonts w:ascii="Courier New" w:eastAsia="Courier New" w:hAnsi="Courier New" w:cs="Courier New"/>
          <w:b/>
          <w:bCs/>
          <w:color w:val="2A2A2A"/>
          <w:sz w:val="18"/>
          <w:szCs w:val="18"/>
        </w:rPr>
        <w:t xml:space="preserve">§20.6  </w:t>
      </w:r>
      <w:r>
        <w:rPr>
          <w:rFonts w:ascii="Garamond" w:eastAsia="Garamond" w:hAnsi="Garamond" w:cs="Garamond"/>
          <w:i/>
          <w:iCs/>
          <w:color w:val="1B2A4A"/>
          <w:sz w:val="22"/>
          <w:szCs w:val="22"/>
        </w:rPr>
        <w:t>Compact Ratification</w:t>
      </w:r>
    </w:p>
    <w:p w14:paraId="534146D4" w14:textId="77777777" w:rsidR="00AF3D56" w:rsidRDefault="00000000">
      <w:pPr>
        <w:spacing w:after="120"/>
        <w:ind w:left="431"/>
        <w:jc w:val="both"/>
      </w:pPr>
      <w:r>
        <w:rPr>
          <w:rFonts w:ascii="Garamond" w:eastAsia="Garamond" w:hAnsi="Garamond" w:cs="Garamond"/>
          <w:color w:val="2A2A2A"/>
          <w:sz w:val="22"/>
          <w:szCs w:val="22"/>
        </w:rPr>
        <w:t>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14:paraId="0A471600" w14:textId="77777777" w:rsidR="00AF3D56" w:rsidRDefault="00000000">
      <w:pPr>
        <w:spacing w:before="200" w:after="60"/>
        <w:ind w:left="431"/>
      </w:pPr>
      <w:r>
        <w:rPr>
          <w:rFonts w:ascii="Courier New" w:eastAsia="Courier New" w:hAnsi="Courier New" w:cs="Courier New"/>
          <w:b/>
          <w:bCs/>
          <w:color w:val="2A2A2A"/>
          <w:sz w:val="18"/>
          <w:szCs w:val="18"/>
        </w:rPr>
        <w:t xml:space="preserve">§20.7  </w:t>
      </w:r>
      <w:r>
        <w:rPr>
          <w:rFonts w:ascii="Garamond" w:eastAsia="Garamond" w:hAnsi="Garamond" w:cs="Garamond"/>
          <w:i/>
          <w:iCs/>
          <w:color w:val="1B2A4A"/>
          <w:sz w:val="22"/>
          <w:szCs w:val="22"/>
        </w:rPr>
        <w:t>Compact Continuity</w:t>
      </w:r>
    </w:p>
    <w:p w14:paraId="6423AF73" w14:textId="77777777" w:rsidR="00AF3D56" w:rsidRDefault="00000000">
      <w:pPr>
        <w:spacing w:after="120"/>
        <w:ind w:left="431"/>
        <w:jc w:val="both"/>
      </w:pPr>
      <w:r>
        <w:rPr>
          <w:rFonts w:ascii="Garamond" w:eastAsia="Garamond" w:hAnsi="Garamond" w:cs="Garamond"/>
          <w:color w:val="2A2A2A"/>
          <w:sz w:val="22"/>
          <w:szCs w:val="22"/>
        </w:rPr>
        <w:t>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rsidR="00AF3D5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C42F1"/>
    <w:multiLevelType w:val="hybridMultilevel"/>
    <w:tmpl w:val="C396EB00"/>
    <w:lvl w:ilvl="0" w:tplc="E8E0725A">
      <w:start w:val="1"/>
      <w:numFmt w:val="bullet"/>
      <w:lvlText w:val="●"/>
      <w:lvlJc w:val="left"/>
      <w:pPr>
        <w:ind w:left="720" w:hanging="360"/>
      </w:pPr>
    </w:lvl>
    <w:lvl w:ilvl="1" w:tplc="597C5D9C">
      <w:start w:val="1"/>
      <w:numFmt w:val="bullet"/>
      <w:lvlText w:val="○"/>
      <w:lvlJc w:val="left"/>
      <w:pPr>
        <w:ind w:left="1440" w:hanging="360"/>
      </w:pPr>
    </w:lvl>
    <w:lvl w:ilvl="2" w:tplc="A88A5B24">
      <w:start w:val="1"/>
      <w:numFmt w:val="bullet"/>
      <w:lvlText w:val="■"/>
      <w:lvlJc w:val="left"/>
      <w:pPr>
        <w:ind w:left="2160" w:hanging="360"/>
      </w:pPr>
    </w:lvl>
    <w:lvl w:ilvl="3" w:tplc="060C78B4">
      <w:start w:val="1"/>
      <w:numFmt w:val="bullet"/>
      <w:lvlText w:val="●"/>
      <w:lvlJc w:val="left"/>
      <w:pPr>
        <w:ind w:left="2880" w:hanging="360"/>
      </w:pPr>
    </w:lvl>
    <w:lvl w:ilvl="4" w:tplc="01B4AB26">
      <w:start w:val="1"/>
      <w:numFmt w:val="bullet"/>
      <w:lvlText w:val="○"/>
      <w:lvlJc w:val="left"/>
      <w:pPr>
        <w:ind w:left="3600" w:hanging="360"/>
      </w:pPr>
    </w:lvl>
    <w:lvl w:ilvl="5" w:tplc="5CFA4890">
      <w:start w:val="1"/>
      <w:numFmt w:val="bullet"/>
      <w:lvlText w:val="■"/>
      <w:lvlJc w:val="left"/>
      <w:pPr>
        <w:ind w:left="4320" w:hanging="360"/>
      </w:pPr>
    </w:lvl>
    <w:lvl w:ilvl="6" w:tplc="25DA88DC">
      <w:start w:val="1"/>
      <w:numFmt w:val="bullet"/>
      <w:lvlText w:val="●"/>
      <w:lvlJc w:val="left"/>
      <w:pPr>
        <w:ind w:left="5040" w:hanging="360"/>
      </w:pPr>
    </w:lvl>
    <w:lvl w:ilvl="7" w:tplc="DD8868E6">
      <w:start w:val="1"/>
      <w:numFmt w:val="bullet"/>
      <w:lvlText w:val="●"/>
      <w:lvlJc w:val="left"/>
      <w:pPr>
        <w:ind w:left="5760" w:hanging="360"/>
      </w:pPr>
    </w:lvl>
    <w:lvl w:ilvl="8" w:tplc="AFEC6070">
      <w:start w:val="1"/>
      <w:numFmt w:val="bullet"/>
      <w:lvlText w:val="●"/>
      <w:lvlJc w:val="left"/>
      <w:pPr>
        <w:ind w:left="6480" w:hanging="360"/>
      </w:pPr>
    </w:lvl>
  </w:abstractNum>
  <w:num w:numId="1" w16cid:durableId="194399557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D56"/>
    <w:rsid w:val="00123DDD"/>
    <w:rsid w:val="005F487F"/>
    <w:rsid w:val="0088569E"/>
    <w:rsid w:val="00940D3B"/>
    <w:rsid w:val="00AD76A6"/>
    <w:rsid w:val="00AF3D56"/>
    <w:rsid w:val="00CD141D"/>
    <w:rsid w:val="00F64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299269"/>
  <w15:docId w15:val="{E08E9D2D-9B22-1A48-A6CD-56DD032E4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24570</Words>
  <Characters>140050</Characters>
  <Application>Microsoft Office Word</Application>
  <DocSecurity>0</DocSecurity>
  <Lines>1167</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 Reickert</cp:lastModifiedBy>
  <cp:revision>4</cp:revision>
  <dcterms:created xsi:type="dcterms:W3CDTF">2026-07-06T19:02:00Z</dcterms:created>
  <dcterms:modified xsi:type="dcterms:W3CDTF">2026-07-07T12:40:00Z</dcterms:modified>
</cp:coreProperties>
</file>