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within a session; a bill reintroduced and passed again by both chambers in the same session is not subject to the suspensive veto and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