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Declarations expire automatically under §1.19.d and may not be renewed within 60 days of expiry.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and treaty negotiation;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request an EM assessment of whether the veto falls within the Legat Consul's defined domain; the EM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If the Assembly does not elect a Civic Consul within that period, the Civic Consul designates a Caretaker Civic Consul from the confirmed ministers;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Caretaker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simultaneously;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reported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Caretaker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simultaneously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 certifies candidates meeting those standards and maintains the pool as a public NRS record. The Civic Consul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with eligibility certified by the JM under §9.4.b — any eligible citizen who applies and meets the qualification criteria is entered. The Civic Consul nominates within the period defined by statute following a vacancy (not to exceed 90 days for anticipated vacancies, 60 days for unanticipated vacancies). The JM confirms registry status and publishes the nominee's full record. The Senate must vote within the period defined by statute following JM publication of the nominee's record (not to exceed 120 days);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Legat Consul must ministerially issue residency credentials; Interference with credential issuance by the Legat Consul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JM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JM certifies the eligibility of each applicant against the stated criteria and publishes its certification to the NRS as part of the registry entry. The EM reviews each applicant's financial disclosure for factual accuracy and publishes findings to the NRS alongside the JM certification. The Elections Panel includes an applicant in the registry upon JM certification; it may not exclude a JM-certified applicant. Registry inclusion does not expire unless the JM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may not fall below the inflation-adjusted equivalent of the prior fiscal year's funding level without a 2/3 vote of both chambers simultaneously. The Monetary Authority certifies each Monitor's prior-year funding level adjusted for inflation and publishes the certified floor to the NRS before the Legislature begins its annual budget process. Where a budget reduces any Monitor below its certified inflation-adjusted floor without the required supermajority, the prior-year funding level takes effect automatically for that Monitor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Where the Monitor Generals cannot reach consensus on a joint matter, each publishes their individual assessment and the disagreement is noted in the permanent NRS record.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Monitor. The appropriate Monitor reviews each applicant against the qualification requirements for that registry or pool and publishes a certification to the NRS. Where an office involves significant financial authority, the EM reviews financial disclosure concurrently.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JMC.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and maintain the public campaign financing system under §8.3 within the period defined by statute following the first Legislature convening; failure to do so is a constitutional compliance breach reported by the LM.</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determines whether a post-service engagement falls within this restriction and the officer bears the burden of demonstrating it does not.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The Endowment operates independently of the annual budget process. The Legislature must establish an Endowment Administrator as an independent agency under §3.9; failure to do so is a constitutional compliance breach reported by the LM. The Administrator’s sole mandate is to preserve and grow the Endowment for social state backstop purposes; it may not be directed to any other goal. Disbursements are activated on Monetary Authority certification of Severe Revenue Contraction and continue until the Monetary Authority certifies the contraction has ended. The EM audits the Administrator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LM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Legat Consul may act immediately and must notify both chambers and the Civic Consul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60 days.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appointed by their respective Monitor Generals;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