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supermajority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14:paraId="731F6822" w14:textId="77777777" w:rsidR="00AF3D56" w:rsidRDefault="00000000">
      <w:pPr>
        <w:spacing w:after="120"/>
        <w:ind w:left="431"/>
        <w:jc w:val="both"/>
      </w:pPr>
      <w:r>
        <w:rPr>
          <w:rFonts w:ascii="Garamond" w:eastAsia="Garamond" w:hAnsi="Garamond" w:cs="Garamond"/>
          <w:color w:val="2A2A2A"/>
          <w:sz w:val="22"/>
          <w:szCs w:val="22"/>
        </w:rPr>
        <w:t>The Civic Consul holds residual executive authority over all functions not enumerated to the Legat Consul. To hold the office of Civic Consul, a person must have been a citizen for at least 7 years at the time of taking office and must hold no federal felony conviction, and must be a serving member of the Assembly as required by §2.6.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preparation of a proposed budget for the civic domain, submitted to the Assembly under §12.2;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14:paraId="4C33F3A4" w14:textId="77777777" w:rsidR="00AF3D56" w:rsidRDefault="00000000">
      <w:pPr>
        <w:spacing w:after="120"/>
        <w:ind w:left="431"/>
        <w:jc w:val="both"/>
      </w:pPr>
      <w:r>
        <w:rPr>
          <w:rFonts w:ascii="Garamond" w:eastAsia="Garamond" w:hAnsi="Garamond" w:cs="Garamond"/>
          <w:color w:val="2A2A2A"/>
          <w:sz w:val="22"/>
          <w:szCs w:val="22"/>
        </w:rPr>
        <w:t>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14:paraId="04A0C131" w14:textId="77777777" w:rsidR="00AF3D56" w:rsidRDefault="00000000">
      <w:pPr>
        <w:spacing w:after="120"/>
        <w:ind w:left="431"/>
        <w:jc w:val="both"/>
      </w:pPr>
      <w:r>
        <w:rPr>
          <w:rFonts w:ascii="Garamond" w:eastAsia="Garamond" w:hAnsi="Garamond" w:cs="Garamond"/>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Assembly Speaker serves as Acting Civic Consul by constitutional operation, with authority limited to maintaining existing policy, until a Civic Consul is elected or designated under this section; the acting service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most senior Assembly member by continuous service who otherwise meets the requirements for Civic Consul assumes the role by constitutional operation, </w:t>
        <w:lastRenderedPageBreak/>
        <w:t>published to the NRS; this appointee holds full Civic Consul authority and is subject to removal under §2.6. Where two or more Assembly members have equal continuous service, the tiebreaker is determined by statute.</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supermajority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14:paraId="14D807BB" w14:textId="77777777" w:rsidR="00AF3D56" w:rsidRDefault="00000000">
      <w:pPr>
        <w:spacing w:after="120"/>
        <w:ind w:left="431"/>
        <w:jc w:val="both"/>
      </w:pPr>
      <w:r>
        <w:rPr>
          <w:rFonts w:ascii="Garamond" w:eastAsia="Garamond" w:hAnsi="Garamond" w:cs="Garamond"/>
          <w:color w:val="2A2A2A"/>
          <w:sz w:val="22"/>
          <w:szCs w:val="22"/>
        </w:rPr>
        <w:t>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14:paraId="2211AABF" w14:textId="77777777" w:rsidR="00AF3D56" w:rsidRDefault="00000000">
      <w:pPr>
        <w:spacing w:after="120"/>
        <w:ind w:left="431"/>
        <w:jc w:val="both"/>
      </w:pPr>
      <w:r>
        <w:rPr>
          <w:rFonts w:ascii="Garamond" w:eastAsia="Garamond" w:hAnsi="Garamond" w:cs="Garamond"/>
          <w:color w:val="2A2A2A"/>
          <w:sz w:val="22"/>
          <w:szCs w:val="22"/>
        </w:rPr>
        <w:t>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14:paraId="719C8B34" w14:textId="77777777" w:rsidR="00AF3D56" w:rsidRDefault="00000000">
      <w:pPr>
        <w:spacing w:after="120"/>
        <w:ind w:left="431"/>
        <w:jc w:val="both"/>
      </w:pPr>
      <w:r>
        <w:rPr>
          <w:rFonts w:ascii="Garamond" w:eastAsia="Garamond" w:hAnsi="Garamond" w:cs="Garamond"/>
          <w:color w:val="2A2A2A"/>
          <w:sz w:val="22"/>
          <w:szCs w:val="22"/>
        </w:rPr>
        <w:t>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14:paraId="73E1130B" w14:textId="77777777" w:rsidR="00AF3D56" w:rsidRDefault="00000000">
      <w:pPr>
        <w:spacing w:after="120"/>
        <w:ind w:left="431"/>
        <w:jc w:val="both"/>
      </w:pPr>
      <w:r>
        <w:rPr>
          <w:rFonts w:ascii="Garamond" w:eastAsia="Garamond" w:hAnsi="Garamond" w:cs="Garamond"/>
          <w:color w:val="2A2A2A"/>
          <w:sz w:val="22"/>
          <w:szCs w:val="22"/>
        </w:rPr>
        <w:t>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14:paraId="3B03B93B" w14:textId="77777777" w:rsidR="00AF3D56" w:rsidRDefault="00000000">
      <w:pPr>
        <w:spacing w:after="120"/>
        <w:ind w:left="431"/>
        <w:jc w:val="both"/>
      </w:pPr>
      <w:r>
        <w:rPr>
          <w:rFonts w:ascii="Garamond" w:eastAsia="Garamond" w:hAnsi="Garamond" w:cs="Garamond"/>
          <w:color w:val="2A2A2A"/>
          <w:sz w:val="22"/>
          <w:szCs w:val="22"/>
        </w:rPr>
        <w:t>SC justices are nominated by the Civic Consul from the Judicial Pool maintained by the Elections Panel under §9.8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14:paraId="66A07987" w14:textId="77777777" w:rsidR="00AF3D56" w:rsidRDefault="00000000">
      <w:pPr>
        <w:spacing w:after="120"/>
        <w:ind w:left="431"/>
        <w:jc w:val="both"/>
      </w:pPr>
      <w:r>
        <w:rPr>
          <w:rFonts w:ascii="Garamond" w:eastAsia="Garamond" w:hAnsi="Garamond" w:cs="Garamond"/>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w:t>
        <w:lastRenderedPageBreak/>
        <w:t>disputes between States, between a State and the federal government, and constitutional challenges to federal statutes; disputes between the Legat Consul and Civic Consul concerning their respective constitutional domains under §2.1; constitutional challenges involving constitutionally independent institutions where their independence protections make inferior court review structurally inappropriate; emergency rights claims brought directly under §16.2; and disputes over the consistency of ratified amendments with entrenched provisions under §17.3.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14:paraId="44D3A75A" w14:textId="77777777" w:rsidR="00AF3D56" w:rsidRDefault="00000000">
      <w:pPr>
        <w:spacing w:after="120"/>
        <w:ind w:left="431"/>
        <w:jc w:val="both"/>
      </w:pPr>
      <w:r>
        <w:rPr>
          <w:rFonts w:ascii="Garamond" w:eastAsia="Garamond" w:hAnsi="Garamond" w:cs="Garamond"/>
          <w:color w:val="2A2A2A"/>
          <w:sz w:val="22"/>
          <w:szCs w:val="22"/>
        </w:rPr>
        <w:t>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14:paraId="436285C2" w14:textId="77777777" w:rsidR="00AF3D56" w:rsidRDefault="00000000">
      <w:pPr>
        <w:spacing w:after="120"/>
        <w:ind w:left="431"/>
        <w:jc w:val="both"/>
      </w:pPr>
      <w:r>
        <w:rPr>
          <w:rFonts w:ascii="Garamond" w:eastAsia="Garamond" w:hAnsi="Garamond" w:cs="Garamond"/>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w:t>
        <w:lastRenderedPageBreak/>
        <w:t>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14:paraId="59901F81" w14:textId="77777777" w:rsidR="00AF3D56" w:rsidRDefault="00000000">
      <w:pPr>
        <w:spacing w:after="120"/>
        <w:ind w:left="431"/>
        <w:jc w:val="both"/>
      </w:pPr>
      <w:r>
        <w:rPr>
          <w:rFonts w:ascii="Garamond" w:eastAsia="Garamond" w:hAnsi="Garamond" w:cs="Garamond"/>
          <w:color w:val="2A2A2A"/>
          <w:sz w:val="22"/>
          <w:szCs w:val="22"/>
        </w:rPr>
        <w:t>The Legat Consul is elected through two concurrent requirements: a national RCV majority and a State plurality qualification. A candidate wins outright by satisfying both. Where a candidate's national RCV majority reaches or exceeds 60% of votes cast,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14:paraId="1758D0D3" w14:textId="77777777" w:rsidR="00AF3D56" w:rsidRDefault="00000000">
      <w:pPr>
        <w:spacing w:after="120"/>
        <w:ind w:left="431"/>
        <w:jc w:val="both"/>
      </w:pPr>
      <w:r>
        <w:rPr>
          <w:rFonts w:ascii="Garamond" w:eastAsia="Garamond" w:hAnsi="Garamond" w:cs="Garamond"/>
          <w:color w:val="2A2A2A"/>
          <w:sz w:val="22"/>
          <w:szCs w:val="22"/>
        </w:rPr>
        <w:t>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§7.1,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14:paraId="3F05EDAE" w14:textId="77777777" w:rsidR="00AF3D56" w:rsidRDefault="00000000">
      <w:pPr>
        <w:spacing w:after="120"/>
        <w:ind w:left="431"/>
        <w:jc w:val="both"/>
      </w:pPr>
      <w:r>
        <w:rPr>
          <w:rFonts w:ascii="Garamond" w:eastAsia="Garamond" w:hAnsi="Garamond" w:cs="Garamond"/>
          <w:color w:val="2A2A2A"/>
          <w:sz w:val="22"/>
          <w:szCs w:val="22"/>
        </w:rPr>
        <w:t>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14:paraId="3CCE73C8" w14:textId="77777777" w:rsidR="00AF3D56" w:rsidRDefault="00000000">
      <w:pPr>
        <w:spacing w:after="120"/>
        <w:ind w:left="431"/>
        <w:jc w:val="both"/>
      </w:pPr>
      <w:r>
        <w:rPr>
          <w:rFonts w:ascii="Garamond" w:eastAsia="Garamond" w:hAnsi="Garamond" w:cs="Garamond"/>
          <w:color w:val="2A2A2A"/>
          <w:sz w:val="22"/>
          <w:szCs w:val="22"/>
        </w:rPr>
        <w:t>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14:paraId="7CD03CD4" w14:textId="77777777" w:rsidR="00AF3D56" w:rsidRDefault="00000000">
      <w:pPr>
        <w:spacing w:after="120"/>
        <w:ind w:left="431"/>
        <w:jc w:val="both"/>
      </w:pPr>
      <w:r>
        <w:rPr>
          <w:rFonts w:ascii="Garamond" w:eastAsia="Garamond" w:hAnsi="Garamond" w:cs="Garamond"/>
          <w:color w:val="2A2A2A"/>
          <w:sz w:val="22"/>
          <w:szCs w:val="22"/>
        </w:rPr>
        <w:t>The Elections Panel maintains all constitutional candidate registries and pools, including the Judicial Pool, and administers public access to their records via the NRS. Each pool is subject to ongoing Monitor audit; findings are published to the NRS.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the applicant may appeal to the SC within 14 days of that publication on the sole ground that the eligibility criteria were misapplied.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14:paraId="1F3C84B3" w14:textId="77777777" w:rsidR="00AF3D56" w:rsidRDefault="00000000">
      <w:pPr>
        <w:spacing w:after="120"/>
        <w:ind w:left="431"/>
        <w:jc w:val="both"/>
      </w:pPr>
      <w:r>
        <w:rPr>
          <w:rFonts w:ascii="Garamond" w:eastAsia="Garamond" w:hAnsi="Garamond" w:cs="Garamond"/>
          <w:color w:val="2A2A2A"/>
          <w:sz w:val="22"/>
          <w:szCs w:val="22"/>
        </w:rPr>
        <w:t xml:space="preserve">This section governs for-cause removal of all constitutionally confirmed independent officers except Supreme Court justices under §4.3.a and elected executives. Monitor Generals are subject to for-cause removal under this section.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w:t>
        <w:lastRenderedPageBreak/>
        <w:t>applicable period, the removal proceeding lapses for that session and may be reinitiated under this section.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