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2516D4" w14:textId="77777777" w:rsidR="00AF3D56" w:rsidRDefault="00000000">
      <w:pPr>
        <w:spacing w:before="1440" w:after="120"/>
        <w:jc w:val="center"/>
      </w:pPr>
      <w:r>
        <w:rPr>
          <w:rFonts w:ascii="Garamond" w:eastAsia="Garamond" w:hAnsi="Garamond" w:cs="Garamond"/>
          <w:color w:val="1B2A4A"/>
          <w:sz w:val="52"/>
          <w:szCs w:val="52"/>
        </w:rPr>
        <w:t>THE FEDERATED REPUBLIC</w:t>
      </w:r>
    </w:p>
    <w:p w14:paraId="13E9BE20" w14:textId="77777777" w:rsidR="00AF3D56" w:rsidRDefault="00000000">
      <w:pPr>
        <w:pBdr>
          <w:bottom w:val="single" w:sz="4" w:space="8" w:color="C9A84C"/>
        </w:pBdr>
        <w:spacing w:after="120"/>
        <w:jc w:val="center"/>
      </w:pPr>
      <w:r>
        <w:rPr>
          <w:rFonts w:ascii="Garamond" w:eastAsia="Garamond" w:hAnsi="Garamond" w:cs="Garamond"/>
          <w:color w:val="C9A84C"/>
          <w:sz w:val="36"/>
          <w:szCs w:val="36"/>
        </w:rPr>
        <w:t>CONSTITUTION</w:t>
      </w:r>
    </w:p>
    <w:p w14:paraId="092F95E3" w14:textId="30E152CC" w:rsidR="00AF3D56" w:rsidRDefault="00000000">
      <w:pPr>
        <w:spacing w:before="240"/>
        <w:jc w:val="center"/>
      </w:pPr>
      <w:r>
        <w:rPr>
          <w:rFonts w:ascii="Garamond" w:eastAsia="Garamond" w:hAnsi="Garamond" w:cs="Garamond"/>
          <w:i/>
          <w:iCs/>
          <w:color w:val="7A7060"/>
          <w:sz w:val="22"/>
          <w:szCs w:val="22"/>
        </w:rPr>
        <w:t xml:space="preserve">162 Provisions · 20 Articles</w:t>
      </w:r>
    </w:p>
    <w:p w14:paraId="0195EB27" w14:textId="77777777" w:rsidR="00AF3D56" w:rsidRDefault="00000000">
      <w:pPr>
        <w:spacing w:before="60"/>
        <w:jc w:val="center"/>
      </w:pPr>
      <w:r>
        <w:rPr>
          <w:rFonts w:ascii="Garamond" w:eastAsia="Garamond" w:hAnsi="Garamond" w:cs="Garamond"/>
          <w:color w:val="7A7060"/>
          <w:sz w:val="18"/>
          <w:szCs w:val="18"/>
        </w:rPr>
        <w:t>thefederatedrepublic.org</w:t>
      </w:r>
    </w:p>
    <w:p w14:paraId="6F6AE7CB"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 — Individual Sovereignty and Rights</w:t>
      </w:r>
    </w:p>
    <w:p w14:paraId="734B5287" w14:textId="77777777" w:rsidR="00AF3D56" w:rsidRDefault="00000000">
      <w:pPr>
        <w:spacing w:before="200" w:after="60"/>
        <w:ind w:left="431"/>
      </w:pPr>
      <w:r>
        <w:rPr>
          <w:rFonts w:ascii="Courier New" w:eastAsia="Courier New" w:hAnsi="Courier New" w:cs="Courier New"/>
          <w:b/>
          <w:bCs/>
          <w:color w:val="2A2A2A"/>
          <w:sz w:val="18"/>
          <w:szCs w:val="18"/>
        </w:rPr>
        <w:t xml:space="preserve">§1.1  </w:t>
      </w:r>
      <w:r>
        <w:rPr>
          <w:rFonts w:ascii="Garamond" w:eastAsia="Garamond" w:hAnsi="Garamond" w:cs="Garamond"/>
          <w:i/>
          <w:iCs/>
          <w:color w:val="1B2A4A"/>
          <w:sz w:val="22"/>
          <w:szCs w:val="22"/>
        </w:rPr>
        <w:t>Right to Courts and Legal Remedy</w:t>
      </w:r>
    </w:p>
    <w:p w14:paraId="2BA9ED1F" w14:textId="77777777" w:rsidR="00AF3D56" w:rsidRDefault="00000000">
      <w:pPr>
        <w:spacing w:after="120"/>
        <w:ind w:left="431"/>
        <w:jc w:val="both"/>
      </w:pPr>
      <w:r>
        <w:rPr>
          <w:rFonts w:ascii="Garamond" w:eastAsia="Garamond" w:hAnsi="Garamond" w:cs="Garamond"/>
          <w:color w:val="2A2A2A"/>
          <w:sz w:val="22"/>
          <w:szCs w:val="22"/>
        </w:rPr>
        <w:t>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14:paraId="30FA7D47" w14:textId="77777777" w:rsidR="00AF3D56" w:rsidRDefault="00000000">
      <w:pPr>
        <w:spacing w:before="200" w:after="60"/>
        <w:ind w:left="431"/>
      </w:pPr>
      <w:r>
        <w:rPr>
          <w:rFonts w:ascii="Courier New" w:eastAsia="Courier New" w:hAnsi="Courier New" w:cs="Courier New"/>
          <w:b/>
          <w:bCs/>
          <w:color w:val="2A2A2A"/>
          <w:sz w:val="18"/>
          <w:szCs w:val="18"/>
        </w:rPr>
        <w:t xml:space="preserve">§1.2  </w:t>
      </w:r>
      <w:r>
        <w:rPr>
          <w:rFonts w:ascii="Garamond" w:eastAsia="Garamond" w:hAnsi="Garamond" w:cs="Garamond"/>
          <w:i/>
          <w:iCs/>
          <w:color w:val="1B2A4A"/>
          <w:sz w:val="22"/>
          <w:szCs w:val="22"/>
        </w:rPr>
        <w:t>Individual Sovereignty Floor</w:t>
      </w:r>
    </w:p>
    <w:p w14:paraId="14A4DD6B" w14:textId="77777777" w:rsidR="00AF3D56" w:rsidRDefault="00000000">
      <w:pPr>
        <w:spacing w:after="120"/>
        <w:ind w:left="431"/>
        <w:jc w:val="both"/>
      </w:pPr>
      <w:r>
        <w:rPr>
          <w:rFonts w:ascii="Garamond" w:eastAsia="Garamond" w:hAnsi="Garamond" w:cs="Garamond"/>
          <w:color w:val="2A2A2A"/>
          <w:sz w:val="22"/>
          <w:szCs w:val="22"/>
        </w:rPr>
        <w:t>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14:paraId="13CF166F" w14:textId="77777777" w:rsidR="00AF3D56" w:rsidRDefault="00000000">
      <w:pPr>
        <w:spacing w:before="200" w:after="60"/>
        <w:ind w:left="431"/>
      </w:pPr>
      <w:r>
        <w:rPr>
          <w:rFonts w:ascii="Courier New" w:eastAsia="Courier New" w:hAnsi="Courier New" w:cs="Courier New"/>
          <w:b/>
          <w:bCs/>
          <w:color w:val="2A2A2A"/>
          <w:sz w:val="18"/>
          <w:szCs w:val="18"/>
        </w:rPr>
        <w:t xml:space="preserve">§1.3  </w:t>
      </w:r>
      <w:r>
        <w:rPr>
          <w:rFonts w:ascii="Garamond" w:eastAsia="Garamond" w:hAnsi="Garamond" w:cs="Garamond"/>
          <w:i/>
          <w:iCs/>
          <w:color w:val="1B2A4A"/>
          <w:sz w:val="22"/>
          <w:szCs w:val="22"/>
        </w:rPr>
        <w:t>Prohibition of Torture and Cruel Treatment</w:t>
      </w:r>
    </w:p>
    <w:p w14:paraId="0A9C5B85" w14:textId="77777777" w:rsidR="00AF3D56" w:rsidRDefault="00000000">
      <w:pPr>
        <w:spacing w:after="120"/>
        <w:ind w:left="431"/>
        <w:jc w:val="both"/>
      </w:pPr>
      <w:r>
        <w:rPr>
          <w:rFonts w:ascii="Garamond" w:eastAsia="Garamond" w:hAnsi="Garamond" w:cs="Garamond"/>
          <w:color w:val="2A2A2A"/>
          <w:sz w:val="22"/>
          <w:szCs w:val="22"/>
        </w:rPr>
        <w:t>Torture and cruel, inhuman, or degrading treatment are absolutely prohibited. No person within the Republic's jurisdiction may be subjected to any such treatment. This right is non-derogable under §1.19.a.</w:t>
      </w:r>
    </w:p>
    <w:p w14:paraId="2B6FC3D3" w14:textId="77777777" w:rsidR="00AF3D56" w:rsidRDefault="00000000">
      <w:pPr>
        <w:spacing w:before="200" w:after="60"/>
        <w:ind w:left="431"/>
      </w:pPr>
      <w:r>
        <w:rPr>
          <w:rFonts w:ascii="Courier New" w:eastAsia="Courier New" w:hAnsi="Courier New" w:cs="Courier New"/>
          <w:b/>
          <w:bCs/>
          <w:color w:val="2A2A2A"/>
          <w:sz w:val="18"/>
          <w:szCs w:val="18"/>
        </w:rPr>
        <w:t xml:space="preserve">§1.4  </w:t>
      </w:r>
      <w:r>
        <w:rPr>
          <w:rFonts w:ascii="Garamond" w:eastAsia="Garamond" w:hAnsi="Garamond" w:cs="Garamond"/>
          <w:i/>
          <w:iCs/>
          <w:color w:val="1B2A4A"/>
          <w:sz w:val="22"/>
          <w:szCs w:val="22"/>
        </w:rPr>
        <w:t>Prohibition of Slavery and Forced Labor</w:t>
      </w:r>
    </w:p>
    <w:p w14:paraId="79B84C91" w14:textId="77777777" w:rsidR="00AF3D56" w:rsidRDefault="00000000">
      <w:pPr>
        <w:spacing w:after="120"/>
        <w:ind w:left="431"/>
        <w:jc w:val="both"/>
      </w:pPr>
      <w:r>
        <w:rPr>
          <w:rFonts w:ascii="Garamond" w:eastAsia="Garamond" w:hAnsi="Garamond" w:cs="Garamond"/>
          <w:color w:val="2A2A2A"/>
          <w:sz w:val="22"/>
          <w:szCs w:val="22"/>
        </w:rPr>
        <w:t>Slavery, involuntary servitude, and forced labor are absolutely prohibited. Prison labor authorized by statute and civic obligations lawfully required of citizens by the Legislature — including jury service, military conscription, and civil emergency duties — do not constitute forced labor under this provision. This right is non-derogable under §1.19.a.</w:t>
      </w:r>
    </w:p>
    <w:p w14:paraId="2E5E4B7E" w14:textId="77777777" w:rsidR="00AF3D56" w:rsidRDefault="00000000">
      <w:pPr>
        <w:spacing w:before="200" w:after="60"/>
        <w:ind w:left="431"/>
      </w:pPr>
      <w:r>
        <w:rPr>
          <w:rFonts w:ascii="Courier New" w:eastAsia="Courier New" w:hAnsi="Courier New" w:cs="Courier New"/>
          <w:b/>
          <w:bCs/>
          <w:color w:val="2A2A2A"/>
          <w:sz w:val="18"/>
          <w:szCs w:val="18"/>
        </w:rPr>
        <w:t xml:space="preserve">§1.5  </w:t>
      </w:r>
      <w:r>
        <w:rPr>
          <w:rFonts w:ascii="Garamond" w:eastAsia="Garamond" w:hAnsi="Garamond" w:cs="Garamond"/>
          <w:i/>
          <w:iCs/>
          <w:color w:val="1B2A4A"/>
          <w:sz w:val="22"/>
          <w:szCs w:val="22"/>
        </w:rPr>
        <w:t>Civil and Political Liberties</w:t>
      </w:r>
    </w:p>
    <w:p w14:paraId="7282DB24" w14:textId="77777777" w:rsidR="00AF3D56" w:rsidRDefault="00000000">
      <w:pPr>
        <w:spacing w:after="120"/>
        <w:ind w:left="431"/>
        <w:jc w:val="both"/>
      </w:pPr>
      <w:r>
        <w:rPr>
          <w:rFonts w:ascii="Garamond" w:eastAsia="Garamond" w:hAnsi="Garamond" w:cs="Garamond"/>
          <w:color w:val="2A2A2A"/>
          <w:sz w:val="22"/>
          <w:szCs w:val="22"/>
        </w:rPr>
        <w:t>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14:paraId="211DE107" w14:textId="77777777" w:rsidR="00AF3D56" w:rsidRDefault="00000000">
      <w:pPr>
        <w:spacing w:before="200" w:after="60"/>
        <w:ind w:left="431"/>
      </w:pPr>
      <w:r>
        <w:rPr>
          <w:rFonts w:ascii="Courier New" w:eastAsia="Courier New" w:hAnsi="Courier New" w:cs="Courier New"/>
          <w:b/>
          <w:bCs/>
          <w:color w:val="2A2A2A"/>
          <w:sz w:val="18"/>
          <w:szCs w:val="18"/>
        </w:rPr>
        <w:t xml:space="preserve">§1.6  </w:t>
      </w:r>
      <w:r>
        <w:rPr>
          <w:rFonts w:ascii="Garamond" w:eastAsia="Garamond" w:hAnsi="Garamond" w:cs="Garamond"/>
          <w:i/>
          <w:iCs/>
          <w:color w:val="1B2A4A"/>
          <w:sz w:val="22"/>
          <w:szCs w:val="22"/>
        </w:rPr>
        <w:t>Equality and Non-Discrimination</w:t>
      </w:r>
    </w:p>
    <w:p w14:paraId="124E8111" w14:textId="77777777" w:rsidR="00AF3D56" w:rsidRDefault="00000000">
      <w:pPr>
        <w:spacing w:after="120"/>
        <w:ind w:left="431"/>
        <w:jc w:val="both"/>
      </w:pPr>
      <w:r>
        <w:rPr>
          <w:rFonts w:ascii="Garamond" w:eastAsia="Garamond" w:hAnsi="Garamond" w:cs="Garamond"/>
          <w:color w:val="2A2A2A"/>
          <w:sz w:val="22"/>
          <w:szCs w:val="22"/>
        </w:rPr>
        <w:t>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14:paraId="68BA3381" w14:textId="77777777" w:rsidR="00AF3D56" w:rsidRDefault="00000000">
      <w:pPr>
        <w:spacing w:before="200" w:after="60"/>
        <w:ind w:left="431"/>
      </w:pPr>
      <w:r>
        <w:rPr>
          <w:rFonts w:ascii="Courier New" w:eastAsia="Courier New" w:hAnsi="Courier New" w:cs="Courier New"/>
          <w:b/>
          <w:bCs/>
          <w:color w:val="2A2A2A"/>
          <w:sz w:val="18"/>
          <w:szCs w:val="18"/>
        </w:rPr>
        <w:t xml:space="preserve">§1.7  </w:t>
      </w:r>
      <w:r>
        <w:rPr>
          <w:rFonts w:ascii="Garamond" w:eastAsia="Garamond" w:hAnsi="Garamond" w:cs="Garamond"/>
          <w:i/>
          <w:iCs/>
          <w:color w:val="1B2A4A"/>
          <w:sz w:val="22"/>
          <w:szCs w:val="22"/>
        </w:rPr>
        <w:t>Bodily Sovereignty and Privacy</w:t>
      </w:r>
    </w:p>
    <w:p w14:paraId="4A56BCE5" w14:textId="77777777" w:rsidR="00AF3D56" w:rsidRDefault="00000000">
      <w:pPr>
        <w:spacing w:after="120"/>
        <w:ind w:left="431"/>
        <w:jc w:val="both"/>
      </w:pPr>
      <w:r>
        <w:rPr>
          <w:rFonts w:ascii="Garamond" w:eastAsia="Garamond" w:hAnsi="Garamond" w:cs="Garamond"/>
          <w:color w:val="2A2A2A"/>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w:t>
        <w:lastRenderedPageBreak/>
        <w:t>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14:paraId="7C997FA5" w14:textId="77777777" w:rsidR="00AF3D56" w:rsidRDefault="00000000">
      <w:pPr>
        <w:spacing w:before="200" w:after="60"/>
        <w:ind w:left="431"/>
      </w:pPr>
      <w:r>
        <w:rPr>
          <w:rFonts w:ascii="Courier New" w:eastAsia="Courier New" w:hAnsi="Courier New" w:cs="Courier New"/>
          <w:b/>
          <w:bCs/>
          <w:color w:val="2A2A2A"/>
          <w:sz w:val="18"/>
          <w:szCs w:val="18"/>
        </w:rPr>
        <w:t xml:space="preserve">§1.8  </w:t>
      </w:r>
      <w:r>
        <w:rPr>
          <w:rFonts w:ascii="Garamond" w:eastAsia="Garamond" w:hAnsi="Garamond" w:cs="Garamond"/>
          <w:i/>
          <w:iCs/>
          <w:color w:val="1B2A4A"/>
          <w:sz w:val="22"/>
          <w:szCs w:val="22"/>
        </w:rPr>
        <w:t>Property and Security of the Home</w:t>
      </w:r>
    </w:p>
    <w:p w14:paraId="27C2D0B5" w14:textId="77777777" w:rsidR="00AF3D56" w:rsidRDefault="00000000">
      <w:pPr>
        <w:spacing w:after="120"/>
        <w:ind w:left="431"/>
        <w:jc w:val="both"/>
      </w:pPr>
      <w:r>
        <w:rPr>
          <w:rFonts w:ascii="Garamond" w:eastAsia="Garamond" w:hAnsi="Garamond" w:cs="Garamond"/>
          <w:color w:val="2A2A2A"/>
          <w:sz w:val="22"/>
          <w:szCs w:val="22"/>
        </w:rPr>
        <w:t>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14:paraId="77CD7BA7" w14:textId="77777777" w:rsidR="00AF3D56" w:rsidRDefault="00000000">
      <w:pPr>
        <w:spacing w:before="200" w:after="60"/>
        <w:ind w:left="431"/>
      </w:pPr>
      <w:r>
        <w:rPr>
          <w:rFonts w:ascii="Courier New" w:eastAsia="Courier New" w:hAnsi="Courier New" w:cs="Courier New"/>
          <w:b/>
          <w:bCs/>
          <w:color w:val="2A2A2A"/>
          <w:sz w:val="18"/>
          <w:szCs w:val="18"/>
        </w:rPr>
        <w:t xml:space="preserve">§1.9  </w:t>
      </w:r>
      <w:r>
        <w:rPr>
          <w:rFonts w:ascii="Garamond" w:eastAsia="Garamond" w:hAnsi="Garamond" w:cs="Garamond"/>
          <w:i/>
          <w:iCs/>
          <w:color w:val="1B2A4A"/>
          <w:sz w:val="22"/>
          <w:szCs w:val="22"/>
        </w:rPr>
        <w:t>Democratic Participation and Family</w:t>
      </w:r>
    </w:p>
    <w:p w14:paraId="210DB5F3" w14:textId="77777777" w:rsidR="00AF3D56" w:rsidRDefault="00000000">
      <w:pPr>
        <w:spacing w:after="120"/>
        <w:ind w:left="431"/>
        <w:jc w:val="both"/>
      </w:pPr>
      <w:r>
        <w:rPr>
          <w:rFonts w:ascii="Garamond" w:eastAsia="Garamond" w:hAnsi="Garamond" w:cs="Garamond"/>
          <w:color w:val="2A2A2A"/>
          <w:sz w:val="22"/>
          <w:szCs w:val="22"/>
        </w:rPr>
        <w:t>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14:paraId="2609DD8E" w14:textId="77777777" w:rsidR="00AF3D56" w:rsidRDefault="00000000">
      <w:pPr>
        <w:spacing w:before="200" w:after="60"/>
        <w:ind w:left="431"/>
      </w:pPr>
      <w:r>
        <w:rPr>
          <w:rFonts w:ascii="Courier New" w:eastAsia="Courier New" w:hAnsi="Courier New" w:cs="Courier New"/>
          <w:b/>
          <w:bCs/>
          <w:color w:val="2A2A2A"/>
          <w:sz w:val="18"/>
          <w:szCs w:val="18"/>
        </w:rPr>
        <w:t xml:space="preserve">§1.10  </w:t>
      </w:r>
      <w:r>
        <w:rPr>
          <w:rFonts w:ascii="Garamond" w:eastAsia="Garamond" w:hAnsi="Garamond" w:cs="Garamond"/>
          <w:i/>
          <w:iCs/>
          <w:color w:val="1B2A4A"/>
          <w:sz w:val="22"/>
          <w:szCs w:val="22"/>
        </w:rPr>
        <w:t>Right to Bear Arms</w:t>
      </w:r>
    </w:p>
    <w:p w14:paraId="638565DA" w14:textId="77777777" w:rsidR="00AF3D56" w:rsidRDefault="00000000">
      <w:pPr>
        <w:spacing w:after="120"/>
        <w:ind w:left="431"/>
        <w:jc w:val="both"/>
      </w:pPr>
      <w:r>
        <w:rPr>
          <w:rFonts w:ascii="Garamond" w:eastAsia="Garamond" w:hAnsi="Garamond" w:cs="Garamond"/>
          <w:color w:val="2A2A2A"/>
          <w:sz w:val="22"/>
          <w:szCs w:val="22"/>
        </w:rPr>
        <w:t>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14:paraId="0FA15129"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Habeas Corpus</w:t>
      </w:r>
    </w:p>
    <w:p w14:paraId="3AB35A20" w14:textId="77777777" w:rsidR="00AF3D56" w:rsidRDefault="00000000">
      <w:pPr>
        <w:spacing w:after="120"/>
        <w:ind w:left="431"/>
        <w:jc w:val="both"/>
      </w:pPr>
      <w:r>
        <w:rPr>
          <w:rFonts w:ascii="Garamond" w:eastAsia="Garamond" w:hAnsi="Garamond" w:cs="Garamond"/>
          <w:color w:val="2A2A2A"/>
          <w:sz w:val="22"/>
          <w:szCs w:val="22"/>
        </w:rPr>
        <w:t>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§1.19.a.</w:t>
      </w:r>
    </w:p>
    <w:p w14:paraId="0D955B5D"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Rights of the Accused and Fair Trial</w:t>
      </w:r>
    </w:p>
    <w:p w14:paraId="35DEBB2E"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14:paraId="3CBF969F"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Right to a Public Trial</w:t>
      </w:r>
    </w:p>
    <w:p w14:paraId="1D023378"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§1.19.a.</w:t>
      </w:r>
    </w:p>
    <w:p w14:paraId="787D5709" w14:textId="77777777" w:rsidR="00AF3D56" w:rsidRDefault="00000000">
      <w:pPr>
        <w:spacing w:before="200" w:after="60"/>
        <w:ind w:left="431"/>
      </w:pPr>
      <w:r>
        <w:rPr>
          <w:rFonts w:ascii="Courier New" w:eastAsia="Courier New" w:hAnsi="Courier New" w:cs="Courier New"/>
          <w:b/>
          <w:bCs/>
          <w:color w:val="2A2A2A"/>
          <w:sz w:val="18"/>
          <w:szCs w:val="18"/>
        </w:rPr>
        <w:t xml:space="preserve">§1.14  </w:t>
      </w:r>
      <w:r>
        <w:rPr>
          <w:rFonts w:ascii="Garamond" w:eastAsia="Garamond" w:hAnsi="Garamond" w:cs="Garamond"/>
          <w:i/>
          <w:iCs/>
          <w:color w:val="1B2A4A"/>
          <w:sz w:val="22"/>
          <w:szCs w:val="22"/>
        </w:rPr>
        <w:t>Freedom from Retroactive Criminal Law</w:t>
      </w:r>
    </w:p>
    <w:p w14:paraId="7B80E94E" w14:textId="77777777" w:rsidR="00AF3D56" w:rsidRDefault="00000000">
      <w:pPr>
        <w:spacing w:after="120"/>
        <w:ind w:left="431"/>
        <w:jc w:val="both"/>
      </w:pPr>
      <w:r>
        <w:rPr>
          <w:rFonts w:ascii="Garamond" w:eastAsia="Garamond" w:hAnsi="Garamond" w:cs="Garamond"/>
          <w:color w:val="2A2A2A"/>
          <w:sz w:val="22"/>
          <w:szCs w:val="22"/>
        </w:rPr>
        <w:t>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§1.19.a.</w:t>
      </w:r>
    </w:p>
    <w:p w14:paraId="1B834AE7" w14:textId="77777777" w:rsidR="00AF3D56" w:rsidRDefault="00000000">
      <w:pPr>
        <w:spacing w:before="200" w:after="60"/>
        <w:ind w:left="431"/>
      </w:pPr>
      <w:r>
        <w:rPr>
          <w:rFonts w:ascii="Courier New" w:eastAsia="Courier New" w:hAnsi="Courier New" w:cs="Courier New"/>
          <w:b/>
          <w:bCs/>
          <w:color w:val="2A2A2A"/>
          <w:sz w:val="18"/>
          <w:szCs w:val="18"/>
        </w:rPr>
        <w:t xml:space="preserve">§1.15  </w:t>
      </w:r>
      <w:r>
        <w:rPr>
          <w:rFonts w:ascii="Garamond" w:eastAsia="Garamond" w:hAnsi="Garamond" w:cs="Garamond"/>
          <w:i/>
          <w:iCs/>
          <w:color w:val="1B2A4A"/>
          <w:sz w:val="22"/>
          <w:szCs w:val="22"/>
        </w:rPr>
        <w:t>Double Jeopardy</w:t>
      </w:r>
    </w:p>
    <w:p w14:paraId="16DD333F" w14:textId="77777777" w:rsidR="00AF3D56" w:rsidRDefault="00000000">
      <w:pPr>
        <w:spacing w:after="120"/>
        <w:ind w:left="431"/>
        <w:jc w:val="both"/>
      </w:pPr>
      <w:r>
        <w:rPr>
          <w:rFonts w:ascii="Garamond" w:eastAsia="Garamond" w:hAnsi="Garamond" w:cs="Garamond"/>
          <w:color w:val="2A2A2A"/>
          <w:sz w:val="22"/>
          <w:szCs w:val="22"/>
        </w:rPr>
        <w:lastRenderedPageBreak/>
        <w:t>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14:paraId="3F03BB9F" w14:textId="77777777" w:rsidR="00AF3D56" w:rsidRDefault="00000000">
      <w:pPr>
        <w:spacing w:before="200" w:after="60"/>
        <w:ind w:left="431"/>
      </w:pPr>
      <w:r>
        <w:rPr>
          <w:rFonts w:ascii="Courier New" w:eastAsia="Courier New" w:hAnsi="Courier New" w:cs="Courier New"/>
          <w:b/>
          <w:bCs/>
          <w:color w:val="2A2A2A"/>
          <w:sz w:val="18"/>
          <w:szCs w:val="18"/>
        </w:rPr>
        <w:t xml:space="preserve">§1.16  </w:t>
      </w:r>
      <w:r>
        <w:rPr>
          <w:rFonts w:ascii="Garamond" w:eastAsia="Garamond" w:hAnsi="Garamond" w:cs="Garamond"/>
          <w:i/>
          <w:iCs/>
          <w:color w:val="1B2A4A"/>
          <w:sz w:val="22"/>
          <w:szCs w:val="22"/>
        </w:rPr>
        <w:t>Social Assistance Floor</w:t>
      </w:r>
    </w:p>
    <w:p w14:paraId="0D41A466" w14:textId="77777777" w:rsidR="00AF3D56" w:rsidRDefault="00000000">
      <w:pPr>
        <w:spacing w:after="120"/>
        <w:ind w:left="431"/>
        <w:jc w:val="both"/>
      </w:pPr>
      <w:r>
        <w:rPr>
          <w:rFonts w:ascii="Garamond" w:eastAsia="Garamond" w:hAnsi="Garamond" w:cs="Garamond"/>
          <w:color w:val="2A2A2A"/>
          <w:sz w:val="22"/>
          <w:szCs w:val="22"/>
        </w:rPr>
        <w:t>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fulfillment of this right; no reduction in the adequacy standard below the established level is constitutionally valid absent a certified Severe Revenue Contraction under §12.5; any such reduction lapses as §12.5 provides.</w:t>
      </w:r>
    </w:p>
    <w:p w14:paraId="2A4C842B" w14:textId="77777777" w:rsidR="00AF3D56" w:rsidRDefault="00000000">
      <w:pPr>
        <w:spacing w:before="200" w:after="60"/>
        <w:ind w:left="431"/>
      </w:pPr>
      <w:r>
        <w:rPr>
          <w:rFonts w:ascii="Courier New" w:eastAsia="Courier New" w:hAnsi="Courier New" w:cs="Courier New"/>
          <w:b/>
          <w:bCs/>
          <w:color w:val="2A2A2A"/>
          <w:sz w:val="18"/>
          <w:szCs w:val="18"/>
        </w:rPr>
        <w:t xml:space="preserve">§1.17  </w:t>
      </w:r>
      <w:r>
        <w:rPr>
          <w:rFonts w:ascii="Garamond" w:eastAsia="Garamond" w:hAnsi="Garamond" w:cs="Garamond"/>
          <w:i/>
          <w:iCs/>
          <w:color w:val="1B2A4A"/>
          <w:sz w:val="22"/>
          <w:szCs w:val="22"/>
        </w:rPr>
        <w:t>Education</w:t>
      </w:r>
    </w:p>
    <w:p w14:paraId="5477386A" w14:textId="77777777" w:rsidR="00AF3D56" w:rsidRDefault="00000000">
      <w:pPr>
        <w:spacing w:after="120"/>
        <w:ind w:left="431"/>
        <w:jc w:val="both"/>
      </w:pPr>
      <w:r>
        <w:rPr>
          <w:rFonts w:ascii="Garamond" w:eastAsia="Garamond" w:hAnsi="Garamond" w:cs="Garamond"/>
          <w:color w:val="2A2A2A"/>
          <w:sz w:val="22"/>
          <w:szCs w:val="22"/>
        </w:rPr>
        <w:t>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fulfillment of this right; no reduction in the adequacy standard below the established level is constitutionally valid absent a certified Severe Revenue Contraction under §12.5; any such reduction lapses as §12.5 provides.</w:t>
      </w:r>
    </w:p>
    <w:p w14:paraId="7CBC2FB1" w14:textId="77777777" w:rsidR="00AF3D56" w:rsidRDefault="00000000">
      <w:pPr>
        <w:spacing w:before="200" w:after="60"/>
        <w:ind w:left="431"/>
      </w:pPr>
      <w:r>
        <w:rPr>
          <w:rFonts w:ascii="Courier New" w:eastAsia="Courier New" w:hAnsi="Courier New" w:cs="Courier New"/>
          <w:b/>
          <w:bCs/>
          <w:color w:val="2A2A2A"/>
          <w:sz w:val="18"/>
          <w:szCs w:val="18"/>
        </w:rPr>
        <w:t xml:space="preserve">§1.18  </w:t>
      </w:r>
      <w:r>
        <w:rPr>
          <w:rFonts w:ascii="Garamond" w:eastAsia="Garamond" w:hAnsi="Garamond" w:cs="Garamond"/>
          <w:i/>
          <w:iCs/>
          <w:color w:val="1B2A4A"/>
          <w:sz w:val="22"/>
          <w:szCs w:val="22"/>
        </w:rPr>
        <w:t>Environmental Obligations</w:t>
      </w:r>
    </w:p>
    <w:p w14:paraId="5A7E9CCC" w14:textId="77777777" w:rsidR="00AF3D56" w:rsidRDefault="00000000">
      <w:pPr>
        <w:spacing w:after="120"/>
        <w:ind w:left="431"/>
        <w:jc w:val="both"/>
      </w:pPr>
      <w:r>
        <w:rPr>
          <w:rFonts w:ascii="Garamond" w:eastAsia="Garamond" w:hAnsi="Garamond" w:cs="Garamond"/>
          <w:color w:val="2A2A2A"/>
          <w:sz w:val="22"/>
          <w:szCs w:val="22"/>
        </w:rPr>
        <w:t>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14:paraId="465235EB" w14:textId="77777777" w:rsidR="00AF3D56" w:rsidRDefault="00000000">
      <w:pPr>
        <w:spacing w:before="200" w:after="60"/>
        <w:ind w:left="431"/>
      </w:pPr>
      <w:r>
        <w:rPr>
          <w:rFonts w:ascii="Courier New" w:eastAsia="Courier New" w:hAnsi="Courier New" w:cs="Courier New"/>
          <w:b/>
          <w:bCs/>
          <w:color w:val="2A2A2A"/>
          <w:sz w:val="18"/>
          <w:szCs w:val="18"/>
        </w:rPr>
        <w:t xml:space="preserve">§1.19  </w:t>
      </w:r>
      <w:r>
        <w:rPr>
          <w:rFonts w:ascii="Garamond" w:eastAsia="Garamond" w:hAnsi="Garamond" w:cs="Garamond"/>
          <w:i/>
          <w:iCs/>
          <w:color w:val="1B2A4A"/>
          <w:sz w:val="22"/>
          <w:szCs w:val="22"/>
        </w:rPr>
        <w:t>Emergency Derogation</w:t>
      </w:r>
    </w:p>
    <w:p w14:paraId="5AEB6338" w14:textId="77777777" w:rsidR="00AF3D56" w:rsidRDefault="00000000">
      <w:pPr>
        <w:spacing w:after="120"/>
        <w:ind w:left="431"/>
        <w:jc w:val="both"/>
      </w:pPr>
      <w:r>
        <w:rPr>
          <w:rFonts w:ascii="Garamond" w:eastAsia="Garamond" w:hAnsi="Garamond" w:cs="Garamond"/>
          <w:color w:val="2A2A2A"/>
          <w:sz w:val="22"/>
          <w:szCs w:val="22"/>
        </w:rPr>
        <w:t>No emergency — however severe — suspends the Individual Sovereignty Floor in full. Temporary derogation of certain rights is permitted only under the strict conditions of this section; the rights enumerated in §1.19.a may not be derogated. The three Monitors continue to operate with full constitutional authority throughout any emergency — they cannot be suspended or have their mandate reduced by emergency declaration. Emergency derogation of Article I rights requires a declaration specifying the nature of the emergency, which rights are limited, the geographic scope, and the duration; blanket declarations are constitutionally invalid. The declaration is published to the NRS immediately. A derogation declaration may be issued by either executive acting within their constitutional domain under §2.1 and §2.5, effective on NRS publication, for a period not to exceed 14 days; an executive declaration may not be renewed, extended, or reissued for substantially the same emergency by executive act. Derogation beyond 14 days requires a statute enacted through the ordinary legislative process; the statute must state a fixed expiration date and may not be extended. Upon expiration of any declaration, all derogation measures lapse under §1.19.b.</w:t>
      </w:r>
    </w:p>
    <w:p w14:paraId="134A35EF" w14:textId="77777777" w:rsidR="00AF3D56" w:rsidRDefault="00000000">
      <w:pPr>
        <w:spacing w:before="200" w:after="60"/>
        <w:ind w:left="431"/>
      </w:pPr>
      <w:r>
        <w:rPr>
          <w:rFonts w:ascii="Courier New" w:eastAsia="Courier New" w:hAnsi="Courier New" w:cs="Courier New"/>
          <w:b/>
          <w:bCs/>
          <w:color w:val="2A2A2A"/>
          <w:sz w:val="18"/>
          <w:szCs w:val="18"/>
        </w:rPr>
        <w:t xml:space="preserve">§1.19.a  </w:t>
      </w:r>
      <w:r>
        <w:rPr>
          <w:rFonts w:ascii="Garamond" w:eastAsia="Garamond" w:hAnsi="Garamond" w:cs="Garamond"/>
          <w:i/>
          <w:iCs/>
          <w:color w:val="1B2A4A"/>
          <w:sz w:val="22"/>
          <w:szCs w:val="22"/>
        </w:rPr>
        <w:t>Non-Derogable Rights</w:t>
      </w:r>
    </w:p>
    <w:p w14:paraId="2103DC74" w14:textId="77777777" w:rsidR="00AF3D56" w:rsidRDefault="00000000">
      <w:pPr>
        <w:spacing w:after="120"/>
        <w:ind w:left="431"/>
        <w:jc w:val="both"/>
      </w:pPr>
      <w:r>
        <w:rPr>
          <w:rFonts w:ascii="Garamond" w:eastAsia="Garamond" w:hAnsi="Garamond" w:cs="Garamond"/>
          <w:color w:val="2A2A2A"/>
          <w:sz w:val="22"/>
          <w:szCs w:val="22"/>
        </w:rPr>
        <w:t>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14:paraId="2C2D24AF" w14:textId="77777777" w:rsidR="00AF3D56" w:rsidRDefault="00000000">
      <w:pPr>
        <w:spacing w:before="200" w:after="60"/>
        <w:ind w:left="431"/>
      </w:pPr>
      <w:r>
        <w:rPr>
          <w:rFonts w:ascii="Courier New" w:eastAsia="Courier New" w:hAnsi="Courier New" w:cs="Courier New"/>
          <w:b/>
          <w:bCs/>
          <w:color w:val="2A2A2A"/>
          <w:sz w:val="18"/>
          <w:szCs w:val="18"/>
        </w:rPr>
        <w:t xml:space="preserve">§1.19.b  </w:t>
      </w:r>
      <w:r>
        <w:rPr>
          <w:rFonts w:ascii="Garamond" w:eastAsia="Garamond" w:hAnsi="Garamond" w:cs="Garamond"/>
          <w:i/>
          <w:iCs/>
          <w:color w:val="1B2A4A"/>
          <w:sz w:val="22"/>
          <w:szCs w:val="22"/>
        </w:rPr>
        <w:t>Emergency Declaration Lifecycle</w:t>
      </w:r>
    </w:p>
    <w:p w14:paraId="5AE51F8B" w14:textId="77777777" w:rsidR="00AF3D56" w:rsidRDefault="00000000">
      <w:pPr>
        <w:spacing w:after="120"/>
        <w:ind w:left="431"/>
        <w:jc w:val="both"/>
      </w:pPr>
      <w:r>
        <w:rPr>
          <w:rFonts w:ascii="Garamond" w:eastAsia="Garamond" w:hAnsi="Garamond" w:cs="Garamond"/>
          <w:color w:val="2A2A2A"/>
          <w:sz w:val="22"/>
          <w:szCs w:val="22"/>
        </w:rPr>
        <w:t xml:space="preserve">Emergency measures lapse automatically at the expiry of the Declaration. No Declaration — executive or statutory — may be extended; every Declaration expires on the terms stated at its issuance. Judicial review of any emergency measure is available to any citizen at any time, and </w:t>
        <w:lastRenderedPageBreak/>
        <w:t>courts may rule during the emergency that a specific measure is unconstitutional. No emergency measure may be made permanent by legislative act; any measure not re-enacted through the ordinary legislative process lapses automatically at the expiry of the Declaration.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14:paraId="22F80CC3" w14:textId="77777777" w:rsidR="00AF3D56" w:rsidRDefault="00000000">
      <w:pPr>
        <w:spacing w:before="200" w:after="60"/>
        <w:ind w:left="431"/>
      </w:pPr>
      <w:r>
        <w:rPr>
          <w:rFonts w:ascii="Courier New" w:eastAsia="Courier New" w:hAnsi="Courier New" w:cs="Courier New"/>
          <w:b/>
          <w:bCs/>
          <w:color w:val="2A2A2A"/>
          <w:sz w:val="18"/>
          <w:szCs w:val="18"/>
        </w:rPr>
        <w:t xml:space="preserve">§1.20  </w:t>
      </w:r>
      <w:r>
        <w:rPr>
          <w:rFonts w:ascii="Garamond" w:eastAsia="Garamond" w:hAnsi="Garamond" w:cs="Garamond"/>
          <w:i/>
          <w:iCs/>
          <w:color w:val="1B2A4A"/>
          <w:sz w:val="22"/>
          <w:szCs w:val="22"/>
        </w:rPr>
        <w:t>Right to Seek Asylum</w:t>
      </w:r>
    </w:p>
    <w:p w14:paraId="210E5295" w14:textId="77777777" w:rsidR="00AF3D56" w:rsidRDefault="00000000">
      <w:pPr>
        <w:spacing w:after="120"/>
        <w:ind w:left="431"/>
        <w:jc w:val="both"/>
      </w:pPr>
      <w:r>
        <w:rPr>
          <w:rFonts w:ascii="Garamond" w:eastAsia="Garamond" w:hAnsi="Garamond" w:cs="Garamond"/>
          <w:color w:val="2A2A2A"/>
          <w:sz w:val="22"/>
          <w:szCs w:val="22"/>
        </w:rPr>
        <w:t>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14:paraId="3D82EB6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Non-Refoulement</w:t>
      </w:r>
    </w:p>
    <w:p w14:paraId="628CCC7E"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§1.19.a.</w:t>
      </w:r>
    </w:p>
    <w:p w14:paraId="432EEB6F" w14:textId="77777777" w:rsidR="00CD141D" w:rsidRDefault="00CD141D">
      <w:pPr>
        <w:spacing w:after="120"/>
        <w:ind w:left="431"/>
        <w:jc w:val="both"/>
        <w:rPr>
          <w:rFonts w:ascii="Garamond" w:eastAsia="Garamond" w:hAnsi="Garamond" w:cs="Garamond"/>
          <w:color w:val="2A2A2A"/>
          <w:sz w:val="22"/>
          <w:szCs w:val="22"/>
        </w:rPr>
      </w:pPr>
    </w:p>
    <w:p w14:paraId="5325A9D2" w14:textId="7B95FAC9" w:rsidR="00CD141D" w:rsidRDefault="00CD141D" w:rsidP="00CD141D">
      <w:pPr>
        <w:spacing w:before="200" w:after="60"/>
        <w:ind w:left="431"/>
        <w:rPr>
          <w:rFonts w:ascii="Garamond" w:eastAsia="Garamond" w:hAnsi="Garamond" w:cs="Garamond"/>
          <w:i/>
          <w:iCs/>
          <w:color w:val="1B2A4A"/>
          <w:sz w:val="22"/>
          <w:szCs w:val="22"/>
        </w:rPr>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Official Capacity Protection</w:t>
      </w:r>
    </w:p>
    <w:p w14:paraId="64C4F280" w14:textId="5859EFED" w:rsidR="00CD141D" w:rsidRPr="00CD141D" w:rsidRDefault="00CD141D" w:rsidP="00CD141D">
      <w:pPr>
        <w:spacing w:before="200" w:after="60"/>
        <w:ind w:left="431"/>
        <w:jc w:val="both"/>
      </w:pPr>
      <w:r>
        <w:rPr>
          <w:rFonts w:ascii="Garamond" w:eastAsia="Garamond" w:hAnsi="Garamond" w:cs="Garamond"/>
          <w:color w:val="2A2A2A"/>
          <w:sz w:val="22"/>
          <w:szCs w:val="22"/>
        </w:rPr>
        <w:t>Constitutional officers and persons acting within the authority of a constitutional office in the performance of official functions hold protection from civil proceedings arising from those official acts. This protection does not extend to criminal conduct, acts performed outside official capacity or authority, or acts that violate any provision of this constitution. Nothing in this provision bars legal remedies otherwise available under this constitution or statute.</w:t>
      </w:r>
    </w:p>
    <w:p w14:paraId="5325A9D2" w14:textId="7B95FAC9" w:rsidR="00CD141D" w:rsidRDefault="00CD141D" w:rsidP="00CD141D">
      <w:pPr>
        <w:spacing w:before="200" w:after="60"/>
        <w:ind w:left="431"/>
        <w:rPr>
          <w:rFonts w:ascii="Garamond" w:eastAsia="Garamond" w:hAnsi="Garamond" w:cs="Garamond"/>
          <w:i/>
          <w:iCs/>
          <w:color w:val="1B2A4A"/>
          <w:sz w:val="22"/>
          <w:szCs w:val="22"/>
        </w:rPr>
      </w:pPr>
      <w:r>
        <w:rPr>
          <w:rFonts w:ascii="Courier New" w:eastAsia="Courier New" w:hAnsi="Courier New" w:cs="Courier New"/>
          <w:b/>
          <w:bCs/>
          <w:color w:val="2A2A2A"/>
          <w:sz w:val="18"/>
          <w:szCs w:val="18"/>
        </w:rPr>
        <w:t xml:space="preserve">§1.23  </w:t>
      </w:r>
      <w:r>
        <w:rPr>
          <w:rFonts w:ascii="Garamond" w:eastAsia="Garamond" w:hAnsi="Garamond" w:cs="Garamond"/>
          <w:i/>
          <w:iCs/>
          <w:color w:val="1B2A4A"/>
          <w:sz w:val="22"/>
          <w:szCs w:val="22"/>
        </w:rPr>
        <w:t>Separation of Branch Authority</w:t>
      </w:r>
    </w:p>
    <w:p w14:paraId="64C4F280" w14:textId="5859EFED" w:rsidR="00CD141D" w:rsidRPr="00CD141D" w:rsidRDefault="00CD141D" w:rsidP="00CD141D">
      <w:pPr>
        <w:spacing w:before="200" w:after="60"/>
        <w:ind w:left="431"/>
        <w:jc w:val="both"/>
      </w:pPr>
      <w:r>
        <w:rPr>
          <w:rFonts w:ascii="Garamond" w:eastAsia="Garamond" w:hAnsi="Garamond" w:cs="Garamond"/>
          <w:color w:val="2A2A2A"/>
          <w:sz w:val="22"/>
          <w:szCs w:val="22"/>
        </w:rPr>
        <w:t xml:space="preserve">No person may exercise the voting or decisional authority of more than one branch of government at the same time; a person holding or acting in an office of one branch may not cast a vote or exercise a decisional power reserved to another branch for so long as they hold or act in that office. This section does not bar a person from holding a seat that carries no exercisable vote during such service, nor from resuming an office or vote upon leaving the position that created the conflict.</w:t>
      </w:r>
    </w:p>
    <w:p w14:paraId="285F4CDF" w14:textId="77777777" w:rsidR="00CD141D" w:rsidRDefault="00CD141D" w:rsidP="00CD141D">
      <w:pPr>
        <w:spacing w:before="200" w:after="60"/>
        <w:ind w:left="431"/>
      </w:pPr>
    </w:p>
    <w:p w14:paraId="0E0AE5FC" w14:textId="77777777" w:rsidR="00CD141D" w:rsidRDefault="00CD141D">
      <w:pPr>
        <w:spacing w:after="120"/>
        <w:ind w:left="431"/>
        <w:jc w:val="both"/>
      </w:pPr>
    </w:p>
    <w:p w14:paraId="4E8DD8F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 — The Dual Executive</w:t>
      </w:r>
    </w:p>
    <w:p w14:paraId="32C93161" w14:textId="77777777" w:rsidR="00AF3D56" w:rsidRDefault="00000000">
      <w:pPr>
        <w:spacing w:before="200" w:after="60"/>
        <w:ind w:left="431"/>
      </w:pPr>
      <w:r>
        <w:rPr>
          <w:rFonts w:ascii="Courier New" w:eastAsia="Courier New" w:hAnsi="Courier New" w:cs="Courier New"/>
          <w:b/>
          <w:bCs/>
          <w:color w:val="2A2A2A"/>
          <w:sz w:val="18"/>
          <w:szCs w:val="18"/>
        </w:rPr>
        <w:t xml:space="preserve">§2.1  </w:t>
      </w:r>
      <w:r>
        <w:rPr>
          <w:rFonts w:ascii="Garamond" w:eastAsia="Garamond" w:hAnsi="Garamond" w:cs="Garamond"/>
          <w:i/>
          <w:iCs/>
          <w:color w:val="1B2A4A"/>
          <w:sz w:val="22"/>
          <w:szCs w:val="22"/>
        </w:rPr>
        <w:t>The Legat Consul — Domain and Term</w:t>
      </w:r>
    </w:p>
    <w:p w14:paraId="6B78322C" w14:textId="77777777" w:rsidR="00AF3D56" w:rsidRDefault="00000000">
      <w:pPr>
        <w:spacing w:after="120"/>
        <w:ind w:left="431"/>
        <w:jc w:val="both"/>
      </w:pPr>
      <w:r>
        <w:rPr>
          <w:rFonts w:ascii="Garamond" w:eastAsia="Garamond" w:hAnsi="Garamond" w:cs="Garamond"/>
          <w:color w:val="2A2A2A"/>
          <w:sz w:val="22"/>
          <w:szCs w:val="22"/>
        </w:rPr>
        <w:t>To hold the office of Legat Consul, a person must have been a citizen for at least 7 years at the time of taking office. Eligibility and disclosure requirements applicable to all federal offices are established in §7.4.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relations with recognized indigenous nations under Article XVI, including recognition determinations under §16.4;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Either executive may petition the SC under its original jurisdiction in §4.5 for domain determination. During active military operations, the Legat Consul’s domain governs operational decisions.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time of transfer.</w:t>
      </w:r>
    </w:p>
    <w:p w14:paraId="7D29BD50" w14:textId="77777777" w:rsidR="00AF3D56" w:rsidRDefault="00000000">
      <w:pPr>
        <w:spacing w:before="200" w:after="60"/>
        <w:ind w:left="431"/>
      </w:pPr>
      <w:r>
        <w:rPr>
          <w:rFonts w:ascii="Courier New" w:eastAsia="Courier New" w:hAnsi="Courier New" w:cs="Courier New"/>
          <w:b/>
          <w:bCs/>
          <w:color w:val="2A2A2A"/>
          <w:sz w:val="18"/>
          <w:szCs w:val="18"/>
        </w:rPr>
        <w:t xml:space="preserve">§2.2  </w:t>
      </w:r>
      <w:r>
        <w:rPr>
          <w:rFonts w:ascii="Garamond" w:eastAsia="Garamond" w:hAnsi="Garamond" w:cs="Garamond"/>
          <w:i/>
          <w:iCs/>
          <w:color w:val="1B2A4A"/>
          <w:sz w:val="22"/>
          <w:szCs w:val="22"/>
        </w:rPr>
        <w:t>Military Authorization Framework</w:t>
      </w:r>
    </w:p>
    <w:p w14:paraId="4550A584" w14:textId="77777777" w:rsidR="00AF3D56" w:rsidRDefault="00000000">
      <w:pPr>
        <w:spacing w:after="120"/>
        <w:ind w:left="431"/>
        <w:jc w:val="both"/>
      </w:pPr>
      <w:r>
        <w:rPr>
          <w:rFonts w:ascii="Garamond" w:eastAsia="Garamond" w:hAnsi="Garamond" w:cs="Garamond"/>
          <w:color w:val="2A2A2A"/>
          <w:sz w:val="22"/>
          <w:szCs w:val="22"/>
        </w:rPr>
        <w:t>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is governed by §14.2. All military operations must state and be consistent with an authorized purpose under §14.1.</w:t>
      </w:r>
    </w:p>
    <w:p w14:paraId="41EA91BE" w14:textId="77777777" w:rsidR="00AF3D56" w:rsidRDefault="00000000">
      <w:pPr>
        <w:spacing w:before="200" w:after="60"/>
        <w:ind w:left="431"/>
      </w:pPr>
      <w:r>
        <w:rPr>
          <w:rFonts w:ascii="Courier New" w:eastAsia="Courier New" w:hAnsi="Courier New" w:cs="Courier New"/>
          <w:b/>
          <w:bCs/>
          <w:color w:val="2A2A2A"/>
          <w:sz w:val="18"/>
          <w:szCs w:val="18"/>
        </w:rPr>
        <w:t xml:space="preserve">§2.3  </w:t>
      </w:r>
      <w:r>
        <w:rPr>
          <w:rFonts w:ascii="Garamond" w:eastAsia="Garamond" w:hAnsi="Garamond" w:cs="Garamond"/>
          <w:i/>
          <w:iCs/>
          <w:color w:val="1B2A4A"/>
          <w:sz w:val="22"/>
          <w:szCs w:val="22"/>
        </w:rPr>
        <w:t>Consular Intelligence and Veto</w:t>
      </w:r>
    </w:p>
    <w:p w14:paraId="5EE6093A" w14:textId="77777777" w:rsidR="00AF3D56" w:rsidRDefault="00000000">
      <w:pPr>
        <w:spacing w:after="120"/>
        <w:ind w:left="431"/>
        <w:jc w:val="both"/>
      </w:pPr>
      <w:r>
        <w:rPr>
          <w:rFonts w:ascii="Garamond" w:eastAsia="Garamond" w:hAnsi="Garamond" w:cs="Garamond"/>
          <w:color w:val="2A2A2A"/>
          <w:sz w:val="22"/>
          <w:szCs w:val="22"/>
        </w:rPr>
        <w:t>The Legat Consul directs foreign intelligence. No intelligence operation may be conducted against Republic citizens within Republic territory on the Legat Consul's authority; such operations require independent judicial authorization.</w:t>
      </w:r>
    </w:p>
    <w:p w14:paraId="39FCE2CB" w14:textId="77777777" w:rsidR="00AF3D56" w:rsidRDefault="00000000">
      <w:pPr>
        <w:spacing w:before="200" w:after="60"/>
        <w:ind w:left="431"/>
      </w:pPr>
      <w:r>
        <w:rPr>
          <w:rFonts w:ascii="Courier New" w:eastAsia="Courier New" w:hAnsi="Courier New" w:cs="Courier New"/>
          <w:b/>
          <w:bCs/>
          <w:color w:val="2A2A2A"/>
          <w:sz w:val="18"/>
          <w:szCs w:val="18"/>
        </w:rPr>
        <w:t xml:space="preserve">§2.3.a  </w:t>
      </w:r>
      <w:r>
        <w:rPr>
          <w:rFonts w:ascii="Garamond" w:eastAsia="Garamond" w:hAnsi="Garamond" w:cs="Garamond"/>
          <w:i/>
          <w:iCs/>
          <w:color w:val="1B2A4A"/>
          <w:sz w:val="22"/>
          <w:szCs w:val="22"/>
        </w:rPr>
        <w:t>Legat Consul Legislative Veto</w:t>
      </w:r>
    </w:p>
    <w:p w14:paraId="35954EBA" w14:textId="77777777" w:rsidR="00AF3D56" w:rsidRDefault="00000000">
      <w:pPr>
        <w:spacing w:after="120"/>
        <w:ind w:left="431"/>
        <w:jc w:val="both"/>
      </w:pPr>
      <w:r>
        <w:rPr>
          <w:rFonts w:ascii="Garamond" w:eastAsia="Garamond" w:hAnsi="Garamond" w:cs="Garamond"/>
          <w:color w:val="2A2A2A"/>
          <w:sz w:val="22"/>
          <w:szCs w:val="22"/>
        </w:rPr>
        <w:t>The Legat Consul may veto legislation that raises a genuine constitutional concern within the Legat Consul’s security domain — military operations, intelligence, treaty obligations, or border security — by returning the bill within 10 business days of final passage with a written statement of grounds, published to the NRS. A general or speculative security connection is insufficient. If the Legat Consul neither acts nor objects within 10 business days of final passage, the bill is enacted by operation of law. The Legat Consul’s veto may be used only once on any bill; a bill reintroduced and passed by both chambers in a subsequent session proceeds without Legat Consul interference. Under §9.1, either Speaker may request an EM assessment of the domain question. The Senate may override by 2/3 at any time during that session; where no override occurs, the bill lapses for that session.</w:t>
      </w:r>
    </w:p>
    <w:p w14:paraId="3BFA0C43" w14:textId="77777777" w:rsidR="00AF3D56" w:rsidRDefault="00000000">
      <w:pPr>
        <w:spacing w:before="200" w:after="60"/>
        <w:ind w:left="431"/>
      </w:pPr>
      <w:r>
        <w:rPr>
          <w:rFonts w:ascii="Courier New" w:eastAsia="Courier New" w:hAnsi="Courier New" w:cs="Courier New"/>
          <w:b/>
          <w:bCs/>
          <w:color w:val="2A2A2A"/>
          <w:sz w:val="18"/>
          <w:szCs w:val="18"/>
        </w:rPr>
        <w:t xml:space="preserve">§2.4  </w:t>
      </w:r>
      <w:r>
        <w:rPr>
          <w:rFonts w:ascii="Garamond" w:eastAsia="Garamond" w:hAnsi="Garamond" w:cs="Garamond"/>
          <w:i/>
          <w:iCs/>
          <w:color w:val="1B2A4A"/>
          <w:sz w:val="22"/>
          <w:szCs w:val="22"/>
        </w:rPr>
        <w:t>Legat Consul International Agreements</w:t>
      </w:r>
    </w:p>
    <w:p w14:paraId="02B54641" w14:textId="77777777" w:rsidR="00AF3D56" w:rsidRDefault="00000000">
      <w:pPr>
        <w:spacing w:after="120"/>
        <w:ind w:left="431"/>
        <w:jc w:val="both"/>
      </w:pPr>
      <w:r>
        <w:rPr>
          <w:rFonts w:ascii="Garamond" w:eastAsia="Garamond" w:hAnsi="Garamond" w:cs="Garamond"/>
          <w:color w:val="2A2A2A"/>
          <w:sz w:val="22"/>
          <w:szCs w:val="22"/>
        </w:rPr>
        <w:t xml:space="preserve">The Legat Consul negotiates and concludes treaties and trade agreements. Treaties are subject to ratification under §3.6. Trade agreements are subject to legislative approval under §3.6. During negotiation of any trade agreement, the Legat Consul must consult the Civic Consul on its domestic implications; the Civic Consul's response is published to the NRS. The Legat Consul nominates senior domain officers — Director of Intelligence, Director of Foreign Affairs, Director of Defense — from a pool of qualified </w:t>
        <w:lastRenderedPageBreak/>
        <w:t>candidates maintained by the Elections Panel under §9.8. The Legislature defines qualifications and confirmation procedures for each office by statute; acting appointments may be made pending confirmation for the period and under the conditions the Legislature defines. A domain officer is a person appointed by the Legat Consul to exercise a portion of the Legat Consul's constitutional domain authority and confirmed by the Senate; persons employed in the civil service or military under a domain officer's direction are not domain officers. The Senate may remove a domain officer by majority of full seated membership; the grounds are stated and published to the NRS. The Legat Consul may dismiss a domain officer at any time, published to the NRS.</w:t>
      </w:r>
    </w:p>
    <w:p w14:paraId="7F54CBE7" w14:textId="77777777" w:rsidR="00AF3D56" w:rsidRDefault="00000000">
      <w:pPr>
        <w:spacing w:before="200" w:after="60"/>
        <w:ind w:left="431"/>
      </w:pPr>
      <w:r>
        <w:rPr>
          <w:rFonts w:ascii="Courier New" w:eastAsia="Courier New" w:hAnsi="Courier New" w:cs="Courier New"/>
          <w:b/>
          <w:bCs/>
          <w:color w:val="2A2A2A"/>
          <w:sz w:val="18"/>
          <w:szCs w:val="18"/>
        </w:rPr>
        <w:t xml:space="preserve">§2.5  </w:t>
      </w:r>
      <w:r>
        <w:rPr>
          <w:rFonts w:ascii="Garamond" w:eastAsia="Garamond" w:hAnsi="Garamond" w:cs="Garamond"/>
          <w:i/>
          <w:iCs/>
          <w:color w:val="1B2A4A"/>
          <w:sz w:val="22"/>
          <w:szCs w:val="22"/>
        </w:rPr>
        <w:t>The Civic Consul — Domain and Term</w:t>
      </w:r>
    </w:p>
    <w:p>
      <w:pPr>
        <w:spacing w:after="120"/>
        <w:ind w:left="431"/>
        <w:jc w:val="both"/>
      </w:pPr>
      <w:r>
        <w:rPr>
          <w:rFonts w:ascii="Garamond" w:eastAsia="Garamond" w:hAnsi="Garamond" w:cs="Garamond"/>
          <w:color w:val="2A2A2A"/>
          <w:sz w:val="22"/>
          <w:szCs w:val="22"/>
        </w:rPr>
        <w:t xml:space="preserve">(1) The Civic Consul holds residual executive authority over all functions not enumerated to the Legat Consul. To hold the office of Civic Consul, a person must be a serving member of the Assembly at the time of election as required by §2.6. Eligibility and disclosure requirements applicable to all federal offices are established in §7.4. No other eligibility requirement applies. The Civic Consul serves at the confidence of the Assembly, subject to removal under §2.6.</w:t>
      </w:r>
    </w:p>
    <w:p>
      <w:pPr>
        <w:spacing w:after="120"/>
        <w:ind w:left="431"/>
        <w:jc w:val="both"/>
      </w:pPr>
      <w:r>
        <w:rPr>
          <w:rFonts w:ascii="Garamond" w:eastAsia="Garamond" w:hAnsi="Garamond" w:cs="Garamond"/>
          <w:color w:val="2A2A2A"/>
          <w:sz w:val="22"/>
          <w:szCs w:val="22"/>
        </w:rPr>
        <w:t xml:space="preserve">(2) No person may serve more than 6 years consecutively as Civic Consul, nor more than 8 years cumulatively across all periods of service; the cumulative limit is a lifetime maximum. A person who has served as Civic Consul for 4 years or more, whether continuously or as the total of their service, and who then leaves the office for any reason, may not serve again as Civic Consul until one full Assembly electoral cycle has passed since they left the office; during that interval they may hold an Assembly seat but may not be elected or designated Civic Consul. A person who has served fewer than 4 years is subject to no cooling-off period on that account, but remains bound by both the consecutive and cumulative limits.</w:t>
      </w:r>
    </w:p>
    <w:p>
      <w:pPr>
        <w:spacing w:after="120"/>
        <w:ind w:left="431"/>
        <w:jc w:val="both"/>
      </w:pPr>
      <w:r>
        <w:rPr>
          <w:rFonts w:ascii="Garamond" w:eastAsia="Garamond" w:hAnsi="Garamond" w:cs="Garamond"/>
          <w:color w:val="2A2A2A"/>
          <w:sz w:val="22"/>
          <w:szCs w:val="22"/>
        </w:rPr>
        <w:t xml:space="preserve">(3) The Civic Consul's domestic authority includes:</w:t>
      </w:r>
    </w:p>
    <w:p>
      <w:pPr>
        <w:spacing w:after="120"/>
        <w:ind w:left="720"/>
        <w:jc w:val="both"/>
      </w:pPr>
      <w:r>
        <w:rPr>
          <w:rFonts w:ascii="Garamond" w:eastAsia="Garamond" w:hAnsi="Garamond" w:cs="Garamond"/>
          <w:color w:val="2A2A2A"/>
          <w:sz w:val="22"/>
          <w:szCs w:val="22"/>
        </w:rPr>
        <w:t xml:space="preserve">— all domestic policy and regulatory frameworks;</w:t>
      </w:r>
    </w:p>
    <w:p>
      <w:pPr>
        <w:spacing w:after="120"/>
        <w:ind w:left="720"/>
        <w:jc w:val="both"/>
      </w:pPr>
      <w:r>
        <w:rPr>
          <w:rFonts w:ascii="Garamond" w:eastAsia="Garamond" w:hAnsi="Garamond" w:cs="Garamond"/>
          <w:color w:val="2A2A2A"/>
          <w:sz w:val="22"/>
          <w:szCs w:val="22"/>
        </w:rPr>
        <w:t xml:space="preserve">— preparation of a proposed budget for the civic domain, submitted to the Assembly under §12.2;</w:t>
      </w:r>
    </w:p>
    <w:p>
      <w:pPr>
        <w:spacing w:after="120"/>
        <w:ind w:left="720"/>
        <w:jc w:val="both"/>
      </w:pPr>
      <w:r>
        <w:rPr>
          <w:rFonts w:ascii="Garamond" w:eastAsia="Garamond" w:hAnsi="Garamond" w:cs="Garamond"/>
          <w:color w:val="2A2A2A"/>
          <w:sz w:val="22"/>
          <w:szCs w:val="22"/>
        </w:rPr>
        <w:t xml:space="preserve">— the civil service;</w:t>
      </w:r>
    </w:p>
    <w:p>
      <w:pPr>
        <w:spacing w:after="120"/>
        <w:ind w:left="720"/>
        <w:jc w:val="both"/>
      </w:pPr>
      <w:r>
        <w:rPr>
          <w:rFonts w:ascii="Garamond" w:eastAsia="Garamond" w:hAnsi="Garamond" w:cs="Garamond"/>
          <w:color w:val="2A2A2A"/>
          <w:sz w:val="22"/>
          <w:szCs w:val="22"/>
        </w:rPr>
        <w:t xml:space="preserve">— and administration of the social state under Article XII.</w:t>
      </w:r>
    </w:p>
    <w:p>
      <w:pPr>
        <w:spacing w:after="120"/>
        <w:ind w:left="431"/>
        <w:jc w:val="both"/>
      </w:pPr>
      <w:r>
        <w:rPr>
          <w:rFonts w:ascii="Garamond" w:eastAsia="Garamond" w:hAnsi="Garamond" w:cs="Garamond"/>
          <w:color w:val="2A2A2A"/>
          <w:sz w:val="22"/>
          <w:szCs w:val="22"/>
        </w:rPr>
        <w:t xml:space="preserve">(4) The Civic Consul may declare a domestic emergency in response to natural disaster, public health crisis, or infrastructure failure, subject to the constraints of Article I and renewable by Assembly approval at intervals defined by statute; in the absence of a statutory interval, the constitutional default is 30 days. The Legat Consul has no role in domestic emergencies.</w:t>
      </w:r>
    </w:p>
    <w:p>
      <w:pPr>
        <w:spacing w:after="120"/>
        <w:ind w:left="431"/>
        <w:jc w:val="both"/>
      </w:pPr>
      <w:r>
        <w:rPr>
          <w:rFonts w:ascii="Garamond" w:eastAsia="Garamond" w:hAnsi="Garamond" w:cs="Garamond"/>
          <w:color w:val="2A2A2A"/>
          <w:sz w:val="22"/>
          <w:szCs w:val="22"/>
        </w:rPr>
        <w:t xml:space="preserve">(5) The Civic Consul has the right to be informed on matters within the Legat Consul's domain that bear on domestic interests or create domestic fiscal obligations. No classification or domain assertion may be used to withhold such information from the Civic Consul. The Legat Consul shall consult the Civic Consul on treaty and compact negotiations with recognized indigenous nations where their terms bear on domestic interests; the Civic Consul's response is advisory.</w:t>
      </w:r>
    </w:p>
    <w:p>
      <w:pPr>
        <w:spacing w:after="120"/>
        <w:ind w:left="431"/>
        <w:jc w:val="both"/>
      </w:pPr>
      <w:r>
        <w:rPr>
          <w:rFonts w:ascii="Garamond" w:eastAsia="Garamond" w:hAnsi="Garamond" w:cs="Garamond"/>
          <w:color w:val="2A2A2A"/>
          <w:sz w:val="22"/>
          <w:szCs w:val="22"/>
        </w:rPr>
        <w:t xml:space="preserve">(6) Where the Civic Consul is temporarily unable to exercise authority, the Assembly Speaker serves as Acting Civic Consul by constitutional operation from the moment the incapacity is published to the NRS, with authority limited to maintaining existing policy and emergency functions. While serving in an acting executive capacity, the Speaker may not exercise any legislative function; the Speaker retains their Assembly seat and the Speakership, and the Assembly provides for the exercise of the Speaker's functions during that period under its internal procedures. Acting service neither extends nor suspends the Speaker's electoral mandate; where the Speaker ceases to be a member of the Assembly, acting authority passes by constitutional operation to the Assembly Speaker then in office. Acting status ends when the Civic Consul resumes their duties or a new Civic Consul is elected under §2.6; the Speaker's legislative functions resume at that moment.</w:t>
      </w:r>
    </w:p>
    <w:p>
      <w:pPr>
        <w:spacing w:after="120"/>
        <w:ind w:left="431"/>
        <w:jc w:val="both"/>
      </w:pPr>
      <w:r>
        <w:rPr>
          <w:rFonts w:ascii="Garamond" w:eastAsia="Garamond" w:hAnsi="Garamond" w:cs="Garamond"/>
          <w:color w:val="2A2A2A"/>
          <w:sz w:val="22"/>
          <w:szCs w:val="22"/>
        </w:rPr>
        <w:t xml:space="preserve">(7) The Civic Consul appoints ministers to lead the departments of the civic domain; ministerial portfolios are defined by statute. Ministers serve at the pleasure of the Civic Consul and require no confirmation; appointments and dismissals are published to the NRS. A minister's service ends when the Civic Consul leaves office; ministers continue in a caretaker capacity, limited to maintaining existing policy, until the incoming Civic Consul's ministers are appointed.</w:t>
      </w:r>
    </w:p>
    <w:p w14:paraId="16EAE3DB" w14:textId="77777777" w:rsidR="00AF3D56" w:rsidRDefault="00000000">
      <w:pPr>
        <w:spacing w:before="200" w:after="60"/>
        <w:ind w:left="431"/>
      </w:pPr>
      <w:r>
        <w:rPr>
          <w:rFonts w:ascii="Courier New" w:eastAsia="Courier New" w:hAnsi="Courier New" w:cs="Courier New"/>
          <w:b/>
          <w:bCs/>
          <w:color w:val="2A2A2A"/>
          <w:sz w:val="18"/>
          <w:szCs w:val="18"/>
        </w:rPr>
        <w:t xml:space="preserve">§2.6  </w:t>
      </w:r>
      <w:r>
        <w:rPr>
          <w:rFonts w:ascii="Garamond" w:eastAsia="Garamond" w:hAnsi="Garamond" w:cs="Garamond"/>
          <w:i/>
          <w:iCs/>
          <w:color w:val="1B2A4A"/>
          <w:sz w:val="22"/>
          <w:szCs w:val="22"/>
        </w:rPr>
        <w:t>Constructive Vote of No Confidence</w:t>
      </w:r>
    </w:p>
    <w:p>
      <w:pPr>
        <w:spacing w:after="120"/>
        <w:ind w:left="431"/>
        <w:jc w:val="both"/>
      </w:pPr>
      <w:r>
        <w:rPr>
          <w:rFonts w:ascii="Garamond" w:eastAsia="Garamond" w:hAnsi="Garamond" w:cs="Garamond"/>
          <w:color w:val="2A2A2A"/>
          <w:sz w:val="22"/>
          <w:szCs w:val="22"/>
        </w:rPr>
        <w:t xml:space="preserve">(1) 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Grounds for the vote are published to the NRS; the vote is a political act and is not subject to judicial review.</w:t>
      </w:r>
    </w:p>
    <w:p>
      <w:pPr>
        <w:spacing w:after="120"/>
        <w:ind w:left="431"/>
        <w:jc w:val="both"/>
      </w:pPr>
      <w:r>
        <w:rPr>
          <w:rFonts w:ascii="Garamond" w:eastAsia="Garamond" w:hAnsi="Garamond" w:cs="Garamond"/>
          <w:color w:val="2A2A2A"/>
          <w:sz w:val="22"/>
          <w:szCs w:val="22"/>
        </w:rPr>
        <w:t xml:space="preserve">(2) A person must be a serving member of the Assembly to be elected Civic Consul. On election as Civic Consul the person vacates their Assembly seat, which is filled under §3.2 as a mid-term vacancy; that Assembly term is deemed fully served by the departing member for purposes of the consecutive-term limit under §3.2.</w:t>
      </w:r>
    </w:p>
    <w:p>
      <w:pPr>
        <w:spacing w:after="120"/>
        <w:ind w:left="431"/>
        <w:jc w:val="both"/>
      </w:pPr>
      <w:r>
        <w:rPr>
          <w:rFonts w:ascii="Garamond" w:eastAsia="Garamond" w:hAnsi="Garamond" w:cs="Garamond"/>
          <w:color w:val="2A2A2A"/>
          <w:sz w:val="22"/>
          <w:szCs w:val="22"/>
        </w:rPr>
        <w:t xml:space="preserve">(3) While in office the Civic Consul holds the ceremonial seat of the office of Civic Consul, which carries the right to sit, speak, and be held to account in the Assembly but carries no vote; the Civic Consul exercises no legislative vote while in office, consistent with §1.23. The ceremonial seat is not counted in the full seated membership of the Assembly for quorum or any voting threshold.</w:t>
      </w:r>
    </w:p>
    <w:p>
      <w:pPr>
        <w:spacing w:after="120"/>
        <w:ind w:left="431"/>
        <w:jc w:val="both"/>
      </w:pPr>
      <w:r>
        <w:rPr>
          <w:rFonts w:ascii="Garamond" w:eastAsia="Garamond" w:hAnsi="Garamond" w:cs="Garamond"/>
          <w:color w:val="2A2A2A"/>
          <w:sz w:val="22"/>
          <w:szCs w:val="22"/>
        </w:rPr>
        <w:t xml:space="preserve">(4) This section governs a person elected or installed to the office of Civic Consul; the Assembly Speaker serving as Acting Civic Consul under §2.5 or §2.6.a retains their own Assembly seat and does not vacate it.</w:t>
      </w:r>
    </w:p>
    <w:p>
      <w:pPr>
        <w:spacing w:after="120"/>
        <w:ind w:left="431"/>
        <w:jc w:val="both"/>
      </w:pPr>
      <w:r>
        <w:rPr>
          <w:rFonts w:ascii="Garamond" w:eastAsia="Garamond" w:hAnsi="Garamond" w:cs="Garamond"/>
          <w:color w:val="2A2A2A"/>
          <w:sz w:val="22"/>
          <w:szCs w:val="22"/>
        </w:rPr>
        <w:t xml:space="preserve">(5) The Civic Consul serves until removed under this section, until the expiration of the consecutive-service limit under §2.5, by resignation, or through the pathways of §3.10.</w:t>
      </w:r>
    </w:p>
    <w:p>
      <w:pPr>
        <w:spacing w:after="120"/>
        <w:ind w:left="431"/>
        <w:jc w:val="both"/>
      </w:pPr>
      <w:r>
        <w:rPr>
          <w:rFonts w:ascii="Garamond" w:eastAsia="Garamond" w:hAnsi="Garamond" w:cs="Garamond"/>
          <w:color w:val="2A2A2A"/>
          <w:sz w:val="22"/>
          <w:szCs w:val="22"/>
        </w:rPr>
        <w:t xml:space="preserve">(6) A person who leaves the office of Civic Consul holds no Assembly seat by virtue of having been Civic Consul; the seat vacated on taking office remains filled under §3.2. A former Civic Consul may run in an election for an Assembly seat, may hold any other constitutional office for which they meet the eligibility requirements, and may seek the office of Civic Consul again subject to the cooling-off period under §2.5.</w:t>
      </w:r>
    </w:p>
    <w:p w14:paraId="0016C56E" w14:textId="77777777" w:rsidR="00AF3D56" w:rsidRDefault="00000000">
      <w:pPr>
        <w:spacing w:before="200" w:after="60"/>
        <w:ind w:left="431"/>
      </w:pPr>
      <w:r>
        <w:rPr>
          <w:rFonts w:ascii="Courier New" w:eastAsia="Courier New" w:hAnsi="Courier New" w:cs="Courier New"/>
          <w:b/>
          <w:bCs/>
          <w:color w:val="2A2A2A"/>
          <w:sz w:val="18"/>
          <w:szCs w:val="18"/>
        </w:rPr>
        <w:t xml:space="preserve">§2.6.a  </w:t>
      </w:r>
      <w:r>
        <w:rPr>
          <w:rFonts w:ascii="Garamond" w:eastAsia="Garamond" w:hAnsi="Garamond" w:cs="Garamond"/>
          <w:i/>
          <w:iCs/>
          <w:color w:val="1B2A4A"/>
          <w:sz w:val="22"/>
          <w:szCs w:val="22"/>
        </w:rPr>
        <w:t>Government Formation</w:t>
      </w:r>
    </w:p>
    <w:p>
      <w:pPr>
        <w:spacing w:after="120"/>
        <w:ind w:left="431"/>
        <w:jc w:val="both"/>
      </w:pPr>
      <w:r>
        <w:rPr>
          <w:rFonts w:ascii="Garamond" w:eastAsia="Garamond" w:hAnsi="Garamond" w:cs="Garamond"/>
          <w:color w:val="2A2A2A"/>
          <w:sz w:val="22"/>
          <w:szCs w:val="22"/>
        </w:rPr>
        <w:t xml:space="preserve">(1) The Assembly elects the Civic Consul by absolute majority within the period defined by statute following any general election or vacancy; where no statutory period has been established, the constitutional default is 21 days.</w:t>
      </w:r>
    </w:p>
    <w:p>
      <w:pPr>
        <w:spacing w:after="120"/>
        <w:ind w:left="431"/>
        <w:jc w:val="both"/>
      </w:pPr>
      <w:r>
        <w:rPr>
          <w:rFonts w:ascii="Garamond" w:eastAsia="Garamond" w:hAnsi="Garamond" w:cs="Garamond"/>
          <w:color w:val="2A2A2A"/>
          <w:sz w:val="22"/>
          <w:szCs w:val="22"/>
        </w:rPr>
        <w:t xml:space="preserve">(2) If the Assembly does not elect a Civic Consul within that period, the acting role attaches automatically to the sitting Assembly Speaker, who serves as Acting Civic Consul by constitutional operation with authority limited to maintaining existing policy, and retains their Assembly seat. Where there is no sitting Speaker, the most senior Assembly member by continuous service serves in the acting role instead; where two or more members have equal continuous service, the tiebreaker is determined by statute. The acting service is published to the NRS. The Acting Civic Consul is not subject to removal under §2.6.</w:t>
      </w:r>
    </w:p>
    <w:p>
      <w:pPr>
        <w:spacing w:after="120"/>
        <w:ind w:left="431"/>
        <w:jc w:val="both"/>
      </w:pPr>
      <w:r>
        <w:rPr>
          <w:rFonts w:ascii="Garamond" w:eastAsia="Garamond" w:hAnsi="Garamond" w:cs="Garamond"/>
          <w:color w:val="2A2A2A"/>
          <w:sz w:val="22"/>
          <w:szCs w:val="22"/>
        </w:rPr>
        <w:t xml:space="preserve">(3) The Acting Civic Consul administers a nominating ballot of the Assembly to identify candidates for a national election. This administration is purely procedural and confers no discretion over the ballot's conduct or result. The ballot requires no quorum and produces its result regardless of participation. The candidates receiving the most votes advance, being no fewer than two and no more than four; where a tie would cause more than four candidates to advance, the tie is resolved in favor of the candidate with greater continuous service, with any remaining tie determined by statute. Where only one member receives votes, that member advances alone and is submitted to the national vote for ratification. Only members otherwise qualified for the office of Civic Consul under §2.5 and §7.4 may advance.</w:t>
      </w:r>
    </w:p>
    <w:p>
      <w:pPr>
        <w:spacing w:after="120"/>
        <w:ind w:left="431"/>
        <w:jc w:val="both"/>
      </w:pPr>
      <w:r>
        <w:rPr>
          <w:rFonts w:ascii="Garamond" w:eastAsia="Garamond" w:hAnsi="Garamond" w:cs="Garamond"/>
          <w:color w:val="2A2A2A"/>
          <w:sz w:val="22"/>
          <w:szCs w:val="22"/>
        </w:rPr>
        <w:t xml:space="preserve">(4) The Elections Panel administers a national ranked-choice election among the advancing candidates, to be held within the period defined by statute, with a constitutional default of 45 days and an absolute maximum of 90 days from the close of the nominating ballot. The Elections Panel may extend the period beyond the default only for cause published to the NRS, and in no case beyond 90 days. Where a single candidate stands for ratification, the national vote is a simple yes-or-no question. Should an advancing candidate become ineligible before the vote, the election proceeds among those who remain qualified.</w:t>
      </w:r>
    </w:p>
    <w:p>
      <w:pPr>
        <w:spacing w:after="120"/>
        <w:ind w:left="431"/>
        <w:jc w:val="both"/>
      </w:pPr>
      <w:r>
        <w:rPr>
          <w:rFonts w:ascii="Garamond" w:eastAsia="Garamond" w:hAnsi="Garamond" w:cs="Garamond"/>
          <w:color w:val="2A2A2A"/>
          <w:sz w:val="22"/>
          <w:szCs w:val="22"/>
        </w:rPr>
        <w:t xml:space="preserve">(5) The candidate winning the national election, whether by ranked-choice tabulation or by ratification, becomes Civic Consul with full authority, vacates their Assembly seat under §2.6, and is subject to removal only under §2.6. The Acting Civic Consul's service ends upon that installation.</w:t>
      </w:r>
    </w:p>
    <w:p>
      <w:pPr>
        <w:spacing w:after="120"/>
        <w:ind w:left="431"/>
        <w:jc w:val="both"/>
      </w:pPr>
      <w:r>
        <w:rPr>
          <w:rFonts w:ascii="Garamond" w:eastAsia="Garamond" w:hAnsi="Garamond" w:cs="Garamond"/>
          <w:color w:val="2A2A2A"/>
          <w:sz w:val="22"/>
          <w:szCs w:val="22"/>
        </w:rPr>
        <w:t xml:space="preserve">(6) At any time before the national election begins, the Assembly may elect a Civic Consul by absolute majority, which terminates the fallback and returns the office to the ordinary process. Once the national election has begun, it proceeds to conclusion.</w:t>
      </w:r>
    </w:p>
    <w:p w14:paraId="26201912" w14:textId="77777777" w:rsidR="00AF3D56" w:rsidRDefault="00000000">
      <w:pPr>
        <w:spacing w:before="200" w:after="60"/>
        <w:ind w:left="431"/>
      </w:pPr>
      <w:r>
        <w:rPr>
          <w:rFonts w:ascii="Courier New" w:eastAsia="Courier New" w:hAnsi="Courier New" w:cs="Courier New"/>
          <w:b/>
          <w:bCs/>
          <w:color w:val="2A2A2A"/>
          <w:sz w:val="18"/>
          <w:szCs w:val="18"/>
        </w:rPr>
        <w:t xml:space="preserve">§2.7  </w:t>
      </w:r>
      <w:r>
        <w:rPr>
          <w:rFonts w:ascii="Garamond" w:eastAsia="Garamond" w:hAnsi="Garamond" w:cs="Garamond"/>
          <w:i/>
          <w:iCs/>
          <w:color w:val="1B2A4A"/>
          <w:sz w:val="22"/>
          <w:szCs w:val="22"/>
        </w:rPr>
        <w:t>Civic Consul Legislative Instruments</w:t>
      </w:r>
    </w:p>
    <w:p w14:paraId="386E8560" w14:textId="77777777" w:rsidR="00AF3D56" w:rsidRDefault="00000000">
      <w:pPr>
        <w:spacing w:after="120"/>
        <w:ind w:left="431"/>
        <w:jc w:val="both"/>
      </w:pPr>
      <w:r>
        <w:rPr>
          <w:rFonts w:ascii="Garamond" w:eastAsia="Garamond" w:hAnsi="Garamond" w:cs="Garamond"/>
          <w:color w:val="2A2A2A"/>
          <w:sz w:val="22"/>
          <w:szCs w:val="22"/>
        </w:rPr>
        <w:t>The Civic Consul may withhold assent by returning a bill within 10 business days of final passage with written grounds published to the NRS; the bill is tabled for one month regardless of any change in CC office. The Senate may override by 2/3 during that month; failing override, the bill returns to the Legislature and must pass both chambers again before returning to the Civic Consul, who may not exercise the suspensive veto on that bill again, including where that bill lapses and is reintroduced in a subsequent session. The Civic Consul may also issue a fiscal notice — a written NRS statement that a bill would cause or materially worsen a structural deficit — at any point within the 10-business-day review window; a fiscal notice does not block enactment but entitles the Assembly Speaker to recall the bill for reconsideration within the remaining window; both instruments may be used on the same bill. Where the Civic Consul neither returns the bill nor issues a fiscal notice within 10 business days of final passage, the bill is enacted by operation of law. The suspensive veto may not be used on the annual budget, bills implementing a constitutional obligation, or emergency legislation. Both executives review concurrently from final passage.</w:t>
      </w:r>
    </w:p>
    <w:p w14:paraId="02FF8045" w14:textId="77777777" w:rsidR="00AF3D56" w:rsidRDefault="00000000">
      <w:pPr>
        <w:spacing w:before="200" w:after="60"/>
        <w:ind w:left="431"/>
      </w:pPr>
      <w:r>
        <w:rPr>
          <w:rFonts w:ascii="Courier New" w:eastAsia="Courier New" w:hAnsi="Courier New" w:cs="Courier New"/>
          <w:b/>
          <w:bCs/>
          <w:color w:val="2A2A2A"/>
          <w:sz w:val="18"/>
          <w:szCs w:val="18"/>
        </w:rPr>
        <w:t xml:space="preserve">§2.8  </w:t>
      </w:r>
      <w:r>
        <w:rPr>
          <w:rFonts w:ascii="Garamond" w:eastAsia="Garamond" w:hAnsi="Garamond" w:cs="Garamond"/>
          <w:i/>
          <w:iCs/>
          <w:color w:val="1B2A4A"/>
          <w:sz w:val="22"/>
          <w:szCs w:val="22"/>
        </w:rPr>
        <w:t>Duty of Refusal</w:t>
      </w:r>
    </w:p>
    <w:p w14:paraId="1EE87E68" w14:textId="77777777" w:rsidR="00AF3D56" w:rsidRDefault="00000000">
      <w:pPr>
        <w:spacing w:after="120"/>
        <w:ind w:left="431"/>
        <w:jc w:val="both"/>
      </w:pPr>
      <w:r>
        <w:rPr>
          <w:rFonts w:ascii="Garamond" w:eastAsia="Garamond" w:hAnsi="Garamond" w:cs="Garamond"/>
          <w:color w:val="2A2A2A"/>
          <w:sz w:val="22"/>
          <w:szCs w:val="22"/>
        </w:rPr>
        <w:t>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14:paraId="58461D1F" w14:textId="77777777" w:rsidR="00AF3D56" w:rsidRDefault="00000000">
      <w:pPr>
        <w:spacing w:before="200" w:after="60"/>
        <w:ind w:left="431"/>
      </w:pPr>
      <w:r>
        <w:rPr>
          <w:rFonts w:ascii="Courier New" w:eastAsia="Courier New" w:hAnsi="Courier New" w:cs="Courier New"/>
          <w:b/>
          <w:bCs/>
          <w:color w:val="2A2A2A"/>
          <w:sz w:val="18"/>
          <w:szCs w:val="18"/>
        </w:rPr>
        <w:t xml:space="preserve">§2.9  </w:t>
      </w:r>
      <w:r>
        <w:rPr>
          <w:rFonts w:ascii="Garamond" w:eastAsia="Garamond" w:hAnsi="Garamond" w:cs="Garamond"/>
          <w:i/>
          <w:iCs/>
          <w:color w:val="1B2A4A"/>
          <w:sz w:val="22"/>
          <w:szCs w:val="22"/>
        </w:rPr>
        <w:t>Legat Consul Succession and Incapacity</w:t>
      </w:r>
    </w:p>
    <w:p>
      <w:pPr>
        <w:spacing w:after="120"/>
        <w:ind w:left="431"/>
        <w:jc w:val="both"/>
      </w:pPr>
      <w:r>
        <w:rPr>
          <w:rFonts w:ascii="Garamond" w:eastAsia="Garamond" w:hAnsi="Garamond" w:cs="Garamond"/>
          <w:color w:val="2A2A2A"/>
          <w:sz w:val="22"/>
          <w:szCs w:val="22"/>
        </w:rPr>
        <w:t xml:space="preserve">(1) Full succession activates on the Legat Consul's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w:t>
      </w:r>
    </w:p>
    <w:p>
      <w:pPr>
        <w:spacing w:after="120"/>
        <w:ind w:left="431"/>
        <w:jc w:val="both"/>
      </w:pPr>
      <w:r>
        <w:rPr>
          <w:rFonts w:ascii="Garamond" w:eastAsia="Garamond" w:hAnsi="Garamond" w:cs="Garamond"/>
          <w:color w:val="2A2A2A"/>
          <w:sz w:val="22"/>
          <w:szCs w:val="22"/>
        </w:rPr>
        <w:t xml:space="preserve">(2) Full succession vacates the successor's Senate seat, which is filled through the ordinary vacancy process. Where the Senate Speaker is simultaneously unable to serve, the most senior Senator by continuous Senate service holds the office from that moment; where two or more Senators have equal continuous service, the oldest by age holds the office.</w:t>
      </w:r>
    </w:p>
    <w:p>
      <w:pPr>
        <w:spacing w:after="120"/>
        <w:ind w:left="431"/>
        <w:jc w:val="both"/>
      </w:pPr>
      <w:r>
        <w:rPr>
          <w:rFonts w:ascii="Garamond" w:eastAsia="Garamond" w:hAnsi="Garamond" w:cs="Garamond"/>
          <w:color w:val="2A2A2A"/>
          <w:sz w:val="22"/>
          <w:szCs w:val="22"/>
        </w:rPr>
        <w:t xml:space="preserve">(3) The Legislature or Senate may by statute or standing order designate a further succession line beyond this constitutional floor.</w:t>
      </w:r>
    </w:p>
    <w:p>
      <w:pPr>
        <w:spacing w:after="120"/>
        <w:ind w:left="431"/>
        <w:jc w:val="both"/>
      </w:pPr>
      <w:r>
        <w:rPr>
          <w:rFonts w:ascii="Garamond" w:eastAsia="Garamond" w:hAnsi="Garamond" w:cs="Garamond"/>
          <w:color w:val="2A2A2A"/>
          <w:sz w:val="22"/>
          <w:szCs w:val="22"/>
        </w:rPr>
        <w:t xml:space="preserve">(4) Upon NRS publication of any triggering event, the military chain of command recognizes the constitutional transfer immediately; any order issued in the name of the prior Legat Consul after that moment is constitutionally void.</w:t>
      </w:r>
    </w:p>
    <w:p>
      <w:pPr>
        <w:spacing w:after="120"/>
        <w:ind w:left="431"/>
        <w:jc w:val="both"/>
      </w:pPr>
      <w:r>
        <w:rPr>
          <w:rFonts w:ascii="Garamond" w:eastAsia="Garamond" w:hAnsi="Garamond" w:cs="Garamond"/>
          <w:color w:val="2A2A2A"/>
          <w:sz w:val="22"/>
          <w:szCs w:val="22"/>
        </w:rPr>
        <w:t xml:space="preserve">(5)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w:t>
      </w:r>
    </w:p>
    <w:p>
      <w:pPr>
        <w:spacing w:after="120"/>
        <w:ind w:left="431"/>
        <w:jc w:val="both"/>
      </w:pPr>
      <w:r>
        <w:rPr>
          <w:rFonts w:ascii="Garamond" w:eastAsia="Garamond" w:hAnsi="Garamond" w:cs="Garamond"/>
          <w:color w:val="2A2A2A"/>
          <w:sz w:val="22"/>
          <w:szCs w:val="22"/>
        </w:rPr>
        <w:t xml:space="preserve">(6) Where the Legat Consul is temporarily unable to exercise authority, a majority of the JMC assesses capacity and, on joint assessment published to the NRS, Acting Legat Consul authority transfers to the Senate Speaker by constitutional operation from that moment, without vacating the Speaker's Senate seat. While serving in an acting executive capacity, the Senate Speaker may not exercise any legislative function; the Speaker retains their Senate seat and the Speakership, and the Senate provides for the exercise of the Speaker's functions during that period under its internal procedures; acting service neither extends nor suspends the Speaker's electoral mandate, and where the Speaker ceases to be a Senator, acting authority passes by constitutional operation to the Senate Speaker then in office. Acting authority ends when the Legat Consul publishes a restoration declaration to the NRS.</w:t>
      </w:r>
    </w:p>
    <w:p w14:paraId="3EAD3FC4" w14:textId="77777777" w:rsidR="00AF3D56" w:rsidRDefault="00000000">
      <w:pPr>
        <w:spacing w:before="200" w:after="60"/>
        <w:ind w:left="431"/>
      </w:pPr>
      <w:r>
        <w:rPr>
          <w:rFonts w:ascii="Courier New" w:eastAsia="Courier New" w:hAnsi="Courier New" w:cs="Courier New"/>
          <w:b/>
          <w:bCs/>
          <w:color w:val="2A2A2A"/>
          <w:sz w:val="18"/>
          <w:szCs w:val="18"/>
        </w:rPr>
        <w:t xml:space="preserve">§2.10  </w:t>
      </w:r>
      <w:r>
        <w:rPr>
          <w:rFonts w:ascii="Garamond" w:eastAsia="Garamond" w:hAnsi="Garamond" w:cs="Garamond"/>
          <w:i/>
          <w:iCs/>
          <w:color w:val="1B2A4A"/>
          <w:sz w:val="22"/>
          <w:szCs w:val="22"/>
        </w:rPr>
        <w:t>Executive Transparency</w:t>
      </w:r>
    </w:p>
    <w:p w14:paraId="177409D6" w14:textId="77777777" w:rsidR="00AF3D56" w:rsidRDefault="00000000">
      <w:pPr>
        <w:spacing w:after="120"/>
        <w:ind w:left="431"/>
        <w:jc w:val="both"/>
      </w:pPr>
      <w:r>
        <w:rPr>
          <w:rFonts w:ascii="Garamond" w:eastAsia="Garamond" w:hAnsi="Garamond" w:cs="Garamond"/>
          <w:color w:val="2A2A2A"/>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w:t>
        <w:lastRenderedPageBreak/>
        <w:t>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14:paraId="59AA2318" w14:textId="77777777" w:rsidR="00AF3D56" w:rsidRDefault="00000000">
      <w:pPr>
        <w:spacing w:before="200" w:after="60"/>
        <w:ind w:left="431"/>
      </w:pPr>
      <w:r>
        <w:rPr>
          <w:rFonts w:ascii="Courier New" w:eastAsia="Courier New" w:hAnsi="Courier New" w:cs="Courier New"/>
          <w:b/>
          <w:bCs/>
          <w:color w:val="2A2A2A"/>
          <w:sz w:val="18"/>
          <w:szCs w:val="18"/>
        </w:rPr>
        <w:t xml:space="preserve">§2.11  </w:t>
      </w:r>
      <w:r>
        <w:rPr>
          <w:rFonts w:ascii="Garamond" w:eastAsia="Garamond" w:hAnsi="Garamond" w:cs="Garamond"/>
          <w:i/>
          <w:iCs/>
          <w:color w:val="1B2A4A"/>
          <w:sz w:val="22"/>
          <w:szCs w:val="22"/>
        </w:rPr>
        <w:t>Emergency Governance</w:t>
      </w:r>
    </w:p>
    <w:p w14:paraId="6F112D14" w14:textId="77777777" w:rsidR="00AF3D56" w:rsidRDefault="00000000">
      <w:pPr>
        <w:spacing w:after="120"/>
        <w:ind w:left="431"/>
        <w:jc w:val="both"/>
      </w:pPr>
      <w:r>
        <w:rPr>
          <w:rFonts w:ascii="Garamond" w:eastAsia="Garamond" w:hAnsi="Garamond" w:cs="Garamond"/>
          <w:color w:val="2A2A2A"/>
          <w:sz w:val="22"/>
          <w:szCs w:val="22"/>
        </w:rPr>
        <w:t>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14:paraId="00FB3E8C" w14:textId="77777777" w:rsidR="00AF3D56" w:rsidRDefault="00000000">
      <w:pPr>
        <w:spacing w:before="200" w:after="60"/>
        <w:ind w:left="431"/>
      </w:pPr>
      <w:r>
        <w:rPr>
          <w:rFonts w:ascii="Courier New" w:eastAsia="Courier New" w:hAnsi="Courier New" w:cs="Courier New"/>
          <w:b/>
          <w:bCs/>
          <w:color w:val="2A2A2A"/>
          <w:sz w:val="18"/>
          <w:szCs w:val="18"/>
        </w:rPr>
        <w:t xml:space="preserve">§2.12  </w:t>
      </w:r>
      <w:r>
        <w:rPr>
          <w:rFonts w:ascii="Garamond" w:eastAsia="Garamond" w:hAnsi="Garamond" w:cs="Garamond"/>
          <w:i/>
          <w:iCs/>
          <w:color w:val="1B2A4A"/>
          <w:sz w:val="22"/>
          <w:szCs w:val="22"/>
        </w:rPr>
        <w:t>Clemency</w:t>
      </w:r>
    </w:p>
    <w:p w14:paraId="419B3216" w14:textId="77777777" w:rsidR="00AF3D56" w:rsidRDefault="00000000">
      <w:pPr>
        <w:spacing w:after="120"/>
        <w:ind w:left="431"/>
        <w:jc w:val="both"/>
      </w:pPr>
      <w:r>
        <w:rPr>
          <w:rFonts w:ascii="Garamond" w:eastAsia="Garamond" w:hAnsi="Garamond" w:cs="Garamond"/>
          <w:color w:val="2A2A2A"/>
          <w:sz w:val="22"/>
          <w:szCs w:val="22"/>
        </w:rPr>
        <w:t>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Group amnesty requires legislative action; no executive may grant group amnesty.</w:t>
      </w:r>
    </w:p>
    <w:p w14:paraId="79DD5CCB" w14:textId="77777777" w:rsidR="00AF3D56" w:rsidRDefault="00000000">
      <w:pPr>
        <w:spacing w:before="200" w:after="60"/>
        <w:ind w:left="431"/>
      </w:pPr>
      <w:r>
        <w:rPr>
          <w:rFonts w:ascii="Courier New" w:eastAsia="Courier New" w:hAnsi="Courier New" w:cs="Courier New"/>
          <w:b/>
          <w:bCs/>
          <w:color w:val="2A2A2A"/>
          <w:sz w:val="18"/>
          <w:szCs w:val="18"/>
        </w:rPr>
        <w:t xml:space="preserve">§2.13  </w:t>
      </w:r>
      <w:r>
        <w:rPr>
          <w:rFonts w:ascii="Garamond" w:eastAsia="Garamond" w:hAnsi="Garamond" w:cs="Garamond"/>
          <w:i/>
          <w:iCs/>
          <w:color w:val="1B2A4A"/>
          <w:sz w:val="22"/>
          <w:szCs w:val="22"/>
        </w:rPr>
        <w:t>Consular Removal</w:t>
      </w:r>
    </w:p>
    <w:p w14:paraId="3C3DC524" w14:textId="77777777" w:rsidR="00AF3D56" w:rsidRDefault="00000000">
      <w:pPr>
        <w:spacing w:after="120"/>
        <w:ind w:left="431"/>
        <w:jc w:val="both"/>
      </w:pPr>
      <w:r>
        <w:rPr>
          <w:rFonts w:ascii="Garamond" w:eastAsia="Garamond" w:hAnsi="Garamond" w:cs="Garamond"/>
          <w:color w:val="2A2A2A"/>
          <w:sz w:val="22"/>
          <w:szCs w:val="22"/>
        </w:rPr>
        <w:t>The Legat Consul may be removed on two independent tracks. Under the legislative track, removal requires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§7.3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14:paraId="28C0D769" w14:textId="77777777" w:rsidR="00AF3D56" w:rsidRDefault="00000000">
      <w:pPr>
        <w:spacing w:before="200" w:after="60"/>
        <w:ind w:left="431"/>
      </w:pPr>
      <w:r>
        <w:rPr>
          <w:rFonts w:ascii="Courier New" w:eastAsia="Courier New" w:hAnsi="Courier New" w:cs="Courier New"/>
          <w:b/>
          <w:bCs/>
          <w:color w:val="2A2A2A"/>
          <w:sz w:val="18"/>
          <w:szCs w:val="18"/>
        </w:rPr>
        <w:t xml:space="preserve">§2.14  </w:t>
      </w:r>
      <w:r>
        <w:rPr>
          <w:rFonts w:ascii="Garamond" w:eastAsia="Garamond" w:hAnsi="Garamond" w:cs="Garamond"/>
          <w:i/>
          <w:iCs/>
          <w:color w:val="1B2A4A"/>
          <w:sz w:val="22"/>
          <w:szCs w:val="22"/>
        </w:rPr>
        <w:t>Council of Ministers</w:t>
      </w:r>
    </w:p>
    <w:p w14:paraId="0914AF1D" w14:textId="77777777" w:rsidR="00AF3D56" w:rsidRDefault="00000000">
      <w:pPr>
        <w:spacing w:after="120"/>
        <w:ind w:left="431"/>
        <w:jc w:val="both"/>
      </w:pPr>
      <w:r>
        <w:rPr>
          <w:rFonts w:ascii="Garamond" w:eastAsia="Garamond" w:hAnsi="Garamond" w:cs="Garamond"/>
          <w:color w:val="2A2A2A"/>
          <w:sz w:val="22"/>
          <w:szCs w:val="22"/>
        </w:rPr>
        <w:t>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w:t>
      </w:r>
    </w:p>
    <w:p w14:paraId="798EA873" w14:textId="77777777" w:rsidR="00AF3D56" w:rsidRDefault="00000000">
      <w:pPr>
        <w:spacing w:before="200" w:after="60"/>
        <w:ind w:left="431"/>
      </w:pPr>
      <w:r>
        <w:rPr>
          <w:rFonts w:ascii="Courier New" w:eastAsia="Courier New" w:hAnsi="Courier New" w:cs="Courier New"/>
          <w:b/>
          <w:bCs/>
          <w:color w:val="2A2A2A"/>
          <w:sz w:val="18"/>
          <w:szCs w:val="18"/>
        </w:rPr>
        <w:t xml:space="preserve">§2.14.a  </w:t>
      </w:r>
      <w:r>
        <w:rPr>
          <w:rFonts w:ascii="Garamond" w:eastAsia="Garamond" w:hAnsi="Garamond" w:cs="Garamond"/>
          <w:i/>
          <w:iCs/>
          <w:color w:val="1B2A4A"/>
          <w:sz w:val="22"/>
          <w:szCs w:val="22"/>
        </w:rPr>
        <w:t>Cross-Domain Emergency Lead</w:t>
      </w:r>
    </w:p>
    <w:p w14:paraId="70E13777" w14:textId="77777777" w:rsidR="00AF3D56" w:rsidRDefault="00000000">
      <w:pPr>
        <w:spacing w:after="120"/>
        <w:ind w:left="431"/>
        <w:jc w:val="both"/>
      </w:pPr>
      <w:r>
        <w:rPr>
          <w:rFonts w:ascii="Garamond" w:eastAsia="Garamond" w:hAnsi="Garamond" w:cs="Garamond"/>
          <w:color w:val="2A2A2A"/>
          <w:sz w:val="22"/>
          <w:szCs w:val="22"/>
        </w:rPr>
        <w:lastRenderedPageBreak/>
        <w:t>In a cross-domain emergency requiring unified operational authority, either executive may propose a temporary operational lead designation. Concurrence of both executives makes it effective and is published to the NRS. Where the executives cannot agree, either may petition the SC for expedited resolution under §4.5. A lead designation assigns operational coordination only and does not affect either executive’s constitutional domain authority.</w:t>
      </w:r>
    </w:p>
    <w:p w14:paraId="798EA873" w14:textId="77777777" w:rsidR="00AF3D56" w:rsidRDefault="00000000">
      <w:pPr>
        <w:spacing w:before="200" w:after="60"/>
        <w:ind w:left="431"/>
      </w:pPr>
      <w:r>
        <w:rPr>
          <w:rFonts w:ascii="Courier New" w:eastAsia="Courier New" w:hAnsi="Courier New" w:cs="Courier New"/>
          <w:b/>
          <w:bCs/>
          <w:color w:val="2A2A2A"/>
          <w:sz w:val="18"/>
          <w:szCs w:val="18"/>
        </w:rPr>
        <w:t xml:space="preserve">§2.14.b  </w:t>
      </w:r>
      <w:r>
        <w:rPr>
          <w:rFonts w:ascii="Garamond" w:eastAsia="Garamond" w:hAnsi="Garamond" w:cs="Garamond"/>
          <w:i/>
          <w:iCs/>
          <w:color w:val="1B2A4A"/>
          <w:sz w:val="22"/>
          <w:szCs w:val="22"/>
        </w:rPr>
        <w:t>Cross-Domain Assistance</w:t>
      </w:r>
    </w:p>
    <w:p w14:paraId="70E13777" w14:textId="77777777" w:rsidR="00AF3D56" w:rsidRDefault="00000000">
      <w:pPr>
        <w:spacing w:after="120"/>
        <w:ind w:left="431"/>
        <w:jc w:val="both"/>
      </w:pPr>
      <w:r>
        <w:rPr>
          <w:rFonts w:ascii="Garamond" w:eastAsia="Garamond" w:hAnsi="Garamond" w:cs="Garamond"/>
          <w:color w:val="2A2A2A"/>
          <w:sz w:val="22"/>
          <w:szCs w:val="22"/>
        </w:rPr>
        <w:t xml:space="preserve">Either Consul may formally request that the other exercise specified authority within the other's domain in support of a need arising in the requesting Consul's domain. The request states the need, scope, and duration and is published to the NRS; the responding Consul determines whether and how to act within their own domain and publishes the response to the NRS. Neither Consul may compel the other. A request may specify a duration not to exceed 90 days; assistance may be renewed only by a fresh request and response, each published to the NRS. This section may provide only capability used in support of persons — including logistics, transport, materiel, technical, medical, disaster, and search-and-rescue capability. It may not provide capability used to compel, detain, or direct persons, to surveil, monitor, or collect intelligence on persons within the Republic, or to commandeer civilian resources; any such capability is available to the requesting Consul only under §1.19 or other express constitutional authority. Capability provided under this section operates under the responding Consul's command as to means and the requesting Consul's direction as to purpose and limits, and remains subject in full to Article I. A foreign invasion or comparable threat engaging both domains is governed by §2.14.a. A dispute arising under this section is resolved through the mechanism in §2.14.a.</w:t>
      </w:r>
    </w:p>
    <w:p w14:paraId="0B19BB75" w14:textId="77777777" w:rsidR="00AF3D56" w:rsidRDefault="00000000">
      <w:pPr>
        <w:spacing w:before="200" w:after="60"/>
        <w:ind w:left="431"/>
      </w:pPr>
      <w:r>
        <w:rPr>
          <w:rFonts w:ascii="Courier New" w:eastAsia="Courier New" w:hAnsi="Courier New" w:cs="Courier New"/>
          <w:b/>
          <w:bCs/>
          <w:color w:val="2A2A2A"/>
          <w:sz w:val="18"/>
          <w:szCs w:val="18"/>
        </w:rPr>
        <w:t xml:space="preserve">§2.15  </w:t>
      </w:r>
      <w:r>
        <w:rPr>
          <w:rFonts w:ascii="Garamond" w:eastAsia="Garamond" w:hAnsi="Garamond" w:cs="Garamond"/>
          <w:i/>
          <w:iCs/>
          <w:color w:val="1B2A4A"/>
          <w:sz w:val="22"/>
          <w:szCs w:val="22"/>
        </w:rPr>
        <w:t>Federal Prosecution</w:t>
      </w:r>
    </w:p>
    <w:p w14:paraId="75392848" w14:textId="77777777" w:rsidR="00AF3D56" w:rsidRDefault="00000000">
      <w:pPr>
        <w:spacing w:after="120"/>
        <w:ind w:left="431"/>
        <w:jc w:val="both"/>
      </w:pPr>
      <w:r>
        <w:rPr>
          <w:rFonts w:ascii="Garamond" w:eastAsia="Garamond" w:hAnsi="Garamond" w:cs="Garamond"/>
          <w:color w:val="2A2A2A"/>
          <w:sz w:val="22"/>
          <w:szCs w:val="22"/>
        </w:rPr>
        <w:t>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14:paraId="2CCB358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III — The Legislature</w:t>
      </w:r>
    </w:p>
    <w:p w14:paraId="0AD0B6E3" w14:textId="77777777" w:rsidR="00AF3D56" w:rsidRDefault="00000000">
      <w:pPr>
        <w:spacing w:before="200" w:after="60"/>
        <w:ind w:left="431"/>
      </w:pPr>
      <w:r>
        <w:rPr>
          <w:rFonts w:ascii="Courier New" w:eastAsia="Courier New" w:hAnsi="Courier New" w:cs="Courier New"/>
          <w:b/>
          <w:bCs/>
          <w:color w:val="2A2A2A"/>
          <w:sz w:val="18"/>
          <w:szCs w:val="18"/>
        </w:rPr>
        <w:t xml:space="preserve">§3.1  </w:t>
      </w:r>
      <w:r>
        <w:rPr>
          <w:rFonts w:ascii="Garamond" w:eastAsia="Garamond" w:hAnsi="Garamond" w:cs="Garamond"/>
          <w:i/>
          <w:iCs/>
          <w:color w:val="1B2A4A"/>
          <w:sz w:val="22"/>
          <w:szCs w:val="22"/>
        </w:rPr>
        <w:t>The Legislature</w:t>
      </w:r>
    </w:p>
    <w:p w14:paraId="0404E335" w14:textId="77777777" w:rsidR="00AF3D56" w:rsidRDefault="00000000">
      <w:pPr>
        <w:spacing w:after="120"/>
        <w:ind w:left="431"/>
        <w:jc w:val="both"/>
      </w:pPr>
      <w:r>
        <w:rPr>
          <w:rFonts w:ascii="Garamond" w:eastAsia="Garamond" w:hAnsi="Garamond" w:cs="Garamond"/>
          <w:color w:val="2A2A2A"/>
          <w:sz w:val="22"/>
          <w:szCs w:val="22"/>
        </w:rPr>
        <w:t>The Legislature comprises two chambers: the Assembly and the Senate. All legislation originates in the Assembly. The Senate reviews, may amend within the subject matter of the bill, and must act on every Assembly-passed bill within the period defined by statute, not to exceed 90 days — inaction triggers automatic deemed approval. In the absence of a statutory period, the Senate must act within 90 days of receipt. The Senate may, by majority of full seated membership, extend the review period for any bill by one additional period not to exceed 30 days, with stated cause published to the NRS; no further extension is available and deemed approval applies at expiry. Neither chamber may indefinitely delay business assigned to it by this constitution.</w:t>
      </w:r>
    </w:p>
    <w:p w14:paraId="4A8D1955" w14:textId="77777777" w:rsidR="00AF3D56" w:rsidRDefault="00000000">
      <w:pPr>
        <w:spacing w:before="200" w:after="60"/>
        <w:ind w:left="431"/>
      </w:pPr>
      <w:r>
        <w:rPr>
          <w:rFonts w:ascii="Courier New" w:eastAsia="Courier New" w:hAnsi="Courier New" w:cs="Courier New"/>
          <w:b/>
          <w:bCs/>
          <w:color w:val="2A2A2A"/>
          <w:sz w:val="18"/>
          <w:szCs w:val="18"/>
        </w:rPr>
        <w:t xml:space="preserve">§3.2  </w:t>
      </w:r>
      <w:r>
        <w:rPr>
          <w:rFonts w:ascii="Garamond" w:eastAsia="Garamond" w:hAnsi="Garamond" w:cs="Garamond"/>
          <w:i/>
          <w:iCs/>
          <w:color w:val="1B2A4A"/>
          <w:sz w:val="22"/>
          <w:szCs w:val="22"/>
        </w:rPr>
        <w:t>The Assembly</w:t>
      </w:r>
    </w:p>
    <w:p>
      <w:pPr>
        <w:spacing w:after="120"/>
        <w:ind w:left="431"/>
        <w:jc w:val="both"/>
      </w:pPr>
      <w:r>
        <w:rPr>
          <w:rFonts w:ascii="Garamond" w:eastAsia="Garamond" w:hAnsi="Garamond" w:cs="Garamond"/>
          <w:color w:val="2A2A2A"/>
          <w:sz w:val="22"/>
          <w:szCs w:val="22"/>
        </w:rPr>
        <w:t xml:space="preserve">(1) 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w:t>
      </w:r>
    </w:p>
    <w:p>
      <w:pPr>
        <w:spacing w:after="120"/>
        <w:ind w:left="431"/>
        <w:jc w:val="both"/>
      </w:pPr>
      <w:r>
        <w:rPr>
          <w:rFonts w:ascii="Garamond" w:eastAsia="Garamond" w:hAnsi="Garamond" w:cs="Garamond"/>
          <w:color w:val="2A2A2A"/>
          <w:sz w:val="22"/>
          <w:szCs w:val="22"/>
        </w:rPr>
        <w:t xml:space="preserve">(2) The census, conducted every ten years by a statutory independent agency, is the basis for reapportionment. The LM audits the census and allocation process.</w:t>
      </w:r>
    </w:p>
    <w:p>
      <w:pPr>
        <w:spacing w:after="120"/>
        <w:ind w:left="431"/>
        <w:jc w:val="both"/>
      </w:pPr>
      <w:r>
        <w:rPr>
          <w:rFonts w:ascii="Garamond" w:eastAsia="Garamond" w:hAnsi="Garamond" w:cs="Garamond"/>
          <w:color w:val="2A2A2A"/>
          <w:sz w:val="22"/>
          <w:szCs w:val="22"/>
        </w:rPr>
        <w:t xml:space="preserve">(3) The Assembly selects a Speaker from its own members by a method it establishes, provided the Speaker holds the support of a majority of full seated membership; the Speakership is a standing office, and its holder serves as Acting Civic Consul under §2.5 and §2.6.a. Quorum is a majority of full seated membership. The Assembly establishes its own internal procedures.</w:t>
      </w:r>
    </w:p>
    <w:p>
      <w:pPr>
        <w:spacing w:after="120"/>
        <w:ind w:left="431"/>
        <w:jc w:val="both"/>
      </w:pPr>
      <w:r>
        <w:rPr>
          <w:rFonts w:ascii="Garamond" w:eastAsia="Garamond" w:hAnsi="Garamond" w:cs="Garamond"/>
          <w:color w:val="2A2A2A"/>
          <w:sz w:val="22"/>
          <w:szCs w:val="22"/>
        </w:rPr>
        <w:t xml:space="preserve">(4) Members serve two-year terms. No member may serve more than six consecutive terms without sitting out one full electoral cycle; no cumulative lifetime restriction applies after the cooling-off period.</w:t>
      </w:r>
    </w:p>
    <w:p>
      <w:pPr>
        <w:spacing w:after="120"/>
        <w:ind w:left="431"/>
        <w:jc w:val="both"/>
      </w:pPr>
      <w:r>
        <w:rPr>
          <w:rFonts w:ascii="Garamond" w:eastAsia="Garamond" w:hAnsi="Garamond" w:cs="Garamond"/>
          <w:color w:val="2A2A2A"/>
          <w:sz w:val="22"/>
          <w:szCs w:val="22"/>
        </w:rPr>
        <w:t xml:space="preserve">(5) Any Assembly member who resigns, is expelled, or is removed by state recall at any point during a term shall be deemed to have served that full term for purposes of the consecutive-term limit.</w:t>
      </w:r>
    </w:p>
    <w:p>
      <w:pPr>
        <w:spacing w:after="120"/>
        <w:ind w:left="431"/>
        <w:jc w:val="both"/>
      </w:pPr>
      <w:r>
        <w:rPr>
          <w:rFonts w:ascii="Garamond" w:eastAsia="Garamond" w:hAnsi="Garamond" w:cs="Garamond"/>
          <w:color w:val="2A2A2A"/>
          <w:sz w:val="22"/>
          <w:szCs w:val="22"/>
        </w:rPr>
        <w:t xml:space="preserve">(6)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w:t>
      </w:r>
    </w:p>
    <w:p>
      <w:pPr>
        <w:spacing w:after="120"/>
        <w:ind w:left="431"/>
        <w:jc w:val="both"/>
      </w:pPr>
      <w:r>
        <w:rPr>
          <w:rFonts w:ascii="Garamond" w:eastAsia="Garamond" w:hAnsi="Garamond" w:cs="Garamond"/>
          <w:color w:val="2A2A2A"/>
          <w:sz w:val="22"/>
          <w:szCs w:val="22"/>
        </w:rPr>
        <w:t xml:space="preserve">(7) A State may establish by law a recall mechanism for its Assembly members; any such mechanism must operate as a political process, not a judicial proceeding, must not violate this Constitution, and must place the final recall decision with the State legislature or the State's eligible voters; no recall may proceed on the decision of an executive officer, administrative body, or court alone; where an Assembly member is recalled the seat is treated as vacant under this Constitution.</w:t>
      </w:r>
    </w:p>
    <w:p w14:paraId="1AD02533" w14:textId="77777777" w:rsidR="00AF3D56" w:rsidRDefault="00000000">
      <w:pPr>
        <w:spacing w:before="200" w:after="60"/>
        <w:ind w:left="431"/>
      </w:pPr>
      <w:r>
        <w:rPr>
          <w:rFonts w:ascii="Courier New" w:eastAsia="Courier New" w:hAnsi="Courier New" w:cs="Courier New"/>
          <w:b/>
          <w:bCs/>
          <w:color w:val="2A2A2A"/>
          <w:sz w:val="18"/>
          <w:szCs w:val="18"/>
        </w:rPr>
        <w:t xml:space="preserve">§3.3  </w:t>
      </w:r>
      <w:r>
        <w:rPr>
          <w:rFonts w:ascii="Garamond" w:eastAsia="Garamond" w:hAnsi="Garamond" w:cs="Garamond"/>
          <w:i/>
          <w:iCs/>
          <w:color w:val="1B2A4A"/>
          <w:sz w:val="22"/>
          <w:szCs w:val="22"/>
        </w:rPr>
        <w:t>Electoral Districts</w:t>
      </w:r>
    </w:p>
    <w:p w14:paraId="3E2FD7C4" w14:textId="77777777" w:rsidR="00AF3D56" w:rsidRDefault="00000000">
      <w:pPr>
        <w:spacing w:after="120"/>
        <w:ind w:left="431"/>
        <w:jc w:val="both"/>
      </w:pPr>
      <w:r>
        <w:rPr>
          <w:rFonts w:ascii="Garamond" w:eastAsia="Garamond" w:hAnsi="Garamond" w:cs="Garamond"/>
          <w:color w:val="2A2A2A"/>
          <w:sz w:val="22"/>
          <w:szCs w:val="22"/>
        </w:rPr>
        <w:t>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primary criteria.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14:paraId="4C75438F" w14:textId="77777777" w:rsidR="00AF3D56" w:rsidRDefault="00000000">
      <w:pPr>
        <w:spacing w:before="200" w:after="60"/>
        <w:ind w:left="431"/>
      </w:pPr>
      <w:r>
        <w:rPr>
          <w:rFonts w:ascii="Courier New" w:eastAsia="Courier New" w:hAnsi="Courier New" w:cs="Courier New"/>
          <w:b/>
          <w:bCs/>
          <w:color w:val="2A2A2A"/>
          <w:sz w:val="18"/>
          <w:szCs w:val="18"/>
        </w:rPr>
        <w:t xml:space="preserve">§3.4  </w:t>
      </w:r>
      <w:r>
        <w:rPr>
          <w:rFonts w:ascii="Garamond" w:eastAsia="Garamond" w:hAnsi="Garamond" w:cs="Garamond"/>
          <w:i/>
          <w:iCs/>
          <w:color w:val="1B2A4A"/>
          <w:sz w:val="22"/>
          <w:szCs w:val="22"/>
        </w:rPr>
        <w:t>Legislative Standards</w:t>
      </w:r>
    </w:p>
    <w:p w14:paraId="49AD981F" w14:textId="77777777" w:rsidR="00AF3D56" w:rsidRDefault="00000000">
      <w:pPr>
        <w:spacing w:after="120"/>
        <w:ind w:left="431"/>
        <w:jc w:val="both"/>
      </w:pPr>
      <w:r>
        <w:rPr>
          <w:rFonts w:ascii="Garamond" w:eastAsia="Garamond" w:hAnsi="Garamond" w:cs="Garamond"/>
          <w:color w:val="2A2A2A"/>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The Legislature must establish a joint ethics committee with authority to </w:t>
        <w:lastRenderedPageBreak/>
        <w:t>sanction and refer members; removal requires 2/3 of the relevant chamber; under §9.1, the chamber may request an EM assessment to inform the proceeding.</w:t>
      </w:r>
    </w:p>
    <w:p w14:paraId="23B1A891" w14:textId="77777777" w:rsidR="00AF3D56" w:rsidRDefault="00000000">
      <w:pPr>
        <w:spacing w:before="200" w:after="60"/>
        <w:ind w:left="431"/>
      </w:pPr>
      <w:r>
        <w:rPr>
          <w:rFonts w:ascii="Courier New" w:eastAsia="Courier New" w:hAnsi="Courier New" w:cs="Courier New"/>
          <w:b/>
          <w:bCs/>
          <w:color w:val="2A2A2A"/>
          <w:sz w:val="18"/>
          <w:szCs w:val="18"/>
        </w:rPr>
        <w:t xml:space="preserve">§3.5  </w:t>
      </w:r>
      <w:r>
        <w:rPr>
          <w:rFonts w:ascii="Garamond" w:eastAsia="Garamond" w:hAnsi="Garamond" w:cs="Garamond"/>
          <w:i/>
          <w:iCs/>
          <w:color w:val="1B2A4A"/>
          <w:sz w:val="22"/>
          <w:szCs w:val="22"/>
        </w:rPr>
        <w:t>The Senate</w:t>
      </w:r>
    </w:p>
    <w:p>
      <w:pPr>
        <w:spacing w:after="120"/>
        <w:ind w:left="431"/>
        <w:jc w:val="both"/>
      </w:pPr>
      <w:r>
        <w:rPr>
          <w:rFonts w:ascii="Garamond" w:eastAsia="Garamond" w:hAnsi="Garamond" w:cs="Garamond"/>
          <w:color w:val="2A2A2A"/>
          <w:sz w:val="22"/>
          <w:szCs w:val="22"/>
        </w:rPr>
        <w:t xml:space="preserve">(1) The Senate comprises two senators per State regardless of population, elected for six-year staggered terms.</w:t>
      </w:r>
    </w:p>
    <w:p>
      <w:pPr>
        <w:spacing w:after="120"/>
        <w:ind w:left="431"/>
        <w:jc w:val="both"/>
      </w:pPr>
      <w:r>
        <w:rPr>
          <w:rFonts w:ascii="Garamond" w:eastAsia="Garamond" w:hAnsi="Garamond" w:cs="Garamond"/>
          <w:color w:val="2A2A2A"/>
          <w:sz w:val="22"/>
          <w:szCs w:val="22"/>
        </w:rPr>
        <w:t xml:space="preserve">(2)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w:t>
      </w:r>
    </w:p>
    <w:p>
      <w:pPr>
        <w:spacing w:after="120"/>
        <w:ind w:left="431"/>
        <w:jc w:val="both"/>
      </w:pPr>
      <w:r>
        <w:rPr>
          <w:rFonts w:ascii="Garamond" w:eastAsia="Garamond" w:hAnsi="Garamond" w:cs="Garamond"/>
          <w:color w:val="2A2A2A"/>
          <w:sz w:val="22"/>
          <w:szCs w:val="22"/>
        </w:rPr>
        <w:t xml:space="preserve">(3) No senator may serve more than two consecutive terms without sitting out one full term; no cumulative lifetime restriction applies after the cooling-off period.</w:t>
      </w:r>
    </w:p>
    <w:p>
      <w:pPr>
        <w:spacing w:after="120"/>
        <w:ind w:left="431"/>
        <w:jc w:val="both"/>
      </w:pPr>
      <w:r>
        <w:rPr>
          <w:rFonts w:ascii="Garamond" w:eastAsia="Garamond" w:hAnsi="Garamond" w:cs="Garamond"/>
          <w:color w:val="2A2A2A"/>
          <w:sz w:val="22"/>
          <w:szCs w:val="22"/>
        </w:rPr>
        <w:t xml:space="preserve">(4) Any senator who resigns, is expelled, or is removed by state recall at any point during a term shall be deemed to have served that full term for purposes of the consecutive-term limit.</w:t>
      </w:r>
    </w:p>
    <w:p>
      <w:pPr>
        <w:spacing w:after="120"/>
        <w:ind w:left="431"/>
        <w:jc w:val="both"/>
      </w:pPr>
      <w:r>
        <w:rPr>
          <w:rFonts w:ascii="Garamond" w:eastAsia="Garamond" w:hAnsi="Garamond" w:cs="Garamond"/>
          <w:color w:val="2A2A2A"/>
          <w:sz w:val="22"/>
          <w:szCs w:val="22"/>
        </w:rPr>
        <w:t xml:space="preserve">(5) The Senate Speaker is elected by senators and may not serve more than two consecutive full Senate terms as Speaker without sitting out one full Senate term.</w:t>
      </w:r>
    </w:p>
    <w:p>
      <w:pPr>
        <w:spacing w:after="120"/>
        <w:ind w:left="431"/>
        <w:jc w:val="both"/>
      </w:pPr>
      <w:r>
        <w:rPr>
          <w:rFonts w:ascii="Garamond" w:eastAsia="Garamond" w:hAnsi="Garamond" w:cs="Garamond"/>
          <w:color w:val="2A2A2A"/>
          <w:sz w:val="22"/>
          <w:szCs w:val="22"/>
        </w:rPr>
        <w:t xml:space="preserve">(6) The Senate defines its own internal procedures. The Senate may expel a member by 2/3 vote of full seated membership; expulsion is published to the NRS and is effective immediately.</w:t>
      </w:r>
    </w:p>
    <w:p>
      <w:pPr>
        <w:spacing w:after="120"/>
        <w:ind w:left="431"/>
        <w:jc w:val="both"/>
      </w:pPr>
      <w:r>
        <w:rPr>
          <w:rFonts w:ascii="Garamond" w:eastAsia="Garamond" w:hAnsi="Garamond" w:cs="Garamond"/>
          <w:color w:val="2A2A2A"/>
          <w:sz w:val="22"/>
          <w:szCs w:val="22"/>
        </w:rPr>
        <w:t xml:space="preserve">(7) A State may establish by law a recall mechanism for its senators; any such mechanism must operate as a political process, not a judicial proceeding, must not violate this Constitution, and must place the final recall decision with the State legislature or the State's eligible voters; no recall may proceed on the decision of an executive officer, administrative body, or court alone; where a senator is recalled the seat is treated as vacant under this Constitution.</w:t>
      </w:r>
    </w:p>
    <w:p>
      <w:pPr>
        <w:spacing w:after="120"/>
        <w:ind w:left="431"/>
        <w:jc w:val="both"/>
      </w:pPr>
      <w:r>
        <w:rPr>
          <w:rFonts w:ascii="Garamond" w:eastAsia="Garamond" w:hAnsi="Garamond" w:cs="Garamond"/>
          <w:color w:val="2A2A2A"/>
          <w:sz w:val="22"/>
          <w:szCs w:val="22"/>
        </w:rPr>
        <w:t xml:space="preserve">(8) The Senate holds exclusive authority over:</w:t>
      </w:r>
    </w:p>
    <w:p>
      <w:pPr>
        <w:spacing w:after="120"/>
        <w:ind w:left="720"/>
        <w:jc w:val="both"/>
      </w:pPr>
      <w:r>
        <w:rPr>
          <w:rFonts w:ascii="Garamond" w:eastAsia="Garamond" w:hAnsi="Garamond" w:cs="Garamond"/>
          <w:color w:val="2A2A2A"/>
          <w:sz w:val="22"/>
          <w:szCs w:val="22"/>
        </w:rPr>
        <w:t xml:space="preserve">— judicial confirmation;</w:t>
      </w:r>
    </w:p>
    <w:p>
      <w:pPr>
        <w:spacing w:after="120"/>
        <w:ind w:left="720"/>
        <w:jc w:val="both"/>
      </w:pPr>
      <w:r>
        <w:rPr>
          <w:rFonts w:ascii="Garamond" w:eastAsia="Garamond" w:hAnsi="Garamond" w:cs="Garamond"/>
          <w:color w:val="2A2A2A"/>
          <w:sz w:val="22"/>
          <w:szCs w:val="22"/>
        </w:rPr>
        <w:t xml:space="preserve">— treaty ratification by 2/3 of full seated membership;</w:t>
      </w:r>
    </w:p>
    <w:p>
      <w:pPr>
        <w:spacing w:after="120"/>
        <w:ind w:left="720"/>
        <w:jc w:val="both"/>
      </w:pPr>
      <w:r>
        <w:rPr>
          <w:rFonts w:ascii="Garamond" w:eastAsia="Garamond" w:hAnsi="Garamond" w:cs="Garamond"/>
          <w:color w:val="2A2A2A"/>
          <w:sz w:val="22"/>
          <w:szCs w:val="22"/>
        </w:rPr>
        <w:t xml:space="preserve">— and, in the absence of a functioning Elections Panel, administration of the consular election.</w:t>
      </w:r>
    </w:p>
    <w:p>
      <w:pPr>
        <w:spacing w:after="120"/>
        <w:ind w:left="431"/>
        <w:jc w:val="both"/>
      </w:pPr>
      <w:r>
        <w:rPr>
          <w:rFonts w:ascii="Garamond" w:eastAsia="Garamond" w:hAnsi="Garamond" w:cs="Garamond"/>
          <w:color w:val="2A2A2A"/>
          <w:sz w:val="22"/>
          <w:szCs w:val="22"/>
        </w:rPr>
        <w:t xml:space="preserve">(9) The Senate may not initiate legislation; all bills originate in the Assembly.</w:t>
      </w:r>
    </w:p>
    <w:p w14:paraId="1D954380" w14:textId="77777777" w:rsidR="00AF3D56" w:rsidRDefault="00000000">
      <w:pPr>
        <w:spacing w:before="200" w:after="60"/>
        <w:ind w:left="431"/>
      </w:pPr>
      <w:r>
        <w:rPr>
          <w:rFonts w:ascii="Courier New" w:eastAsia="Courier New" w:hAnsi="Courier New" w:cs="Courier New"/>
          <w:b/>
          <w:bCs/>
          <w:color w:val="2A2A2A"/>
          <w:sz w:val="18"/>
          <w:szCs w:val="18"/>
        </w:rPr>
        <w:t xml:space="preserve">§3.6  </w:t>
      </w:r>
      <w:r>
        <w:rPr>
          <w:rFonts w:ascii="Garamond" w:eastAsia="Garamond" w:hAnsi="Garamond" w:cs="Garamond"/>
          <w:i/>
          <w:iCs/>
          <w:color w:val="1B2A4A"/>
          <w:sz w:val="22"/>
          <w:szCs w:val="22"/>
        </w:rPr>
        <w:t>Treaty and Trade Agreement Ratification</w:t>
      </w:r>
    </w:p>
    <w:p w14:paraId="024B57DA" w14:textId="77777777" w:rsidR="00AF3D56" w:rsidRDefault="00000000">
      <w:pPr>
        <w:spacing w:after="120"/>
        <w:ind w:left="431"/>
        <w:jc w:val="both"/>
      </w:pPr>
      <w:r>
        <w:rPr>
          <w:rFonts w:ascii="Garamond" w:eastAsia="Garamond" w:hAnsi="Garamond" w:cs="Garamond"/>
          <w:color w:val="2A2A2A"/>
          <w:sz w:val="22"/>
          <w:szCs w:val="22"/>
        </w:rPr>
        <w:t>Treaty and compact agreement ratification requires 2/3 of the full seated Senate. Trade agreements concluded by the Legat Consul take effect upon approval by simple majority of both chambers; neither chamber may amend the terms of a concluded agreement.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The Senate must affirm withdrawal by 2/3 of its full seated membership within the period defined by statute, not to exceed 90 days; where the Senate does not affirm within that period, the notice is void and the Legat Consul must resubmit. Indigenous treaties under Article XVI may not be unilaterally withdrawn.</w:t>
      </w:r>
    </w:p>
    <w:p w14:paraId="1F75EB36" w14:textId="77777777" w:rsidR="00AF3D56" w:rsidRDefault="00000000">
      <w:pPr>
        <w:spacing w:before="200" w:after="60"/>
        <w:ind w:left="431"/>
      </w:pPr>
      <w:r>
        <w:rPr>
          <w:rFonts w:ascii="Courier New" w:eastAsia="Courier New" w:hAnsi="Courier New" w:cs="Courier New"/>
          <w:b/>
          <w:bCs/>
          <w:color w:val="2A2A2A"/>
          <w:sz w:val="18"/>
          <w:szCs w:val="18"/>
        </w:rPr>
        <w:t xml:space="preserve">§3.6.a  </w:t>
      </w:r>
      <w:r>
        <w:rPr>
          <w:rFonts w:ascii="Garamond" w:eastAsia="Garamond" w:hAnsi="Garamond" w:cs="Garamond"/>
          <w:i/>
          <w:iCs/>
          <w:color w:val="1B2A4A"/>
          <w:sz w:val="22"/>
          <w:szCs w:val="22"/>
        </w:rPr>
        <w:t>Classification and Dispute Resolution</w:t>
      </w:r>
    </w:p>
    <w:p w14:paraId="09CD461F" w14:textId="77777777" w:rsidR="00AF3D56" w:rsidRDefault="00000000">
      <w:pPr>
        <w:spacing w:after="120"/>
        <w:ind w:left="431"/>
        <w:jc w:val="both"/>
      </w:pPr>
      <w:r>
        <w:rPr>
          <w:rFonts w:ascii="Garamond" w:eastAsia="Garamond" w:hAnsi="Garamond" w:cs="Garamond"/>
          <w:color w:val="2A2A2A"/>
          <w:sz w:val="22"/>
          <w:szCs w:val="22"/>
        </w:rPr>
        <w:t>Where the Senate disputes the Legat Consul's classification of an international instrument as a trade agreement, the instrument is treated as a treaty pending resolution. Either party may seek expedited judicial determination of the classification; the applicable court and process are defined by statute.</w:t>
      </w:r>
    </w:p>
    <w:p w14:paraId="2307D307" w14:textId="77777777" w:rsidR="00AF3D56" w:rsidRDefault="00000000">
      <w:pPr>
        <w:spacing w:before="200" w:after="60"/>
        <w:ind w:left="431"/>
      </w:pPr>
      <w:r>
        <w:rPr>
          <w:rFonts w:ascii="Courier New" w:eastAsia="Courier New" w:hAnsi="Courier New" w:cs="Courier New"/>
          <w:b/>
          <w:bCs/>
          <w:color w:val="2A2A2A"/>
          <w:sz w:val="18"/>
          <w:szCs w:val="18"/>
        </w:rPr>
        <w:t xml:space="preserve">§3.7  </w:t>
      </w:r>
      <w:r>
        <w:rPr>
          <w:rFonts w:ascii="Garamond" w:eastAsia="Garamond" w:hAnsi="Garamond" w:cs="Garamond"/>
          <w:i/>
          <w:iCs/>
          <w:color w:val="1B2A4A"/>
          <w:sz w:val="22"/>
          <w:szCs w:val="22"/>
        </w:rPr>
        <w:t>Legislative Process and Passage</w:t>
      </w:r>
    </w:p>
    <w:p w14:paraId="7E377D1E" w14:textId="77777777" w:rsidR="00AF3D56" w:rsidRDefault="00000000">
      <w:pPr>
        <w:spacing w:after="120"/>
        <w:ind w:left="431"/>
        <w:jc w:val="both"/>
      </w:pPr>
      <w:r>
        <w:rPr>
          <w:rFonts w:ascii="Garamond" w:eastAsia="Garamond" w:hAnsi="Garamond" w:cs="Garamond"/>
          <w:color w:val="2A2A2A"/>
          <w:sz w:val="22"/>
          <w:szCs w:val="22"/>
        </w:rPr>
        <w:t>Bills pass by absolute majority of the full seated membership of both chambers. Higher thresholds apply to constitutional amendments, veto overrides, removal proceedings, and other matters specified in this constitution; where a higher threshold is specified for a vote of a single chamber, it applies to the full seated membership of that chamber.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non-fulfillment directly impairs the exercise of a right guaranteed in Article I, affected parties may bring direct constitutional claims.</w:t>
      </w:r>
    </w:p>
    <w:p w14:paraId="31C7F657"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§3.8  </w:t>
      </w:r>
      <w:r>
        <w:rPr>
          <w:rFonts w:ascii="Garamond" w:eastAsia="Garamond" w:hAnsi="Garamond" w:cs="Garamond"/>
          <w:i/>
          <w:iCs/>
          <w:color w:val="1B2A4A"/>
          <w:sz w:val="22"/>
          <w:szCs w:val="22"/>
        </w:rPr>
        <w:t>Legislative Oversight</w:t>
      </w:r>
    </w:p>
    <w:p w14:paraId="45413DAD" w14:textId="77777777" w:rsidR="0088569E" w:rsidRDefault="00000000" w:rsidP="0088569E">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consistent with §1.22; it does not extend to criminal conduct.</w:t>
      </w:r>
    </w:p>
    <w:p w14:paraId="07D07263" w14:textId="0CB2DFD2" w:rsidR="00AF3D56" w:rsidRDefault="00000000" w:rsidP="0088569E">
      <w:pPr>
        <w:spacing w:after="120"/>
        <w:ind w:left="431"/>
        <w:jc w:val="both"/>
      </w:pPr>
      <w:r>
        <w:rPr>
          <w:rFonts w:ascii="Courier New" w:eastAsia="Courier New" w:hAnsi="Courier New" w:cs="Courier New"/>
          <w:b/>
          <w:bCs/>
          <w:color w:val="2A2A2A"/>
          <w:sz w:val="18"/>
          <w:szCs w:val="18"/>
        </w:rPr>
        <w:t xml:space="preserve">§3.9  </w:t>
      </w:r>
      <w:r>
        <w:rPr>
          <w:rFonts w:ascii="Garamond" w:eastAsia="Garamond" w:hAnsi="Garamond" w:cs="Garamond"/>
          <w:i/>
          <w:iCs/>
          <w:color w:val="1B2A4A"/>
          <w:sz w:val="22"/>
          <w:szCs w:val="22"/>
        </w:rPr>
        <w:t>Independent Statutory Agencies</w:t>
      </w:r>
    </w:p>
    <w:p w14:paraId="62C10486" w14:textId="77777777" w:rsidR="00AF3D56" w:rsidRDefault="00000000">
      <w:pPr>
        <w:spacing w:after="120"/>
        <w:ind w:left="431"/>
        <w:jc w:val="both"/>
      </w:pPr>
      <w:r>
        <w:rPr>
          <w:rFonts w:ascii="Garamond" w:eastAsia="Garamond" w:hAnsi="Garamond" w:cs="Garamond"/>
          <w:color w:val="2A2A2A"/>
          <w:sz w:val="22"/>
          <w:szCs w:val="22"/>
        </w:rPr>
        <w:t>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 Qualification standards established by statute for appointment to a constitutionally mandated independent agency must be facially neutral and may not be designed to exclude otherwise qualified candidates on the basis of policy view, party affiliation, or prior public criticism of the Legislature or either executive.</w:t>
      </w:r>
    </w:p>
    <w:p w14:paraId="21D76A3D" w14:textId="77777777" w:rsidR="00AF3D56" w:rsidRDefault="00000000">
      <w:pPr>
        <w:spacing w:before="200" w:after="60"/>
        <w:ind w:left="431"/>
      </w:pPr>
      <w:r>
        <w:rPr>
          <w:rFonts w:ascii="Courier New" w:eastAsia="Courier New" w:hAnsi="Courier New" w:cs="Courier New"/>
          <w:b/>
          <w:bCs/>
          <w:color w:val="2A2A2A"/>
          <w:sz w:val="18"/>
          <w:szCs w:val="18"/>
        </w:rPr>
        <w:t xml:space="preserve">§3.10  </w:t>
      </w:r>
      <w:r>
        <w:rPr>
          <w:rFonts w:ascii="Garamond" w:eastAsia="Garamond" w:hAnsi="Garamond" w:cs="Garamond"/>
          <w:i/>
          <w:iCs/>
          <w:color w:val="1B2A4A"/>
          <w:sz w:val="22"/>
          <w:szCs w:val="22"/>
        </w:rPr>
        <w:t>Removal Pathways</w:t>
      </w:r>
    </w:p>
    <w:p w:rsidR="00AF3D56" w:rsidRDefault="00000000">
      <w:pPr>
        <w:spacing w:after="120"/>
        <w:ind w:left="431"/>
        <w:jc w:val="both"/>
      </w:pPr>
      <w:r>
        <w:rPr>
          <w:rFonts w:ascii="Garamond" w:eastAsia="Garamond" w:hAnsi="Garamond" w:cs="Garamond"/>
          <w:color w:val="2A2A2A"/>
          <w:sz w:val="22"/>
          <w:szCs w:val="22"/>
        </w:rPr>
        <w:t>Removal of constitutional officers proceeds exclusively as this Constitution provides: the Legat Consul under §2.13; the Civic Consul under §2.6; Supreme Court justices under §4.3.a; inferior court judges under §4.2; members of the Legislature by their own chamber under §3.2 or §3.5, or by State recall as recognized there; Legat Consul domain officers by the Senate under §2.4; ministers at the pleasure of the Civic Consul under §2.5; and constitutionally confirmed independent officers under §9.9. Criminal liability remains separately pursuable. No removal mechanism not provided for in this Constitution may be created by statute.</w:t>
      </w:r>
    </w:p>
    <w:p w14:paraId="643CB309" w14:textId="77777777" w:rsidR="00AF3D56" w:rsidRDefault="00000000">
      <w:pPr>
        <w:spacing w:before="200" w:after="60"/>
        <w:ind w:left="431"/>
      </w:pPr>
      <w:r>
        <w:rPr>
          <w:rFonts w:ascii="Courier New" w:eastAsia="Courier New" w:hAnsi="Courier New" w:cs="Courier New"/>
          <w:b/>
          <w:bCs/>
          <w:color w:val="2A2A2A"/>
          <w:sz w:val="18"/>
          <w:szCs w:val="18"/>
        </w:rPr>
        <w:t xml:space="preserve">§3.11  </w:t>
      </w:r>
      <w:r>
        <w:rPr>
          <w:rFonts w:ascii="Garamond" w:eastAsia="Garamond" w:hAnsi="Garamond" w:cs="Garamond"/>
          <w:i/>
          <w:iCs/>
          <w:color w:val="1B2A4A"/>
          <w:sz w:val="22"/>
          <w:szCs w:val="22"/>
        </w:rPr>
        <w:t>Inviolability of Electoral Mandates</w:t>
      </w:r>
    </w:p>
    <w:p w14:paraId="07AD5516" w14:textId="77777777" w:rsidR="00AF3D56" w:rsidRDefault="00000000">
      <w:pPr>
        <w:spacing w:after="120"/>
        <w:ind w:left="431"/>
        <w:jc w:val="both"/>
      </w:pPr>
      <w:r>
        <w:rPr>
          <w:rFonts w:ascii="Garamond" w:eastAsia="Garamond" w:hAnsi="Garamond" w:cs="Garamond"/>
          <w:color w:val="2A2A2A"/>
          <w:sz w:val="22"/>
          <w:szCs w:val="22"/>
        </w:rPr>
        <w:t>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§3.2 or §3.5; and removal under the provisions enumerated in §3.10. Any mechanism enabling the people themselves to shorten an elected mandate not already provided in this Constitution requires a constitutional amendment under Article XVII and may not be established by ordinary statute. Expulsion, recall, and removal under any provision of this Constitution are civil and political processes; they do not constitute criminal or civil legal proceedings and do not protect the removed officer from criminal prosecution or civil liability for underlying conduct.</w:t>
      </w:r>
    </w:p>
    <w:p w14:paraId="1FA5E74A" w14:textId="77777777" w:rsidR="00AF3D56" w:rsidRDefault="00000000">
      <w:pPr>
        <w:spacing w:before="200" w:after="60"/>
        <w:ind w:left="431"/>
      </w:pPr>
      <w:r>
        <w:rPr>
          <w:rFonts w:ascii="Courier New" w:eastAsia="Courier New" w:hAnsi="Courier New" w:cs="Courier New"/>
          <w:b/>
          <w:bCs/>
          <w:color w:val="2A2A2A"/>
          <w:sz w:val="18"/>
          <w:szCs w:val="18"/>
        </w:rPr>
        <w:t xml:space="preserve">§3.12  </w:t>
      </w:r>
      <w:r>
        <w:rPr>
          <w:rFonts w:ascii="Garamond" w:eastAsia="Garamond" w:hAnsi="Garamond" w:cs="Garamond"/>
          <w:i/>
          <w:iCs/>
          <w:color w:val="1B2A4A"/>
          <w:sz w:val="22"/>
          <w:szCs w:val="22"/>
        </w:rPr>
        <w:t>Disqualifying Offense</w:t>
      </w:r>
    </w:p>
    <w:p w14:paraId="3AA6C17F" w14:textId="77777777" w:rsidR="00AF3D56" w:rsidRDefault="00000000">
      <w:pPr>
        <w:spacing w:after="120"/>
        <w:ind w:left="431"/>
        <w:jc w:val="both"/>
      </w:pPr>
      <w:r>
        <w:rPr>
          <w:rFonts w:ascii="Garamond" w:eastAsia="Garamond" w:hAnsi="Garamond" w:cs="Garamond"/>
          <w:color w:val="2A2A2A"/>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disqualifying offense is a ground for the removal of a person already holding office under the provisions that reference it; it does not govern eligibility to seek or hold federal office, which is governed exclusively by §7.4. A pardon granted under §2.12 does not clear the offense's status as a disqualifying offense unless the pardoning instrument expressly states that this status is cleared and the EM publishes to the NRS that the pardoning instrument expressly so states. Where a conviction is </w:t>
        <w:lastRenderedPageBreak/>
        <w:t>under appeal at the time a relevant constitutional determination is made, the conviction stands for constitutional purposes unless and until it is reversed by a court of competent jurisdiction.</w:t>
      </w:r>
    </w:p>
    <w:p w14:paraId="2A5A0725" w14:textId="77777777" w:rsidR="00AF3D56" w:rsidRDefault="00000000">
      <w:pPr>
        <w:spacing w:before="200" w:after="60"/>
        <w:ind w:left="431"/>
      </w:pPr>
      <w:r>
        <w:rPr>
          <w:rFonts w:ascii="Courier New" w:eastAsia="Courier New" w:hAnsi="Courier New" w:cs="Courier New"/>
          <w:b/>
          <w:bCs/>
          <w:color w:val="2A2A2A"/>
          <w:sz w:val="18"/>
          <w:szCs w:val="18"/>
        </w:rPr>
        <w:t xml:space="preserve">§3.13  </w:t>
      </w:r>
      <w:r>
        <w:rPr>
          <w:rFonts w:ascii="Garamond" w:eastAsia="Garamond" w:hAnsi="Garamond" w:cs="Garamond"/>
          <w:i/>
          <w:iCs/>
          <w:color w:val="1B2A4A"/>
          <w:sz w:val="22"/>
          <w:szCs w:val="22"/>
        </w:rPr>
        <w:t>Continuity of Constitutionally Mandated Offices</w:t>
      </w:r>
    </w:p>
    <w:p w14:paraId="5AD0E065" w14:textId="77777777" w:rsidR="00AF3D56" w:rsidRDefault="00000000">
      <w:pPr>
        <w:spacing w:after="120"/>
        <w:ind w:left="431"/>
        <w:jc w:val="both"/>
      </w:pPr>
      <w:r>
        <w:rPr>
          <w:rFonts w:ascii="Garamond" w:eastAsia="Garamond" w:hAnsi="Garamond" w:cs="Garamond"/>
          <w:color w:val="2A2A2A"/>
          <w:sz w:val="22"/>
          <w:szCs w:val="22"/>
        </w:rPr>
        <w:t>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14:paraId="1A3D673F" w14:textId="77777777" w:rsidR="00AF3D56" w:rsidRDefault="00000000">
      <w:pPr>
        <w:spacing w:before="200" w:after="60"/>
        <w:ind w:left="431"/>
      </w:pPr>
      <w:r>
        <w:rPr>
          <w:rFonts w:ascii="Courier New" w:eastAsia="Courier New" w:hAnsi="Courier New" w:cs="Courier New"/>
          <w:b/>
          <w:bCs/>
          <w:color w:val="2A2A2A"/>
          <w:sz w:val="18"/>
          <w:szCs w:val="18"/>
        </w:rPr>
        <w:t xml:space="preserve">§3.14  </w:t>
      </w:r>
      <w:r>
        <w:rPr>
          <w:rFonts w:ascii="Garamond" w:eastAsia="Garamond" w:hAnsi="Garamond" w:cs="Garamond"/>
          <w:i/>
          <w:iCs/>
          <w:color w:val="1B2A4A"/>
          <w:sz w:val="22"/>
          <w:szCs w:val="22"/>
        </w:rPr>
        <w:t>Federal Legislative Competence</w:t>
      </w:r>
    </w:p>
    <w:p w14:paraId="40AEAC96" w14:textId="77777777" w:rsidR="00AF3D56" w:rsidRDefault="00000000">
      <w:pPr>
        <w:spacing w:after="120"/>
        <w:ind w:left="431"/>
        <w:jc w:val="both"/>
      </w:pPr>
      <w:r>
        <w:rPr>
          <w:rFonts w:ascii="Garamond" w:eastAsia="Garamond" w:hAnsi="Garamond" w:cs="Garamond"/>
          <w:color w:val="2A2A2A"/>
          <w:sz w:val="22"/>
          <w:szCs w:val="22"/>
        </w:rPr>
        <w:t>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 Where this Constitution directs that a function, standard, procedure, or framework be established, defined, or regulated, that obligation is fulfilled by statute unless this Constitution specifies otherwise. No executive or administrative act may substitute for legislation where this Constitution requires statutory action.</w:t>
      </w:r>
    </w:p>
    <w:p w14:paraId="081FC206" w14:textId="77777777" w:rsidR="00AF3D56" w:rsidRDefault="00000000">
      <w:pPr>
        <w:spacing w:before="200" w:after="60"/>
        <w:ind w:left="431"/>
      </w:pPr>
      <w:r>
        <w:rPr>
          <w:rFonts w:ascii="Courier New" w:eastAsia="Courier New" w:hAnsi="Courier New" w:cs="Courier New"/>
          <w:b/>
          <w:bCs/>
          <w:color w:val="2A2A2A"/>
          <w:sz w:val="18"/>
          <w:szCs w:val="18"/>
        </w:rPr>
        <w:t xml:space="preserve">§3.15  </w:t>
      </w:r>
      <w:r>
        <w:rPr>
          <w:rFonts w:ascii="Garamond" w:eastAsia="Garamond" w:hAnsi="Garamond" w:cs="Garamond"/>
          <w:i/>
          <w:iCs/>
          <w:color w:val="1B2A4A"/>
          <w:sz w:val="22"/>
          <w:szCs w:val="22"/>
        </w:rPr>
        <w:t>Delegation of Authority</w:t>
      </w:r>
    </w:p>
    <w:p w14:paraId="45631741" w14:textId="77777777" w:rsidR="00AF3D56" w:rsidRDefault="00000000">
      <w:pPr>
        <w:spacing w:after="120"/>
        <w:ind w:left="431"/>
        <w:jc w:val="both"/>
      </w:pPr>
      <w:r>
        <w:rPr>
          <w:rFonts w:ascii="Garamond" w:eastAsia="Garamond" w:hAnsi="Garamond" w:cs="Garamond"/>
          <w:color w:val="2A2A2A"/>
          <w:sz w:val="22"/>
          <w:szCs w:val="22"/>
        </w:rPr>
        <w:t>The Legislature may by statute delegate defined authorities within its legislative competence to the Legat Consul, the Civic Consul, or independent agencies established under §3.9. Any delegation must specify the exact scope of authority delegated, the conditions on its exercise, and a maximum duration not to exceed the term of the Legislature that enacted it. The Legislature may rescind any delegation by simple majority of both chambers at any time; no recipient of delegated authority may obstruct or condition rescission. No delegation creates a permanent transfer of legislative competence. Every exercise of delegated authority is published to the NRS with attribution to both the legislative grant and the recipient's act. The EM audits the exercise of all delegated executive authority annually and publishes findings to the NRS.</w:t>
      </w:r>
    </w:p>
    <w:p w14:paraId="057FDF80"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IV — The Judicial Architecture</w:t>
      </w:r>
    </w:p>
    <w:p w14:paraId="15ADDE89" w14:textId="77777777" w:rsidR="00AF3D56" w:rsidRDefault="00000000">
      <w:pPr>
        <w:spacing w:before="200" w:after="60"/>
        <w:ind w:left="431"/>
      </w:pPr>
      <w:r>
        <w:rPr>
          <w:rFonts w:ascii="Courier New" w:eastAsia="Courier New" w:hAnsi="Courier New" w:cs="Courier New"/>
          <w:b/>
          <w:bCs/>
          <w:color w:val="2A2A2A"/>
          <w:sz w:val="18"/>
          <w:szCs w:val="18"/>
        </w:rPr>
        <w:t xml:space="preserve">§4.1  </w:t>
      </w:r>
      <w:r>
        <w:rPr>
          <w:rFonts w:ascii="Garamond" w:eastAsia="Garamond" w:hAnsi="Garamond" w:cs="Garamond"/>
          <w:i/>
          <w:iCs/>
          <w:color w:val="1B2A4A"/>
          <w:sz w:val="22"/>
          <w:szCs w:val="22"/>
        </w:rPr>
        <w:t>Court Structure</w:t>
      </w:r>
    </w:p>
    <w:p w14:paraId="4A3EE79D" w14:textId="77777777" w:rsidR="00AF3D56" w:rsidRDefault="00000000">
      <w:pPr>
        <w:spacing w:after="120"/>
        <w:ind w:left="431"/>
        <w:jc w:val="both"/>
      </w:pPr>
      <w:r>
        <w:rPr>
          <w:rFonts w:ascii="Garamond" w:eastAsia="Garamond" w:hAnsi="Garamond" w:cs="Garamond"/>
          <w:color w:val="2A2A2A"/>
          <w:sz w:val="22"/>
          <w:szCs w:val="22"/>
        </w:rPr>
        <w:t>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14:paraId="6A485490" w14:textId="77777777" w:rsidR="00AF3D56" w:rsidRDefault="00000000">
      <w:pPr>
        <w:spacing w:before="200" w:after="60"/>
        <w:ind w:left="431"/>
      </w:pPr>
      <w:r>
        <w:rPr>
          <w:rFonts w:ascii="Courier New" w:eastAsia="Courier New" w:hAnsi="Courier New" w:cs="Courier New"/>
          <w:b/>
          <w:bCs/>
          <w:color w:val="2A2A2A"/>
          <w:sz w:val="18"/>
          <w:szCs w:val="18"/>
        </w:rPr>
        <w:t xml:space="preserve">§4.2  </w:t>
      </w:r>
      <w:r>
        <w:rPr>
          <w:rFonts w:ascii="Garamond" w:eastAsia="Garamond" w:hAnsi="Garamond" w:cs="Garamond"/>
          <w:i/>
          <w:iCs/>
          <w:color w:val="1B2A4A"/>
          <w:sz w:val="22"/>
          <w:szCs w:val="22"/>
        </w:rPr>
        <w:t>Judicial Appointments and Independence</w:t>
      </w:r>
    </w:p>
    <w:p>
      <w:pPr>
        <w:spacing w:after="120"/>
        <w:ind w:left="431"/>
        <w:jc w:val="both"/>
      </w:pPr>
      <w:r>
        <w:rPr>
          <w:rFonts w:ascii="Garamond" w:eastAsia="Garamond" w:hAnsi="Garamond" w:cs="Garamond"/>
          <w:color w:val="2A2A2A"/>
          <w:sz w:val="22"/>
          <w:szCs w:val="22"/>
        </w:rPr>
        <w:t xml:space="preserve">(1) Any citizen meeting the eligibility criteria established in §9.4.a may apply to the Elections Panel to enter the Judicial Pool; the JM's ongoing audit encompasses the Judicial Pool. Exceptions to pool eligibility — including persons currently holding government positions, those with disqualifying financial interests, and those removed from a court within a recent period — are defined by statute.</w:t>
      </w:r>
    </w:p>
    <w:p>
      <w:pPr>
        <w:spacing w:after="120"/>
        <w:ind w:left="431"/>
        <w:jc w:val="both"/>
      </w:pPr>
      <w:r>
        <w:rPr>
          <w:rFonts w:ascii="Garamond" w:eastAsia="Garamond" w:hAnsi="Garamond" w:cs="Garamond"/>
          <w:color w:val="2A2A2A"/>
          <w:sz w:val="22"/>
          <w:szCs w:val="22"/>
        </w:rPr>
        <w:t xml:space="preserve">(2) The Civic Consul nominates inferior court judges from the Judicial Pool maintained by the Elections Panel under §9.8. The Civic Consul must nominate within the period defined by statute following a vacancy, not to exceed 90 days where no statutory period has been defined. The Senate confirms by 2/3.</w:t>
      </w:r>
    </w:p>
    <w:p>
      <w:pPr>
        <w:spacing w:after="120"/>
        <w:ind w:left="431"/>
        <w:jc w:val="both"/>
      </w:pPr>
      <w:r>
        <w:rPr>
          <w:rFonts w:ascii="Garamond" w:eastAsia="Garamond" w:hAnsi="Garamond" w:cs="Garamond"/>
          <w:color w:val="2A2A2A"/>
          <w:sz w:val="22"/>
          <w:szCs w:val="22"/>
        </w:rPr>
        <w:t xml:space="preserve">(3)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w:t>
      </w:r>
    </w:p>
    <w:p>
      <w:pPr>
        <w:spacing w:after="120"/>
        <w:ind w:left="431"/>
        <w:jc w:val="both"/>
      </w:pPr>
      <w:r>
        <w:rPr>
          <w:rFonts w:ascii="Garamond" w:eastAsia="Garamond" w:hAnsi="Garamond" w:cs="Garamond"/>
          <w:color w:val="2A2A2A"/>
          <w:sz w:val="22"/>
          <w:szCs w:val="22"/>
        </w:rPr>
        <w:t xml:space="preserve">(4) Judicial removal occurs through three tracks:</w:t>
      </w:r>
    </w:p>
    <w:p>
      <w:pPr>
        <w:spacing w:after="120"/>
        <w:ind w:left="720"/>
        <w:jc w:val="both"/>
      </w:pPr>
      <w:r>
        <w:rPr>
          <w:rFonts w:ascii="Garamond" w:eastAsia="Garamond" w:hAnsi="Garamond" w:cs="Garamond"/>
          <w:color w:val="2A2A2A"/>
          <w:sz w:val="22"/>
          <w:szCs w:val="22"/>
        </w:rPr>
        <w:t xml:space="preserve">— legislative removal by 2/3 of both chambers on grounds of constitutional breach or demonstrated incapacity; under §9.1, either chamber may request an EM assessment to inform the proceeding;</w:t>
      </w:r>
    </w:p>
    <w:p>
      <w:pPr>
        <w:spacing w:after="120"/>
        <w:ind w:left="720"/>
        <w:jc w:val="both"/>
      </w:pPr>
      <w:r>
        <w:rPr>
          <w:rFonts w:ascii="Garamond" w:eastAsia="Garamond" w:hAnsi="Garamond" w:cs="Garamond"/>
          <w:color w:val="2A2A2A"/>
          <w:sz w:val="22"/>
          <w:szCs w:val="22"/>
        </w:rPr>
        <w:t xml:space="preserve">— judicial discipline through a process established by statute under SC oversight;</w:t>
      </w:r>
    </w:p>
    <w:p>
      <w:pPr>
        <w:spacing w:after="120"/>
        <w:ind w:left="720"/>
        <w:jc w:val="both"/>
      </w:pPr>
      <w:r>
        <w:rPr>
          <w:rFonts w:ascii="Garamond" w:eastAsia="Garamond" w:hAnsi="Garamond" w:cs="Garamond"/>
          <w:color w:val="2A2A2A"/>
          <w:sz w:val="22"/>
          <w:szCs w:val="22"/>
        </w:rPr>
        <w:t xml:space="preserve">— or criminal conviction for a disqualifying offense.</w:t>
      </w:r>
    </w:p>
    <w:p>
      <w:pPr>
        <w:spacing w:after="120"/>
        <w:ind w:left="431"/>
        <w:jc w:val="both"/>
      </w:pPr>
      <w:r>
        <w:rPr>
          <w:rFonts w:ascii="Garamond" w:eastAsia="Garamond" w:hAnsi="Garamond" w:cs="Garamond"/>
          <w:color w:val="2A2A2A"/>
          <w:sz w:val="22"/>
          <w:szCs w:val="22"/>
        </w:rPr>
        <w:t xml:space="preserve">(5) No public official may direct, threaten, or seek to influence a judge's decision in any pending matter. Judicial compensation may not be reduced during a judge's term.</w:t>
      </w:r>
    </w:p>
    <w:p w14:paraId="1CA47B11" w14:textId="77777777" w:rsidR="00AF3D56" w:rsidRDefault="00000000">
      <w:pPr>
        <w:spacing w:before="200" w:after="60"/>
        <w:ind w:left="431"/>
      </w:pPr>
      <w:r>
        <w:rPr>
          <w:rFonts w:ascii="Courier New" w:eastAsia="Courier New" w:hAnsi="Courier New" w:cs="Courier New"/>
          <w:b/>
          <w:bCs/>
          <w:color w:val="2A2A2A"/>
          <w:sz w:val="18"/>
          <w:szCs w:val="18"/>
        </w:rPr>
        <w:t xml:space="preserve">§4.3  </w:t>
      </w:r>
      <w:r>
        <w:rPr>
          <w:rFonts w:ascii="Garamond" w:eastAsia="Garamond" w:hAnsi="Garamond" w:cs="Garamond"/>
          <w:i/>
          <w:iCs/>
          <w:color w:val="1B2A4A"/>
          <w:sz w:val="22"/>
          <w:szCs w:val="22"/>
        </w:rPr>
        <w:t>The Supreme Court</w:t>
      </w:r>
    </w:p>
    <w:p w14:paraId="6D120E92" w14:textId="77777777" w:rsidR="00AF3D56" w:rsidRDefault="00000000">
      <w:pPr>
        <w:spacing w:after="120"/>
        <w:ind w:left="431"/>
        <w:jc w:val="both"/>
      </w:pPr>
      <w:r>
        <w:rPr>
          <w:rFonts w:ascii="Garamond" w:eastAsia="Garamond" w:hAnsi="Garamond" w:cs="Garamond"/>
          <w:color w:val="2A2A2A"/>
          <w:sz w:val="22"/>
          <w:szCs w:val="22"/>
        </w:rPr>
        <w:t>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 A majority of the SC's seated justices — including any Temporary Associate Justices — constitutes quorum for ordinary decisions. Constitutional questions require a minimum of five justices regardless of total seated membership.</w:t>
      </w:r>
    </w:p>
    <w:p w14:paraId="68C5D73F" w14:textId="77777777" w:rsidR="00AF3D56" w:rsidRDefault="00000000">
      <w:pPr>
        <w:spacing w:before="200" w:after="60"/>
        <w:ind w:left="431"/>
      </w:pPr>
      <w:r>
        <w:rPr>
          <w:rFonts w:ascii="Courier New" w:eastAsia="Courier New" w:hAnsi="Courier New" w:cs="Courier New"/>
          <w:b/>
          <w:bCs/>
          <w:color w:val="2A2A2A"/>
          <w:sz w:val="18"/>
          <w:szCs w:val="18"/>
        </w:rPr>
        <w:t xml:space="preserve">§4.3.a  </w:t>
      </w:r>
      <w:r>
        <w:rPr>
          <w:rFonts w:ascii="Garamond" w:eastAsia="Garamond" w:hAnsi="Garamond" w:cs="Garamond"/>
          <w:i/>
          <w:iCs/>
          <w:color w:val="1B2A4A"/>
          <w:sz w:val="22"/>
          <w:szCs w:val="22"/>
        </w:rPr>
        <w:t>Supreme Court Justice Removal</w:t>
      </w:r>
    </w:p>
    <w:p w14:paraId="08DF6E6C" w14:textId="77777777" w:rsidR="00AF3D56" w:rsidRDefault="00000000">
      <w:pPr>
        <w:spacing w:after="120"/>
        <w:ind w:left="431"/>
        <w:jc w:val="both"/>
      </w:pPr>
      <w:r>
        <w:rPr>
          <w:rFonts w:ascii="Garamond" w:eastAsia="Garamond" w:hAnsi="Garamond" w:cs="Garamond"/>
          <w:color w:val="2A2A2A"/>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under §4.5; the SC must rule within 48 hours of petition. Judicial disagreement — however profound — does not constitute grounds for removal; the independence </w:t>
        <w:lastRenderedPageBreak/>
        <w:t>of SC judicial judgment is absolute and may not itself be invoked as grounds for removal. Upon removal, the most senior Appellate Court judge auto-designates as Temporary Associate Justice under §4.4 until the vacancy is filled.</w:t>
      </w:r>
    </w:p>
    <w:p w14:paraId="7E9BD33D" w14:textId="77777777" w:rsidR="00AF3D56" w:rsidRDefault="00000000">
      <w:pPr>
        <w:spacing w:before="200" w:after="60"/>
        <w:ind w:left="431"/>
      </w:pPr>
      <w:r>
        <w:rPr>
          <w:rFonts w:ascii="Courier New" w:eastAsia="Courier New" w:hAnsi="Courier New" w:cs="Courier New"/>
          <w:b/>
          <w:bCs/>
          <w:color w:val="2A2A2A"/>
          <w:sz w:val="18"/>
          <w:szCs w:val="18"/>
        </w:rPr>
        <w:t xml:space="preserve">§4.4  </w:t>
      </w:r>
      <w:r>
        <w:rPr>
          <w:rFonts w:ascii="Garamond" w:eastAsia="Garamond" w:hAnsi="Garamond" w:cs="Garamond"/>
          <w:i/>
          <w:iCs/>
          <w:color w:val="1B2A4A"/>
          <w:sz w:val="22"/>
          <w:szCs w:val="22"/>
        </w:rPr>
        <w:t>Supreme Court Selection</w:t>
      </w:r>
    </w:p>
    <w:p>
      <w:pPr>
        <w:spacing w:after="120"/>
        <w:ind w:left="431"/>
        <w:jc w:val="both"/>
      </w:pPr>
      <w:r>
        <w:rPr>
          <w:rFonts w:ascii="Garamond" w:eastAsia="Garamond" w:hAnsi="Garamond" w:cs="Garamond"/>
          <w:color w:val="2A2A2A"/>
          <w:sz w:val="22"/>
          <w:szCs w:val="22"/>
        </w:rPr>
        <w:t xml:space="preserve">(1) SC justices are nominated by the Civic Consul from the Judicial Pool maintained by the Elections Panel under §9.8 — any pool member meeting the statutory qualifications for Supreme Court appointment is eligible for SC nomination.</w:t>
      </w:r>
    </w:p>
    <w:p>
      <w:pPr>
        <w:spacing w:after="120"/>
        <w:ind w:left="431"/>
        <w:jc w:val="both"/>
      </w:pPr>
      <w:r>
        <w:rPr>
          <w:rFonts w:ascii="Garamond" w:eastAsia="Garamond" w:hAnsi="Garamond" w:cs="Garamond"/>
          <w:color w:val="2A2A2A"/>
          <w:sz w:val="22"/>
          <w:szCs w:val="22"/>
        </w:rPr>
        <w:t xml:space="preserve">(2) The Civic Consul nominates within the period defined by statute following a vacancy (not to exceed 90 days for anticipated vacancies, 60 days for unanticipated vacancies).</w:t>
      </w:r>
    </w:p>
    <w:p>
      <w:pPr>
        <w:spacing w:after="120"/>
        <w:ind w:left="431"/>
        <w:jc w:val="both"/>
      </w:pPr>
      <w:r>
        <w:rPr>
          <w:rFonts w:ascii="Garamond" w:eastAsia="Garamond" w:hAnsi="Garamond" w:cs="Garamond"/>
          <w:color w:val="2A2A2A"/>
          <w:sz w:val="22"/>
          <w:szCs w:val="22"/>
        </w:rPr>
        <w:t xml:space="preserve">(3) The Senate must vote within the period defined by statute following nomination (not to exceed 120 days); the JM's ongoing audit of the Judicial Pool is available on the NRS and the Senate may consider any published JM findings on the nominee; no deemed confirmation applies, but failure to vote within that period is a constitutional compliance breach.</w:t>
      </w:r>
    </w:p>
    <w:p>
      <w:pPr>
        <w:spacing w:after="120"/>
        <w:ind w:left="431"/>
        <w:jc w:val="both"/>
      </w:pPr>
      <w:r>
        <w:rPr>
          <w:rFonts w:ascii="Garamond" w:eastAsia="Garamond" w:hAnsi="Garamond" w:cs="Garamond"/>
          <w:color w:val="2A2A2A"/>
          <w:sz w:val="22"/>
          <w:szCs w:val="22"/>
        </w:rPr>
        <w:t xml:space="preserve">(4) If the Senate declines, the Civic Consul nominates again within the period defined by statute. Where the Civic Consul fails to nominate within 30 days after the expiry of the applicable nomination period, the Senate may select a nominee directly from the Judicial Pool by 2/3 vote of full seated membership; a Senate selection under this provision requires no further Civic Consul nomination and proceeds directly to confirmation.</w:t>
      </w:r>
    </w:p>
    <w:p>
      <w:pPr>
        <w:spacing w:after="120"/>
        <w:ind w:left="431"/>
        <w:jc w:val="both"/>
      </w:pPr>
      <w:r>
        <w:rPr>
          <w:rFonts w:ascii="Garamond" w:eastAsia="Garamond" w:hAnsi="Garamond" w:cs="Garamond"/>
          <w:color w:val="2A2A2A"/>
          <w:sz w:val="22"/>
          <w:szCs w:val="22"/>
        </w:rPr>
        <w:t xml:space="preserve">(5) The confirmed justice serves a single non-renewable 12-year term from the date of confirmation. A mid-term replacement serves only the remainder of the original term.</w:t>
      </w:r>
    </w:p>
    <w:p>
      <w:pPr>
        <w:spacing w:after="120"/>
        <w:ind w:left="431"/>
        <w:jc w:val="both"/>
      </w:pPr>
      <w:r>
        <w:rPr>
          <w:rFonts w:ascii="Garamond" w:eastAsia="Garamond" w:hAnsi="Garamond" w:cs="Garamond"/>
          <w:color w:val="2A2A2A"/>
          <w:sz w:val="22"/>
          <w:szCs w:val="22"/>
        </w:rPr>
        <w:t xml:space="preserve">(6) At founding, the nine initial justices are confirmed simultaneously and assigned to their three classes by public lot.</w:t>
      </w:r>
    </w:p>
    <w:p>
      <w:pPr>
        <w:spacing w:after="120"/>
        <w:ind w:left="431"/>
        <w:jc w:val="both"/>
      </w:pPr>
      <w:r>
        <w:rPr>
          <w:rFonts w:ascii="Garamond" w:eastAsia="Garamond" w:hAnsi="Garamond" w:cs="Garamond"/>
          <w:color w:val="2A2A2A"/>
          <w:sz w:val="22"/>
          <w:szCs w:val="22"/>
        </w:rPr>
        <w:t xml:space="preserve">(7) Upon any SC vacancy, the most senior Appellate Court judge by continuous service is automatically designated Temporary Associate Justice within 5 days — without nomination or confirmation — holding full voting rights until the vacancy is filled; where two or more Appellate Court judges have equal continuous service, the oldest by age is designated. The Civic Consul may not nominate a serving Temporary Associate Justice for the seat they are temporarily filling through the ordinary appointment process under this section; this bar does not affect placement on a public confirmation ballot under §4.4.a.</w:t>
      </w:r>
    </w:p>
    <w:p w14:paraId="18E5DFD5" w14:textId="77777777" w:rsidR="00AF3D56" w:rsidRDefault="00000000">
      <w:pPr>
        <w:spacing w:before="200" w:after="60"/>
        <w:ind w:left="431"/>
      </w:pPr>
      <w:r>
        <w:rPr>
          <w:rFonts w:ascii="Courier New" w:eastAsia="Courier New" w:hAnsi="Courier New" w:cs="Courier New"/>
          <w:b/>
          <w:bCs/>
          <w:color w:val="2A2A2A"/>
          <w:sz w:val="18"/>
          <w:szCs w:val="18"/>
        </w:rPr>
        <w:t xml:space="preserve">§4.4.a  </w:t>
      </w:r>
      <w:r>
        <w:rPr>
          <w:rFonts w:ascii="Garamond" w:eastAsia="Garamond" w:hAnsi="Garamond" w:cs="Garamond"/>
          <w:i/>
          <w:iCs/>
          <w:color w:val="1B2A4A"/>
          <w:sz w:val="22"/>
          <w:szCs w:val="22"/>
        </w:rPr>
        <w:t>Senate Bypass — Public Confirmation</w:t>
      </w:r>
    </w:p>
    <w:p w14:paraId="45C8A839" w14:textId="77777777" w:rsidR="00AF3D56" w:rsidRDefault="00000000">
      <w:pPr>
        <w:spacing w:after="120"/>
        <w:ind w:left="431"/>
        <w:jc w:val="both"/>
      </w:pPr>
      <w:r>
        <w:rPr>
          <w:rFonts w:ascii="Garamond" w:eastAsia="Garamond" w:hAnsi="Garamond" w:cs="Garamond"/>
          <w:color w:val="2A2A2A"/>
          <w:sz w:val="22"/>
          <w:szCs w:val="22"/>
        </w:rPr>
        <w:t>Where the Senate has failed to vote on a nomination within the period required under §4.4, the Civic Consul may — with 2/3 Assembly consent — place the serving Temporary Associate Justice on the next federal electoral period ballot for public confirmation. Confirmation requires 60% of votes cast under §7.3;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Judicial Pool nominee before the public vote is certified ends the bypass immediately. The Temporary Associate Justice may advocate for their own confirmation once placed on the ballot under this section. A public confirmation vote under this section is not an election; §8.1’s electoral finance framework does not apply. Rules governing advocacy conduct, contributions, and disclosure during a public confirmation vote are defined by statute, which must maintain the foreign contribution prohibition and disclosure requirements consistent with the principles of §8.1.</w:t>
      </w:r>
    </w:p>
    <w:p w14:paraId="3DEA753D" w14:textId="77777777" w:rsidR="00AF3D56" w:rsidRDefault="00000000">
      <w:pPr>
        <w:spacing w:before="200" w:after="60"/>
        <w:ind w:left="431"/>
      </w:pPr>
      <w:r>
        <w:rPr>
          <w:rFonts w:ascii="Courier New" w:eastAsia="Courier New" w:hAnsi="Courier New" w:cs="Courier New"/>
          <w:b/>
          <w:bCs/>
          <w:color w:val="2A2A2A"/>
          <w:sz w:val="18"/>
          <w:szCs w:val="18"/>
        </w:rPr>
        <w:t xml:space="preserve">§4.5  </w:t>
      </w:r>
      <w:r>
        <w:rPr>
          <w:rFonts w:ascii="Garamond" w:eastAsia="Garamond" w:hAnsi="Garamond" w:cs="Garamond"/>
          <w:i/>
          <w:iCs/>
          <w:color w:val="1B2A4A"/>
          <w:sz w:val="22"/>
          <w:szCs w:val="22"/>
        </w:rPr>
        <w:t>Judicial Review and Scope</w:t>
      </w:r>
    </w:p>
    <w:p>
      <w:pPr>
        <w:spacing w:after="120"/>
        <w:ind w:left="431"/>
        <w:jc w:val="both"/>
      </w:pPr>
      <w:r>
        <w:rPr>
          <w:rFonts w:ascii="Garamond" w:eastAsia="Garamond" w:hAnsi="Garamond" w:cs="Garamond"/>
          <w:color w:val="2A2A2A"/>
          <w:sz w:val="22"/>
          <w:szCs w:val="22"/>
        </w:rPr>
        <w:t xml:space="preserve">(1) 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w:t>
      </w:r>
    </w:p>
    <w:p>
      <w:pPr>
        <w:spacing w:after="120"/>
        <w:ind w:left="431"/>
        <w:jc w:val="both"/>
      </w:pPr>
      <w:r>
        <w:rPr>
          <w:rFonts w:ascii="Garamond" w:eastAsia="Garamond" w:hAnsi="Garamond" w:cs="Garamond"/>
          <w:color w:val="2A2A2A"/>
          <w:sz w:val="22"/>
          <w:szCs w:val="22"/>
        </w:rPr>
        <w:t xml:space="preserve">(2) Courts decide constitutional questions, not policy questions — Where a statute is ambiguous, courts apply the interpretation most consistent with this constitution. Courts may not rewrite clear statutory language.</w:t>
      </w:r>
    </w:p>
    <w:p>
      <w:pPr>
        <w:spacing w:after="120"/>
        <w:ind w:left="431"/>
        <w:jc w:val="both"/>
      </w:pPr>
      <w:r>
        <w:rPr>
          <w:rFonts w:ascii="Garamond" w:eastAsia="Garamond" w:hAnsi="Garamond" w:cs="Garamond"/>
          <w:color w:val="2A2A2A"/>
          <w:sz w:val="22"/>
          <w:szCs w:val="22"/>
        </w:rPr>
        <w:t xml:space="preserve">(3) Monitor findings published to the NRS are admissible and must be given due consideration; where a court's conclusions differ from a prior finding, the court must address the inconsistency in its written decision.</w:t>
      </w:r>
    </w:p>
    <w:p>
      <w:pPr>
        <w:spacing w:after="120"/>
        <w:ind w:left="431"/>
        <w:jc w:val="both"/>
      </w:pPr>
      <w:r>
        <w:rPr>
          <w:rFonts w:ascii="Garamond" w:eastAsia="Garamond" w:hAnsi="Garamond" w:cs="Garamond"/>
          <w:color w:val="2A2A2A"/>
          <w:sz w:val="22"/>
          <w:szCs w:val="22"/>
        </w:rPr>
        <w:t xml:space="preserve">(4) Any person with a concrete, articulable legal injury has the right to seek relief from a court of competent jurisdiction; the Legislature may not structure the judicial system in a manner that leaves any category of legal injury without a forum for relief.</w:t>
      </w:r>
    </w:p>
    <w:p>
      <w:pPr>
        <w:spacing w:after="120"/>
        <w:ind w:left="431"/>
        <w:jc w:val="both"/>
      </w:pPr>
      <w:r>
        <w:rPr>
          <w:rFonts w:ascii="Garamond" w:eastAsia="Garamond" w:hAnsi="Garamond" w:cs="Garamond"/>
          <w:color w:val="2A2A2A"/>
          <w:sz w:val="22"/>
          <w:szCs w:val="22"/>
        </w:rPr>
        <w:t xml:space="preserve">(5) The SC has original jurisdiction over:</w:t>
      </w:r>
    </w:p>
    <w:p>
      <w:pPr>
        <w:spacing w:after="120"/>
        <w:ind w:left="720"/>
        <w:jc w:val="both"/>
      </w:pPr>
      <w:r>
        <w:rPr>
          <w:rFonts w:ascii="Garamond" w:eastAsia="Garamond" w:hAnsi="Garamond" w:cs="Garamond"/>
          <w:color w:val="2A2A2A"/>
          <w:sz w:val="22"/>
          <w:szCs w:val="22"/>
        </w:rPr>
        <w:t xml:space="preserve">— constitutional disputes between States, between a State and the federal government, and constitutional challenges to federal statutes;</w:t>
      </w:r>
    </w:p>
    <w:p>
      <w:pPr>
        <w:spacing w:after="120"/>
        <w:ind w:left="720"/>
        <w:jc w:val="both"/>
      </w:pPr>
      <w:r>
        <w:rPr>
          <w:rFonts w:ascii="Garamond" w:eastAsia="Garamond" w:hAnsi="Garamond" w:cs="Garamond"/>
          <w:color w:val="2A2A2A"/>
          <w:sz w:val="22"/>
          <w:szCs w:val="22"/>
        </w:rPr>
        <w:t xml:space="preserve">— disputes between the Legat Consul and Civic Consul concerning their respective constitutional domains under §2.1;</w:t>
      </w:r>
    </w:p>
    <w:p>
      <w:pPr>
        <w:spacing w:after="120"/>
        <w:ind w:left="720"/>
        <w:jc w:val="both"/>
      </w:pPr>
      <w:r>
        <w:rPr>
          <w:rFonts w:ascii="Garamond" w:eastAsia="Garamond" w:hAnsi="Garamond" w:cs="Garamond"/>
          <w:color w:val="2A2A2A"/>
          <w:sz w:val="22"/>
          <w:szCs w:val="22"/>
        </w:rPr>
        <w:t xml:space="preserve">— constitutional challenges involving constitutionally independent institutions where their independence protections make inferior court review structurally inappropriate;</w:t>
      </w:r>
    </w:p>
    <w:p>
      <w:pPr>
        <w:spacing w:after="120"/>
        <w:ind w:left="720"/>
        <w:jc w:val="both"/>
      </w:pPr>
      <w:r>
        <w:rPr>
          <w:rFonts w:ascii="Garamond" w:eastAsia="Garamond" w:hAnsi="Garamond" w:cs="Garamond"/>
          <w:color w:val="2A2A2A"/>
          <w:sz w:val="22"/>
          <w:szCs w:val="22"/>
        </w:rPr>
        <w:t xml:space="preserve">— emergency rights claims brought directly under §16.2;</w:t>
      </w:r>
    </w:p>
    <w:p>
      <w:pPr>
        <w:spacing w:after="120"/>
        <w:ind w:left="720"/>
        <w:jc w:val="both"/>
      </w:pPr>
      <w:r>
        <w:rPr>
          <w:rFonts w:ascii="Garamond" w:eastAsia="Garamond" w:hAnsi="Garamond" w:cs="Garamond"/>
          <w:color w:val="2A2A2A"/>
          <w:sz w:val="22"/>
          <w:szCs w:val="22"/>
        </w:rPr>
        <w:t xml:space="preserve">— and disputes over the consistency of ratified amendments with entrenched provisions under §17.3.</w:t>
      </w:r>
    </w:p>
    <w:p>
      <w:pPr>
        <w:spacing w:after="120"/>
        <w:ind w:left="431"/>
        <w:jc w:val="both"/>
      </w:pPr>
      <w:r>
        <w:rPr>
          <w:rFonts w:ascii="Garamond" w:eastAsia="Garamond" w:hAnsi="Garamond" w:cs="Garamond"/>
          <w:color w:val="2A2A2A"/>
          <w:sz w:val="22"/>
          <w:szCs w:val="22"/>
        </w:rPr>
        <w:t xml:space="preserve">(6)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w:t>
      </w:r>
    </w:p>
    <w:p>
      <w:pPr>
        <w:spacing w:after="120"/>
        <w:ind w:left="431"/>
        <w:jc w:val="both"/>
      </w:pPr>
      <w:r>
        <w:rPr>
          <w:rFonts w:ascii="Garamond" w:eastAsia="Garamond" w:hAnsi="Garamond" w:cs="Garamond"/>
          <w:color w:val="2A2A2A"/>
          <w:sz w:val="22"/>
          <w:szCs w:val="22"/>
        </w:rPr>
        <w:t xml:space="preserve">(7) Where conflict between constitutional actors creates a risk of suspension of lawful governance or constitutionally mandated essential services, the constitutional default is continuity at existing scope pending formal resolution. No constitutional actor may use a refusal to certify, approve, or coordinate to achieve the functional suspension of a constitutional obligation. The SC holds expedited jurisdiction over any dispute in which continuity of lawful governance is at immediate risk.</w:t>
      </w:r>
    </w:p>
    <w:p>
      <w:pPr>
        <w:spacing w:after="120"/>
        <w:ind w:left="431"/>
        <w:jc w:val="both"/>
      </w:pPr>
      <w:r>
        <w:rPr>
          <w:rFonts w:ascii="Garamond" w:eastAsia="Garamond" w:hAnsi="Garamond" w:cs="Garamond"/>
          <w:color w:val="2A2A2A"/>
          <w:sz w:val="22"/>
          <w:szCs w:val="22"/>
        </w:rPr>
        <w:t xml:space="preserve">(8) Where this Constitution establishes a deadline for an SC ruling, a majority of seated justices may file an extension request within that period specifying the reason and additional time required, published to the NRS; the maximum extension is defined by statute, not to exceed 30 days per extension. The SC may issue interim protective orders of limited scope in matters within its original jurisdiction where delay would cause irreparable harm pending its full ruling, published to the NRS.</w:t>
      </w:r>
    </w:p>
    <w:p>
      <w:pPr>
        <w:spacing w:after="120"/>
        <w:ind w:left="431"/>
        <w:jc w:val="both"/>
      </w:pPr>
      <w:r>
        <w:rPr>
          <w:rFonts w:ascii="Garamond" w:eastAsia="Garamond" w:hAnsi="Garamond" w:cs="Garamond"/>
          <w:color w:val="2A2A2A"/>
          <w:sz w:val="22"/>
          <w:szCs w:val="22"/>
        </w:rPr>
        <w:t xml:space="preserve">(9) The SC's failure to rule within any constitutionally required period produces no substantive constitutional outcome by operation of that failure; the petitioning party may reinitiate under any procedure applicable to the underlying matter.</w:t>
      </w:r>
    </w:p>
    <w:p w14:paraId="35631E1D" w14:textId="77777777" w:rsidR="00AF3D56" w:rsidRDefault="00000000">
      <w:pPr>
        <w:spacing w:before="200" w:after="60"/>
        <w:ind w:left="431"/>
      </w:pPr>
      <w:r>
        <w:rPr>
          <w:rFonts w:ascii="Courier New" w:eastAsia="Courier New" w:hAnsi="Courier New" w:cs="Courier New"/>
          <w:b/>
          <w:bCs/>
          <w:color w:val="2A2A2A"/>
          <w:sz w:val="18"/>
          <w:szCs w:val="18"/>
        </w:rPr>
        <w:t xml:space="preserve">§4.6  </w:t>
      </w:r>
      <w:r>
        <w:rPr>
          <w:rFonts w:ascii="Garamond" w:eastAsia="Garamond" w:hAnsi="Garamond" w:cs="Garamond"/>
          <w:i/>
          <w:iCs/>
          <w:color w:val="1B2A4A"/>
          <w:sz w:val="22"/>
          <w:szCs w:val="22"/>
        </w:rPr>
        <w:t>Judgment Recognition</w:t>
      </w:r>
    </w:p>
    <w:p w14:paraId="368711DB" w14:textId="77777777" w:rsidR="00AF3D56" w:rsidRDefault="00000000">
      <w:pPr>
        <w:spacing w:after="120"/>
        <w:ind w:left="431"/>
        <w:jc w:val="both"/>
      </w:pPr>
      <w:r>
        <w:rPr>
          <w:rFonts w:ascii="Garamond" w:eastAsia="Garamond" w:hAnsi="Garamond" w:cs="Garamond"/>
          <w:color w:val="2A2A2A"/>
          <w:sz w:val="22"/>
          <w:szCs w:val="22"/>
        </w:rPr>
        <w:t>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14:paraId="76C4D7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 — Citizenship and National Identity</w:t>
      </w:r>
    </w:p>
    <w:p w14:paraId="789793C2" w14:textId="77777777" w:rsidR="00AF3D56" w:rsidRDefault="00000000">
      <w:pPr>
        <w:spacing w:before="200" w:after="60"/>
        <w:ind w:left="431"/>
      </w:pPr>
      <w:r>
        <w:rPr>
          <w:rFonts w:ascii="Courier New" w:eastAsia="Courier New" w:hAnsi="Courier New" w:cs="Courier New"/>
          <w:b/>
          <w:bCs/>
          <w:color w:val="2A2A2A"/>
          <w:sz w:val="18"/>
          <w:szCs w:val="18"/>
        </w:rPr>
        <w:t xml:space="preserve">§5.1  </w:t>
      </w:r>
      <w:r>
        <w:rPr>
          <w:rFonts w:ascii="Garamond" w:eastAsia="Garamond" w:hAnsi="Garamond" w:cs="Garamond"/>
          <w:i/>
          <w:iCs/>
          <w:color w:val="1B2A4A"/>
          <w:sz w:val="22"/>
          <w:szCs w:val="22"/>
        </w:rPr>
        <w:t>Citizenship</w:t>
      </w:r>
    </w:p>
    <w:p w14:paraId="6A0C73D5" w14:textId="77777777" w:rsidR="00AF3D56" w:rsidRDefault="00000000">
      <w:pPr>
        <w:spacing w:after="120"/>
        <w:ind w:left="431"/>
        <w:jc w:val="both"/>
      </w:pPr>
      <w:r>
        <w:rPr>
          <w:rFonts w:ascii="Garamond" w:eastAsia="Garamond" w:hAnsi="Garamond" w:cs="Garamond"/>
          <w:color w:val="2A2A2A"/>
          <w:sz w:val="22"/>
          <w:szCs w:val="22"/>
        </w:rPr>
        <w:t>Citizenship is acquired by birth, by parentage, or by naturalization. A child is automatically a citizen if at least one parent is a citizen or legal resident at birth. Citizens acquire their full citizenship rights, including the right to vote and stand for office, at 18. Citizenship may not be stripped from a natural-born citizen. Where a child born on Republic territory would hold no other citizenship, or would otherwise be stateless regardless of birthplace, citizenship is granted from birth. 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 A child born before a parent acquired legal residency or citizenship, who accompanies that parent to the Republic within a Legislature-defined window, receives derivative status.</w:t>
      </w:r>
    </w:p>
    <w:p w14:paraId="7AC4A40B" w14:textId="77777777" w:rsidR="00AF3D56" w:rsidRDefault="00000000">
      <w:pPr>
        <w:spacing w:before="200" w:after="60"/>
        <w:ind w:left="431"/>
      </w:pPr>
      <w:r>
        <w:rPr>
          <w:rFonts w:ascii="Courier New" w:eastAsia="Courier New" w:hAnsi="Courier New" w:cs="Courier New"/>
          <w:b/>
          <w:bCs/>
          <w:color w:val="2A2A2A"/>
          <w:sz w:val="18"/>
          <w:szCs w:val="18"/>
        </w:rPr>
        <w:t xml:space="preserve">§5.2  </w:t>
      </w:r>
      <w:r>
        <w:rPr>
          <w:rFonts w:ascii="Garamond" w:eastAsia="Garamond" w:hAnsi="Garamond" w:cs="Garamond"/>
          <w:i/>
          <w:iCs/>
          <w:color w:val="1B2A4A"/>
          <w:sz w:val="22"/>
          <w:szCs w:val="22"/>
        </w:rPr>
        <w:t>Legal Resident Rights</w:t>
      </w:r>
    </w:p>
    <w:p w14:paraId="64D628E3" w14:textId="77777777" w:rsidR="00AF3D56" w:rsidRDefault="00000000">
      <w:pPr>
        <w:spacing w:after="120"/>
        <w:ind w:left="431"/>
        <w:jc w:val="both"/>
      </w:pPr>
      <w:r>
        <w:rPr>
          <w:rFonts w:ascii="Garamond" w:eastAsia="Garamond" w:hAnsi="Garamond" w:cs="Garamond"/>
          <w:color w:val="2A2A2A"/>
          <w:sz w:val="22"/>
          <w:szCs w:val="22"/>
        </w:rPr>
        <w:t>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14:paraId="06EB8614" w14:textId="77777777" w:rsidR="00AF3D56" w:rsidRDefault="00000000">
      <w:pPr>
        <w:spacing w:before="200" w:after="60"/>
        <w:ind w:left="431"/>
      </w:pPr>
      <w:r>
        <w:rPr>
          <w:rFonts w:ascii="Courier New" w:eastAsia="Courier New" w:hAnsi="Courier New" w:cs="Courier New"/>
          <w:b/>
          <w:bCs/>
          <w:color w:val="2A2A2A"/>
          <w:sz w:val="18"/>
          <w:szCs w:val="18"/>
        </w:rPr>
        <w:t xml:space="preserve">§5.3  </w:t>
      </w:r>
      <w:r>
        <w:rPr>
          <w:rFonts w:ascii="Garamond" w:eastAsia="Garamond" w:hAnsi="Garamond" w:cs="Garamond"/>
          <w:i/>
          <w:iCs/>
          <w:color w:val="1B2A4A"/>
          <w:sz w:val="22"/>
          <w:szCs w:val="22"/>
        </w:rPr>
        <w:t>Custodial Care of Citizen Children</w:t>
      </w:r>
    </w:p>
    <w:p w14:paraId="1483592D" w14:textId="77777777" w:rsidR="00AF3D56" w:rsidRDefault="00000000">
      <w:pPr>
        <w:spacing w:after="120"/>
        <w:ind w:left="431"/>
        <w:jc w:val="both"/>
      </w:pPr>
      <w:r>
        <w:rPr>
          <w:rFonts w:ascii="Garamond" w:eastAsia="Garamond" w:hAnsi="Garamond" w:cs="Garamond"/>
          <w:color w:val="2A2A2A"/>
          <w:sz w:val="22"/>
          <w:szCs w:val="22"/>
        </w:rPr>
        <w:t>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14:paraId="0E00D7C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 — Immigration and Residency</w:t>
      </w:r>
    </w:p>
    <w:p w14:paraId="51620119" w14:textId="77777777" w:rsidR="00AF3D56" w:rsidRDefault="00000000">
      <w:pPr>
        <w:spacing w:before="200" w:after="60"/>
        <w:ind w:left="431"/>
      </w:pPr>
      <w:r>
        <w:rPr>
          <w:rFonts w:ascii="Courier New" w:eastAsia="Courier New" w:hAnsi="Courier New" w:cs="Courier New"/>
          <w:b/>
          <w:bCs/>
          <w:color w:val="2A2A2A"/>
          <w:sz w:val="18"/>
          <w:szCs w:val="18"/>
        </w:rPr>
        <w:t xml:space="preserve">§6.1  </w:t>
      </w:r>
      <w:r>
        <w:rPr>
          <w:rFonts w:ascii="Garamond" w:eastAsia="Garamond" w:hAnsi="Garamond" w:cs="Garamond"/>
          <w:i/>
          <w:iCs/>
          <w:color w:val="1B2A4A"/>
          <w:sz w:val="22"/>
          <w:szCs w:val="22"/>
        </w:rPr>
        <w:t>The Two-Stage Immigration System</w:t>
      </w:r>
    </w:p>
    <w:p w14:paraId="37D0EAD5" w14:textId="77777777" w:rsidR="00AF3D56" w:rsidRDefault="00000000">
      <w:pPr>
        <w:spacing w:after="120"/>
        <w:ind w:left="431"/>
        <w:jc w:val="both"/>
      </w:pPr>
      <w:r>
        <w:rPr>
          <w:rFonts w:ascii="Garamond" w:eastAsia="Garamond" w:hAnsi="Garamond" w:cs="Garamond"/>
          <w:color w:val="2A2A2A"/>
          <w:sz w:val="22"/>
          <w:szCs w:val="22"/>
        </w:rPr>
        <w:t>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Civic Consul must ministerially issue residency credentials; interference with credential issuance by either executive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14:paraId="64CDC38B" w14:textId="77777777" w:rsidR="00AF3D56" w:rsidRDefault="00000000">
      <w:pPr>
        <w:spacing w:before="200" w:after="60"/>
        <w:ind w:left="431"/>
      </w:pPr>
      <w:r>
        <w:rPr>
          <w:rFonts w:ascii="Courier New" w:eastAsia="Courier New" w:hAnsi="Courier New" w:cs="Courier New"/>
          <w:b/>
          <w:bCs/>
          <w:color w:val="2A2A2A"/>
          <w:sz w:val="18"/>
          <w:szCs w:val="18"/>
        </w:rPr>
        <w:t xml:space="preserve">§6.2  </w:t>
      </w:r>
      <w:r>
        <w:rPr>
          <w:rFonts w:ascii="Garamond" w:eastAsia="Garamond" w:hAnsi="Garamond" w:cs="Garamond"/>
          <w:i/>
          <w:iCs/>
          <w:color w:val="1B2A4A"/>
          <w:sz w:val="22"/>
          <w:szCs w:val="22"/>
        </w:rPr>
        <w:t>Enforcement, Removal, and Appeals</w:t>
      </w:r>
    </w:p>
    <w:p>
      <w:pPr>
        <w:spacing w:after="120"/>
        <w:ind w:left="431"/>
        <w:jc w:val="both"/>
      </w:pPr>
      <w:r>
        <w:rPr>
          <w:rFonts w:ascii="Garamond" w:eastAsia="Garamond" w:hAnsi="Garamond" w:cs="Garamond"/>
          <w:color w:val="2A2A2A"/>
          <w:sz w:val="22"/>
          <w:szCs w:val="22"/>
        </w:rPr>
        <w:t xml:space="preserve">(1) Only the federal government may remove individuals from the Republic. Removal occurs only for violations of laws the Legislature has defined — executive detention without statutory basis is unlawful detention subject to habeas corpus.</w:t>
      </w:r>
    </w:p>
    <w:p>
      <w:pPr>
        <w:spacing w:after="120"/>
        <w:ind w:left="431"/>
        <w:jc w:val="both"/>
      </w:pPr>
      <w:r>
        <w:rPr>
          <w:rFonts w:ascii="Garamond" w:eastAsia="Garamond" w:hAnsi="Garamond" w:cs="Garamond"/>
          <w:color w:val="2A2A2A"/>
          <w:sz w:val="22"/>
          <w:szCs w:val="22"/>
        </w:rPr>
        <w:t xml:space="preserve">(2) Federal certification denials are judicially challengeable on three grounds:</w:t>
      </w:r>
    </w:p>
    <w:p>
      <w:pPr>
        <w:spacing w:after="120"/>
        <w:ind w:left="720"/>
        <w:jc w:val="both"/>
      </w:pPr>
      <w:r>
        <w:rPr>
          <w:rFonts w:ascii="Garamond" w:eastAsia="Garamond" w:hAnsi="Garamond" w:cs="Garamond"/>
          <w:color w:val="2A2A2A"/>
          <w:sz w:val="22"/>
          <w:szCs w:val="22"/>
        </w:rPr>
        <w:t xml:space="preserve">— criterion not established under the federal certification mandate;</w:t>
      </w:r>
    </w:p>
    <w:p>
      <w:pPr>
        <w:spacing w:after="120"/>
        <w:ind w:left="720"/>
        <w:jc w:val="both"/>
      </w:pPr>
      <w:r>
        <w:rPr>
          <w:rFonts w:ascii="Garamond" w:eastAsia="Garamond" w:hAnsi="Garamond" w:cs="Garamond"/>
          <w:color w:val="2A2A2A"/>
          <w:sz w:val="22"/>
          <w:szCs w:val="22"/>
        </w:rPr>
        <w:t xml:space="preserve">— discriminatory grounds contrary to §1.6;</w:t>
      </w:r>
    </w:p>
    <w:p>
      <w:pPr>
        <w:spacing w:after="120"/>
        <w:ind w:left="720"/>
        <w:jc w:val="both"/>
      </w:pPr>
      <w:r>
        <w:rPr>
          <w:rFonts w:ascii="Garamond" w:eastAsia="Garamond" w:hAnsi="Garamond" w:cs="Garamond"/>
          <w:color w:val="2A2A2A"/>
          <w:sz w:val="22"/>
          <w:szCs w:val="22"/>
        </w:rPr>
        <w:t xml:space="preserve">— or procedural violation affecting the outcome.</w:t>
      </w:r>
    </w:p>
    <w:p>
      <w:pPr>
        <w:spacing w:after="120"/>
        <w:ind w:left="431"/>
        <w:jc w:val="both"/>
      </w:pPr>
      <w:r>
        <w:rPr>
          <w:rFonts w:ascii="Garamond" w:eastAsia="Garamond" w:hAnsi="Garamond" w:cs="Garamond"/>
          <w:color w:val="2A2A2A"/>
          <w:sz w:val="22"/>
          <w:szCs w:val="22"/>
        </w:rPr>
        <w:t xml:space="preserve">(3)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w:t>
      </w:r>
    </w:p>
    <w:p>
      <w:pPr>
        <w:spacing w:after="120"/>
        <w:ind w:left="431"/>
        <w:jc w:val="both"/>
      </w:pPr>
      <w:r>
        <w:rPr>
          <w:rFonts w:ascii="Garamond" w:eastAsia="Garamond" w:hAnsi="Garamond" w:cs="Garamond"/>
          <w:color w:val="2A2A2A"/>
          <w:sz w:val="22"/>
          <w:szCs w:val="22"/>
        </w:rPr>
        <w:t xml:space="preserve">(4) Court decisions on State sponsorship challenges brought on §1.6 grounds are published to the NRS; personally identifying information of applicants who are not public figures as defined by statute is protected consistent with §1.7.</w:t>
      </w:r>
    </w:p>
    <w:p>
      <w:pPr>
        <w:spacing w:after="120"/>
        <w:ind w:left="431"/>
        <w:jc w:val="both"/>
      </w:pPr>
      <w:r>
        <w:rPr>
          <w:rFonts w:ascii="Garamond" w:eastAsia="Garamond" w:hAnsi="Garamond" w:cs="Garamond"/>
          <w:color w:val="2A2A2A"/>
          <w:sz w:val="22"/>
          <w:szCs w:val="22"/>
        </w:rPr>
        <w:t xml:space="preserve">(5)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w:t>
      </w:r>
    </w:p>
    <w:p>
      <w:pPr>
        <w:spacing w:after="120"/>
        <w:ind w:left="431"/>
        <w:jc w:val="both"/>
      </w:pPr>
      <w:r>
        <w:rPr>
          <w:rFonts w:ascii="Garamond" w:eastAsia="Garamond" w:hAnsi="Garamond" w:cs="Garamond"/>
          <w:color w:val="2A2A2A"/>
          <w:sz w:val="22"/>
          <w:szCs w:val="22"/>
        </w:rPr>
        <w:t xml:space="preserve">(6) All removal proceedings and challenge proceedings under this section carry the right to legal representation; where an applicant cannot afford representation, counsel is appointed at public expense.</w:t>
      </w:r>
    </w:p>
    <w:p w14:paraId="06C80B34" w14:textId="77777777" w:rsidR="00AF3D56" w:rsidRDefault="00000000">
      <w:pPr>
        <w:spacing w:before="200" w:after="60"/>
        <w:ind w:left="431"/>
      </w:pPr>
      <w:r>
        <w:rPr>
          <w:rFonts w:ascii="Courier New" w:eastAsia="Courier New" w:hAnsi="Courier New" w:cs="Courier New"/>
          <w:b/>
          <w:bCs/>
          <w:color w:val="2A2A2A"/>
          <w:sz w:val="18"/>
          <w:szCs w:val="18"/>
        </w:rPr>
        <w:t xml:space="preserve">§6.3  </w:t>
      </w:r>
      <w:r>
        <w:rPr>
          <w:rFonts w:ascii="Garamond" w:eastAsia="Garamond" w:hAnsi="Garamond" w:cs="Garamond"/>
          <w:i/>
          <w:iCs/>
          <w:color w:val="1B2A4A"/>
          <w:sz w:val="22"/>
          <w:szCs w:val="22"/>
        </w:rPr>
        <w:t>Asylum and Protection</w:t>
      </w:r>
    </w:p>
    <w:p>
      <w:pPr>
        <w:spacing w:after="120"/>
        <w:ind w:left="431"/>
        <w:jc w:val="both"/>
      </w:pPr>
      <w:r>
        <w:rPr>
          <w:rFonts w:ascii="Garamond" w:eastAsia="Garamond" w:hAnsi="Garamond" w:cs="Garamond"/>
          <w:color w:val="2A2A2A"/>
          <w:sz w:val="22"/>
          <w:szCs w:val="22"/>
        </w:rPr>
        <w:t xml:space="preserve">(1) Asylum proceedings operate on a separate constitutional track from the dual-gate system. Any person who files an asylum claim under §1.21 is an Inhabitant from the date of filing — entitled to Article I protections and social state access.</w:t>
      </w:r>
    </w:p>
    <w:p>
      <w:pPr>
        <w:spacing w:after="120"/>
        <w:ind w:left="431"/>
        <w:jc w:val="both"/>
      </w:pPr>
      <w:r>
        <w:rPr>
          <w:rFonts w:ascii="Garamond" w:eastAsia="Garamond" w:hAnsi="Garamond" w:cs="Garamond"/>
          <w:color w:val="2A2A2A"/>
          <w:sz w:val="22"/>
          <w:szCs w:val="22"/>
        </w:rPr>
        <w:t xml:space="preserve">(2) Claims must be determined before any removal order takes effect. A claim filed solely to delay a final removal order may be expedited under procedures the Legislature defines, consistent with the right to a fair hearing.</w:t>
      </w:r>
    </w:p>
    <w:p>
      <w:pPr>
        <w:spacing w:after="120"/>
        <w:ind w:left="431"/>
        <w:jc w:val="both"/>
      </w:pPr>
      <w:r>
        <w:rPr>
          <w:rFonts w:ascii="Garamond" w:eastAsia="Garamond" w:hAnsi="Garamond" w:cs="Garamond"/>
          <w:color w:val="2A2A2A"/>
          <w:sz w:val="22"/>
          <w:szCs w:val="22"/>
        </w:rPr>
        <w:t xml:space="preserve">(3) Where the Asylum Court grants protection, the person receives federal residency credentials by operation of that grant; State sponsorship and federal certification are not required conditions.</w:t>
      </w:r>
    </w:p>
    <w:p>
      <w:pPr>
        <w:spacing w:after="120"/>
        <w:ind w:left="431"/>
        <w:jc w:val="both"/>
      </w:pPr>
      <w:r>
        <w:rPr>
          <w:rFonts w:ascii="Garamond" w:eastAsia="Garamond" w:hAnsi="Garamond" w:cs="Garamond"/>
          <w:color w:val="2A2A2A"/>
          <w:sz w:val="22"/>
          <w:szCs w:val="22"/>
        </w:rPr>
        <w:t xml:space="preserve">(4) The manner of entry does not affect the right to claim asylum or have that claim determined. No penalty arising solely from irregular entry may be imposed on a person whose claim is pending or has been granted.</w:t>
      </w:r>
    </w:p>
    <w:p>
      <w:pPr>
        <w:spacing w:after="120"/>
        <w:ind w:left="431"/>
        <w:jc w:val="both"/>
      </w:pPr>
      <w:r>
        <w:rPr>
          <w:rFonts w:ascii="Garamond" w:eastAsia="Garamond" w:hAnsi="Garamond" w:cs="Garamond"/>
          <w:color w:val="2A2A2A"/>
          <w:sz w:val="22"/>
          <w:szCs w:val="22"/>
        </w:rPr>
        <w:t xml:space="preserve">(5) Asylum proceedings must provide:</w:t>
      </w:r>
    </w:p>
    <w:p>
      <w:pPr>
        <w:spacing w:after="120"/>
        <w:ind w:left="720"/>
        <w:jc w:val="both"/>
      </w:pPr>
      <w:r>
        <w:rPr>
          <w:rFonts w:ascii="Garamond" w:eastAsia="Garamond" w:hAnsi="Garamond" w:cs="Garamond"/>
          <w:color w:val="2A2A2A"/>
          <w:sz w:val="22"/>
          <w:szCs w:val="22"/>
        </w:rPr>
        <w:t xml:space="preserve">— a qualified adjudicator,</w:t>
      </w:r>
    </w:p>
    <w:p>
      <w:pPr>
        <w:spacing w:after="120"/>
        <w:ind w:left="720"/>
        <w:jc w:val="both"/>
      </w:pPr>
      <w:r>
        <w:rPr>
          <w:rFonts w:ascii="Garamond" w:eastAsia="Garamond" w:hAnsi="Garamond" w:cs="Garamond"/>
          <w:color w:val="2A2A2A"/>
          <w:sz w:val="22"/>
          <w:szCs w:val="22"/>
        </w:rPr>
        <w:t xml:space="preserve">— interpreter access,</w:t>
      </w:r>
    </w:p>
    <w:p>
      <w:pPr>
        <w:spacing w:after="120"/>
        <w:ind w:left="720"/>
        <w:jc w:val="both"/>
      </w:pPr>
      <w:r>
        <w:rPr>
          <w:rFonts w:ascii="Garamond" w:eastAsia="Garamond" w:hAnsi="Garamond" w:cs="Garamond"/>
          <w:color w:val="2A2A2A"/>
          <w:sz w:val="22"/>
          <w:szCs w:val="22"/>
        </w:rPr>
        <w:t xml:space="preserve">— the right to present evidence and witnesses,</w:t>
      </w:r>
    </w:p>
    <w:p>
      <w:pPr>
        <w:spacing w:after="120"/>
        <w:ind w:left="720"/>
        <w:jc w:val="both"/>
      </w:pPr>
      <w:r>
        <w:rPr>
          <w:rFonts w:ascii="Garamond" w:eastAsia="Garamond" w:hAnsi="Garamond" w:cs="Garamond"/>
          <w:color w:val="2A2A2A"/>
          <w:sz w:val="22"/>
          <w:szCs w:val="22"/>
        </w:rPr>
        <w:t xml:space="preserve">— the right to legal representation with appointed counsel at public expense where the applicant cannot afford representation,</w:t>
      </w:r>
    </w:p>
    <w:p>
      <w:pPr>
        <w:spacing w:after="120"/>
        <w:ind w:left="720"/>
        <w:jc w:val="both"/>
      </w:pPr>
      <w:r>
        <w:rPr>
          <w:rFonts w:ascii="Garamond" w:eastAsia="Garamond" w:hAnsi="Garamond" w:cs="Garamond"/>
          <w:color w:val="2A2A2A"/>
          <w:sz w:val="22"/>
          <w:szCs w:val="22"/>
        </w:rPr>
        <w:t xml:space="preserve">— a written decision with grounds,</w:t>
      </w:r>
    </w:p>
    <w:p>
      <w:pPr>
        <w:spacing w:after="120"/>
        <w:ind w:left="720"/>
        <w:jc w:val="both"/>
      </w:pPr>
      <w:r>
        <w:rPr>
          <w:rFonts w:ascii="Garamond" w:eastAsia="Garamond" w:hAnsi="Garamond" w:cs="Garamond"/>
          <w:color w:val="2A2A2A"/>
          <w:sz w:val="22"/>
          <w:szCs w:val="22"/>
        </w:rPr>
        <w:t xml:space="preserve">— and a right of appeal — regardless of point of entry.</w:t>
      </w:r>
    </w:p>
    <w:p>
      <w:pPr>
        <w:spacing w:after="120"/>
        <w:ind w:left="431"/>
        <w:jc w:val="both"/>
      </w:pPr>
      <w:r>
        <w:rPr>
          <w:rFonts w:ascii="Garamond" w:eastAsia="Garamond" w:hAnsi="Garamond" w:cs="Garamond"/>
          <w:color w:val="2A2A2A"/>
          <w:sz w:val="22"/>
          <w:szCs w:val="22"/>
        </w:rPr>
        <w:t xml:space="preserve">The asylum proceedings statute must ensure accessibility to persons in Territories and geographically remote areas.</w:t>
      </w:r>
    </w:p>
    <w:p>
      <w:pPr>
        <w:spacing w:after="120"/>
        <w:ind w:left="431"/>
        <w:jc w:val="both"/>
      </w:pPr>
      <w:r>
        <w:rPr>
          <w:rFonts w:ascii="Garamond" w:eastAsia="Garamond" w:hAnsi="Garamond" w:cs="Garamond"/>
          <w:color w:val="2A2A2A"/>
          <w:sz w:val="22"/>
          <w:szCs w:val="22"/>
        </w:rPr>
        <w:t xml:space="preserve">(6) 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120"/>
        <w:ind w:left="431"/>
        <w:jc w:val="both"/>
      </w:pPr>
      <w:r>
        <w:rPr>
          <w:rFonts w:ascii="Garamond" w:eastAsia="Garamond" w:hAnsi="Garamond" w:cs="Garamond"/>
          <w:color w:val="2A2A2A"/>
          <w:sz w:val="22"/>
          <w:szCs w:val="22"/>
        </w:rPr>
        <w:t xml:space="preserve">(7) An unaccompanied minor arriving in the Republic is an Inhabitant from the moment of contact and holds full §1.21 protection. A federal legal guardian must be appointed by the federal court with jurisdiction over the point of contact within 72 hours.</w:t>
      </w:r>
    </w:p>
    <w:p>
      <w:pPr>
        <w:spacing w:after="120"/>
        <w:ind w:left="431"/>
        <w:jc w:val="both"/>
      </w:pPr>
      <w:r>
        <w:rPr>
          <w:rFonts w:ascii="Garamond" w:eastAsia="Garamond" w:hAnsi="Garamond" w:cs="Garamond"/>
          <w:color w:val="2A2A2A"/>
          <w:sz w:val="22"/>
          <w:szCs w:val="22"/>
        </w:rPr>
        <w:t xml:space="preserve">(8) No unaccompanied minor may be detained in a facility not specifically designated and resourced for children.</w:t>
      </w:r>
    </w:p>
    <w:p w14:paraId="35B24256" w14:textId="77777777" w:rsidR="00AF3D56" w:rsidRDefault="00000000">
      <w:pPr>
        <w:spacing w:before="200" w:after="60"/>
        <w:ind w:left="431"/>
      </w:pPr>
      <w:r>
        <w:rPr>
          <w:rFonts w:ascii="Courier New" w:eastAsia="Courier New" w:hAnsi="Courier New" w:cs="Courier New"/>
          <w:b/>
          <w:bCs/>
          <w:color w:val="2A2A2A"/>
          <w:sz w:val="18"/>
          <w:szCs w:val="18"/>
        </w:rPr>
        <w:t xml:space="preserve">§6.3.a  </w:t>
      </w:r>
      <w:r>
        <w:rPr>
          <w:rFonts w:ascii="Garamond" w:eastAsia="Garamond" w:hAnsi="Garamond" w:cs="Garamond"/>
          <w:i/>
          <w:iCs/>
          <w:color w:val="1B2A4A"/>
          <w:sz w:val="22"/>
          <w:szCs w:val="22"/>
        </w:rPr>
        <w:t>Unresolvable and Security Cases</w:t>
      </w:r>
    </w:p>
    <w:p w14:paraId="12A7B570" w14:textId="77777777" w:rsidR="00AF3D56" w:rsidRDefault="00000000">
      <w:pPr>
        <w:spacing w:after="120"/>
        <w:ind w:left="431"/>
        <w:jc w:val="both"/>
      </w:pPr>
      <w:r>
        <w:rPr>
          <w:rFonts w:ascii="Garamond" w:eastAsia="Garamond" w:hAnsi="Garamond" w:cs="Garamond"/>
          <w:color w:val="2A2A2A"/>
          <w:sz w:val="22"/>
          <w:szCs w:val="22"/>
        </w:rPr>
        <w:t>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for detention beyond 5 years, an affirmative judicial finding at each subsequent review that no less restrictive alternative exists; absent that finding, the person is released to the statutory minimum-status conditions defined under this section.</w:t>
      </w:r>
    </w:p>
    <w:p w14:paraId="46E8352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 — Elections</w:t>
      </w:r>
    </w:p>
    <w:p w14:paraId="554BB3C4" w14:textId="77777777" w:rsidR="00AF3D56" w:rsidRDefault="00000000">
      <w:pPr>
        <w:spacing w:before="200" w:after="60"/>
        <w:ind w:left="431"/>
      </w:pPr>
      <w:r>
        <w:rPr>
          <w:rFonts w:ascii="Courier New" w:eastAsia="Courier New" w:hAnsi="Courier New" w:cs="Courier New"/>
          <w:b/>
          <w:bCs/>
          <w:color w:val="2A2A2A"/>
          <w:sz w:val="18"/>
          <w:szCs w:val="18"/>
        </w:rPr>
        <w:t xml:space="preserve">§7.1  </w:t>
      </w:r>
      <w:r>
        <w:rPr>
          <w:rFonts w:ascii="Garamond" w:eastAsia="Garamond" w:hAnsi="Garamond" w:cs="Garamond"/>
          <w:i/>
          <w:iCs/>
          <w:color w:val="1B2A4A"/>
          <w:sz w:val="22"/>
          <w:szCs w:val="22"/>
        </w:rPr>
        <w:t>The Right to Vote</w:t>
      </w:r>
    </w:p>
    <w:p w14:paraId="543C528C" w14:textId="77777777" w:rsidR="00AF3D56" w:rsidRDefault="00000000">
      <w:pPr>
        <w:spacing w:after="120"/>
        <w:ind w:left="431"/>
        <w:jc w:val="both"/>
      </w:pPr>
      <w:r>
        <w:rPr>
          <w:rFonts w:ascii="Garamond" w:eastAsia="Garamond" w:hAnsi="Garamond" w:cs="Garamond"/>
          <w:color w:val="2A2A2A"/>
          <w:sz w:val="22"/>
          <w:szCs w:val="22"/>
        </w:rPr>
        <w:t>Every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14:paraId="2937B7BA" w14:textId="77777777" w:rsidR="00AF3D56" w:rsidRDefault="00000000">
      <w:pPr>
        <w:spacing w:before="200" w:after="60"/>
        <w:ind w:left="431"/>
      </w:pPr>
      <w:r>
        <w:rPr>
          <w:rFonts w:ascii="Courier New" w:eastAsia="Courier New" w:hAnsi="Courier New" w:cs="Courier New"/>
          <w:b/>
          <w:bCs/>
          <w:color w:val="2A2A2A"/>
          <w:sz w:val="18"/>
          <w:szCs w:val="18"/>
        </w:rPr>
        <w:t xml:space="preserve">§7.1  </w:t>
      </w:r>
      <w:r>
        <w:rPr>
          <w:rFonts w:ascii="Garamond" w:eastAsia="Garamond" w:hAnsi="Garamond" w:cs="Garamond"/>
          <w:i/>
          <w:iCs/>
          <w:color w:val="1B2A4A"/>
          <w:sz w:val="22"/>
          <w:szCs w:val="22"/>
        </w:rPr>
        <w:t>Consular Election System</w:t>
      </w:r>
    </w:p>
    <w:p>
      <w:pPr>
        <w:spacing w:after="120"/>
        <w:ind w:left="431"/>
        <w:jc w:val="both"/>
      </w:pPr>
      <w:r>
        <w:rPr>
          <w:rFonts w:ascii="Garamond" w:eastAsia="Garamond" w:hAnsi="Garamond" w:cs="Garamond"/>
          <w:color w:val="2A2A2A"/>
          <w:sz w:val="22"/>
          <w:szCs w:val="22"/>
        </w:rPr>
        <w:t xml:space="preserve">(1) The Legat Consul is elected through two concurrent requirements: a national RCV majority and a State plurality qualification. A candidate wins outright by satisfying both.</w:t>
      </w:r>
    </w:p>
    <w:p>
      <w:pPr>
        <w:spacing w:after="120"/>
        <w:ind w:left="431"/>
        <w:jc w:val="both"/>
      </w:pPr>
      <w:r>
        <w:rPr>
          <w:rFonts w:ascii="Garamond" w:eastAsia="Garamond" w:hAnsi="Garamond" w:cs="Garamond"/>
          <w:color w:val="2A2A2A"/>
          <w:sz w:val="22"/>
          <w:szCs w:val="22"/>
        </w:rPr>
        <w:t xml:space="preserve">(2) Where a candidate's national RCV majority reaches or exceeds 60% of votes cast, the State plurality requirement is waived.</w:t>
      </w:r>
    </w:p>
    <w:p>
      <w:pPr>
        <w:spacing w:after="120"/>
        <w:ind w:left="431"/>
        <w:jc w:val="both"/>
      </w:pPr>
      <w:r>
        <w:rPr>
          <w:rFonts w:ascii="Garamond" w:eastAsia="Garamond" w:hAnsi="Garamond" w:cs="Garamond"/>
          <w:color w:val="2A2A2A"/>
          <w:sz w:val="22"/>
          <w:szCs w:val="22"/>
        </w:rPr>
        <w:t xml:space="preserve">(3)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w:t>
      </w:r>
    </w:p>
    <w:p>
      <w:pPr>
        <w:spacing w:after="120"/>
        <w:ind w:left="431"/>
        <w:jc w:val="both"/>
      </w:pPr>
      <w:r>
        <w:rPr>
          <w:rFonts w:ascii="Garamond" w:eastAsia="Garamond" w:hAnsi="Garamond" w:cs="Garamond"/>
          <w:color w:val="2A2A2A"/>
          <w:sz w:val="22"/>
          <w:szCs w:val="22"/>
        </w:rPr>
        <w:t xml:space="preserve">(4) Where the runoff itself produces a tied result, the Elections Panel determines the winner by lot in a public session; the result is published to the NRS and is final. The Elections Panel administers and certifies all consular elections.</w:t>
      </w:r>
    </w:p>
    <w:p>
      <w:pPr>
        <w:spacing w:after="120"/>
        <w:ind w:left="431"/>
        <w:jc w:val="both"/>
      </w:pPr>
      <w:r>
        <w:rPr>
          <w:rFonts w:ascii="Garamond" w:eastAsia="Garamond" w:hAnsi="Garamond" w:cs="Garamond"/>
          <w:color w:val="2A2A2A"/>
          <w:sz w:val="22"/>
          <w:szCs w:val="22"/>
        </w:rPr>
        <w:t xml:space="preserve">(5) Territory citizens vote in consular elections and their votes count in the national RCV total; Territories are not included in the State plurality calculation.</w:t>
      </w:r>
    </w:p>
    <w:p>
      <w:pPr>
        <w:spacing w:after="120"/>
        <w:ind w:left="431"/>
        <w:jc w:val="both"/>
      </w:pPr>
      <w:r>
        <w:rPr>
          <w:rFonts w:ascii="Garamond" w:eastAsia="Garamond" w:hAnsi="Garamond" w:cs="Garamond"/>
          <w:color w:val="2A2A2A"/>
          <w:sz w:val="22"/>
          <w:szCs w:val="22"/>
        </w:rPr>
        <w:t xml:space="preserve">(6) A candidate satisfies the State plurality requirement by receiving more first-preference votes than any other candidate in a majority of the Republic's States. The Elections Panel certifies State-by-State first-preference results as part of overall election certification.</w:t>
      </w:r>
    </w:p>
    <w:p>
      <w:pPr>
        <w:spacing w:after="120"/>
        <w:ind w:left="431"/>
        <w:jc w:val="both"/>
      </w:pPr>
      <w:r>
        <w:rPr>
          <w:rFonts w:ascii="Garamond" w:eastAsia="Garamond" w:hAnsi="Garamond" w:cs="Garamond"/>
          <w:color w:val="2A2A2A"/>
          <w:sz w:val="22"/>
          <w:szCs w:val="22"/>
        </w:rPr>
        <w:t xml:space="preserve">(7)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w:t>
      </w:r>
    </w:p>
    <w:p w14:paraId="091575E7" w14:textId="77777777" w:rsidR="00AF3D56" w:rsidRDefault="00000000">
      <w:pPr>
        <w:spacing w:before="200" w:after="60"/>
        <w:ind w:left="431"/>
      </w:pPr>
      <w:r>
        <w:rPr>
          <w:rFonts w:ascii="Courier New" w:eastAsia="Courier New" w:hAnsi="Courier New" w:cs="Courier New"/>
          <w:b/>
          <w:bCs/>
          <w:color w:val="2A2A2A"/>
          <w:sz w:val="18"/>
          <w:szCs w:val="18"/>
        </w:rPr>
        <w:t xml:space="preserve">§7.2  </w:t>
      </w:r>
      <w:r>
        <w:rPr>
          <w:rFonts w:ascii="Garamond" w:eastAsia="Garamond" w:hAnsi="Garamond" w:cs="Garamond"/>
          <w:i/>
          <w:iCs/>
          <w:color w:val="1B2A4A"/>
          <w:sz w:val="22"/>
          <w:szCs w:val="22"/>
        </w:rPr>
        <w:t>Federal Elections</w:t>
      </w:r>
    </w:p>
    <w:p>
      <w:pPr>
        <w:spacing w:after="120"/>
        <w:ind w:left="431"/>
        <w:jc w:val="both"/>
      </w:pPr>
      <w:r>
        <w:rPr>
          <w:rFonts w:ascii="Garamond" w:eastAsia="Garamond" w:hAnsi="Garamond" w:cs="Garamond"/>
          <w:color w:val="2A2A2A"/>
          <w:sz w:val="22"/>
          <w:szCs w:val="22"/>
        </w:rPr>
        <w:t xml:space="preserve">(1) Federal elections are held at regular intervals: Assembly elections every two years; Senate elections on the staggered six-year cycle; Consular elections every six years.</w:t>
      </w:r>
    </w:p>
    <w:p>
      <w:pPr>
        <w:spacing w:after="120"/>
        <w:ind w:left="431"/>
        <w:jc w:val="both"/>
      </w:pPr>
      <w:r>
        <w:rPr>
          <w:rFonts w:ascii="Garamond" w:eastAsia="Garamond" w:hAnsi="Garamond" w:cs="Garamond"/>
          <w:color w:val="2A2A2A"/>
          <w:sz w:val="22"/>
          <w:szCs w:val="22"/>
        </w:rPr>
        <w:t xml:space="preserve">(2) All federal elections use Ranked Choice Voting — majority required, not plurality; Consular elections use RCV within the framework of §7.1, which adds the State plurality requirement.</w:t>
      </w:r>
    </w:p>
    <w:p>
      <w:pPr>
        <w:spacing w:after="120"/>
        <w:ind w:left="431"/>
        <w:jc w:val="both"/>
      </w:pPr>
      <w:r>
        <w:rPr>
          <w:rFonts w:ascii="Garamond" w:eastAsia="Garamond" w:hAnsi="Garamond" w:cs="Garamond"/>
          <w:color w:val="2A2A2A"/>
          <w:sz w:val="22"/>
          <w:szCs w:val="22"/>
        </w:rPr>
        <w:t xml:space="preserve">(3) The Legislature defines by statute the specific timing, duration, and structure of the federal electoral period within these constitutional floors.</w:t>
      </w:r>
    </w:p>
    <w:p>
      <w:pPr>
        <w:spacing w:after="120"/>
        <w:ind w:left="431"/>
        <w:jc w:val="both"/>
      </w:pPr>
      <w:r>
        <w:rPr>
          <w:rFonts w:ascii="Garamond" w:eastAsia="Garamond" w:hAnsi="Garamond" w:cs="Garamond"/>
          <w:color w:val="2A2A2A"/>
          <w:sz w:val="22"/>
          <w:szCs w:val="22"/>
        </w:rPr>
        <w:t xml:space="preserve">(4) Federal elections are administered by the States within standards established and enforced by the Elections Panel; all state election systems must connect to and operate through the National Voting System, free from executive interference.</w:t>
      </w:r>
    </w:p>
    <w:p>
      <w:pPr>
        <w:spacing w:after="120"/>
        <w:ind w:left="431"/>
        <w:jc w:val="both"/>
      </w:pPr>
      <w:r>
        <w:rPr>
          <w:rFonts w:ascii="Garamond" w:eastAsia="Garamond" w:hAnsi="Garamond" w:cs="Garamond"/>
          <w:color w:val="2A2A2A"/>
          <w:sz w:val="22"/>
          <w:szCs w:val="22"/>
        </w:rPr>
        <w:t xml:space="preserve">(5)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Elections Panel standards.</w:t>
      </w:r>
    </w:p>
    <w:p>
      <w:pPr>
        <w:spacing w:after="120"/>
        <w:ind w:left="431"/>
        <w:jc w:val="both"/>
      </w:pPr>
      <w:r>
        <w:rPr>
          <w:rFonts w:ascii="Garamond" w:eastAsia="Garamond" w:hAnsi="Garamond" w:cs="Garamond"/>
          <w:color w:val="2A2A2A"/>
          <w:sz w:val="22"/>
          <w:szCs w:val="22"/>
        </w:rPr>
        <w:t xml:space="preserve">(6) The Republic shall provide such financial and technical assistance as is necessary to ensure every State has the capacity to procure certified equipment and meet federal election standards; the Legislature establishes the assistance mechanism and eligibility criteria by statute; the Elections Panel certifies whether assistance has been sufficient to bring each State into compliance.</w:t>
      </w:r>
    </w:p>
    <w:p w14:paraId="454FE114" w14:textId="77777777" w:rsidR="00AF3D56" w:rsidRDefault="00000000">
      <w:pPr>
        <w:spacing w:before="200" w:after="60"/>
        <w:ind w:left="431"/>
      </w:pPr>
      <w:r>
        <w:rPr>
          <w:rFonts w:ascii="Courier New" w:eastAsia="Courier New" w:hAnsi="Courier New" w:cs="Courier New"/>
          <w:b/>
          <w:bCs/>
          <w:color w:val="2A2A2A"/>
          <w:sz w:val="18"/>
          <w:szCs w:val="18"/>
        </w:rPr>
        <w:t xml:space="preserve">§7.2.a  </w:t>
      </w:r>
      <w:r>
        <w:rPr>
          <w:rFonts w:ascii="Garamond" w:eastAsia="Garamond" w:hAnsi="Garamond" w:cs="Garamond"/>
          <w:i/>
          <w:iCs/>
          <w:color w:val="1B2A4A"/>
          <w:sz w:val="22"/>
          <w:szCs w:val="22"/>
        </w:rPr>
        <w:t>Special Elections and Postponements</w:t>
      </w:r>
    </w:p>
    <w:p w14:paraId="247A9F79" w14:textId="77777777" w:rsidR="00AF3D56" w:rsidRDefault="00000000">
      <w:pPr>
        <w:spacing w:after="120"/>
        <w:ind w:left="431"/>
        <w:jc w:val="both"/>
      </w:pPr>
      <w:r>
        <w:rPr>
          <w:rFonts w:ascii="Garamond" w:eastAsia="Garamond" w:hAnsi="Garamond" w:cs="Garamond"/>
          <w:color w:val="2A2A2A"/>
          <w:sz w:val="22"/>
          <w:szCs w:val="22"/>
        </w:rPr>
        <w:t xml:space="preserve">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w:t>
        <w:lastRenderedPageBreak/>
        <w:t>publishing the determination to the NRS; the mandates of sitting members extend automatically until certification of the postponed election. The Elections Panel publishes a finding when conditions have normalized sufficiently for elections to proceed; elections must be held within 30 days of that publication. Either chamber may petition the SC seeking expedited judicial review of the Elections Panel’s finding; the applicable court and expedited process are defined by statute. No further postponement may be granted without a new Elections Panel finding of impossibility and a new 2/3 legislative determination.</w:t>
      </w:r>
    </w:p>
    <w:p w14:paraId="0F44AB5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VIII — Electoral Finance and Campaign Conduct</w:t>
      </w:r>
    </w:p>
    <w:p w14:paraId="586D0B68" w14:textId="77777777" w:rsidR="00AF3D56" w:rsidRDefault="00000000">
      <w:pPr>
        <w:spacing w:before="200" w:after="60"/>
        <w:ind w:left="431"/>
      </w:pPr>
      <w:r>
        <w:rPr>
          <w:rFonts w:ascii="Courier New" w:eastAsia="Courier New" w:hAnsi="Courier New" w:cs="Courier New"/>
          <w:b/>
          <w:bCs/>
          <w:color w:val="2A2A2A"/>
          <w:sz w:val="18"/>
          <w:szCs w:val="18"/>
        </w:rPr>
        <w:t xml:space="preserve">§8.1  </w:t>
      </w:r>
      <w:r>
        <w:rPr>
          <w:rFonts w:ascii="Garamond" w:eastAsia="Garamond" w:hAnsi="Garamond" w:cs="Garamond"/>
          <w:i/>
          <w:iCs/>
          <w:color w:val="1B2A4A"/>
          <w:sz w:val="22"/>
          <w:szCs w:val="22"/>
        </w:rPr>
        <w:t>Electoral Finance</w:t>
      </w:r>
    </w:p>
    <w:p w14:paraId="6A5B6B79" w14:textId="77777777" w:rsidR="00AF3D56" w:rsidRDefault="00000000">
      <w:pPr>
        <w:spacing w:after="120"/>
        <w:ind w:left="431"/>
        <w:jc w:val="both"/>
      </w:pPr>
      <w:r>
        <w:rPr>
          <w:rFonts w:ascii="Garamond" w:eastAsia="Garamond" w:hAnsi="Garamond" w:cs="Garamond"/>
          <w:color w:val="2A2A2A"/>
          <w:sz w:val="22"/>
          <w:szCs w:val="22"/>
        </w:rPr>
        <w:t>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14:paraId="5036E0DD" w14:textId="77777777" w:rsidR="00AF3D56" w:rsidRDefault="00000000">
      <w:pPr>
        <w:spacing w:before="200" w:after="60"/>
        <w:ind w:left="431"/>
      </w:pPr>
      <w:r>
        <w:rPr>
          <w:rFonts w:ascii="Courier New" w:eastAsia="Courier New" w:hAnsi="Courier New" w:cs="Courier New"/>
          <w:b/>
          <w:bCs/>
          <w:color w:val="2A2A2A"/>
          <w:sz w:val="18"/>
          <w:szCs w:val="18"/>
        </w:rPr>
        <w:t xml:space="preserve">§8.2  </w:t>
      </w:r>
      <w:r>
        <w:rPr>
          <w:rFonts w:ascii="Garamond" w:eastAsia="Garamond" w:hAnsi="Garamond" w:cs="Garamond"/>
          <w:i/>
          <w:iCs/>
          <w:color w:val="1B2A4A"/>
          <w:sz w:val="22"/>
          <w:szCs w:val="22"/>
        </w:rPr>
        <w:t>Campaign Conduct</w:t>
      </w:r>
    </w:p>
    <w:p w14:paraId="645D6B4E" w14:textId="7E70F6F4" w:rsidR="00AF3D56" w:rsidRDefault="00000000">
      <w:pPr>
        <w:spacing w:after="120"/>
        <w:ind w:left="431"/>
        <w:jc w:val="both"/>
      </w:pPr>
      <w:r>
        <w:rPr>
          <w:rFonts w:ascii="Garamond" w:eastAsia="Garamond" w:hAnsi="Garamond" w:cs="Garamond"/>
          <w:color w:val="2A2A2A"/>
          <w:sz w:val="22"/>
          <w:szCs w:val="22"/>
        </w:rPr>
        <w:t>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Campaign communications must clearly identify their sponsor. This constitution does not bar private civil litigation arising from campaign communications.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 The Elections Panel publishes findings of violation of the prohibitions enumerated in this section to the NRS; the Legislature shall define sanctions for such violations by statute. This enforcement authority does not extend to the truthfulness or content of campaign communications, which remain subject only to private civil litigation as provided above.</w:t>
      </w:r>
    </w:p>
    <w:p w14:paraId="6EEA7430" w14:textId="77777777" w:rsidR="00AF3D56" w:rsidRDefault="00000000">
      <w:pPr>
        <w:spacing w:before="200" w:after="60"/>
        <w:ind w:left="431"/>
      </w:pPr>
      <w:r>
        <w:rPr>
          <w:rFonts w:ascii="Courier New" w:eastAsia="Courier New" w:hAnsi="Courier New" w:cs="Courier New"/>
          <w:b/>
          <w:bCs/>
          <w:color w:val="2A2A2A"/>
          <w:sz w:val="18"/>
          <w:szCs w:val="18"/>
        </w:rPr>
        <w:t xml:space="preserve">§8.3  </w:t>
      </w:r>
      <w:r>
        <w:rPr>
          <w:rFonts w:ascii="Garamond" w:eastAsia="Garamond" w:hAnsi="Garamond" w:cs="Garamond"/>
          <w:i/>
          <w:iCs/>
          <w:color w:val="1B2A4A"/>
          <w:sz w:val="22"/>
          <w:szCs w:val="22"/>
        </w:rPr>
        <w:t>Public Spectrum Access for Campaigns</w:t>
      </w:r>
    </w:p>
    <w:p w14:paraId="33784202"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Licensees operating on public broadcast spectrum — including television, radio, and licensed carriers of automated political communications — shall provide equal free access to qualified candidates during the federal electoral period. The terms and quantity of access are defined by statute. The Elections Panel certifies compliance and publishes findings to the NRS.</w:t>
      </w:r>
    </w:p>
    <w:p w14:paraId="0261D33F" w14:textId="30F2C8E5" w:rsidR="00F645C1" w:rsidRDefault="00F645C1" w:rsidP="00F645C1">
      <w:pPr>
        <w:spacing w:before="200" w:after="60"/>
        <w:ind w:left="431"/>
      </w:pPr>
      <w:r>
        <w:rPr>
          <w:rFonts w:ascii="Courier New" w:eastAsia="Courier New" w:hAnsi="Courier New" w:cs="Courier New"/>
          <w:b/>
          <w:bCs/>
          <w:color w:val="2A2A2A"/>
          <w:sz w:val="18"/>
          <w:szCs w:val="18"/>
        </w:rPr>
        <w:t xml:space="preserve">§8.4  </w:t>
      </w:r>
      <w:r>
        <w:rPr>
          <w:rFonts w:ascii="Garamond" w:eastAsia="Garamond" w:hAnsi="Garamond" w:cs="Garamond"/>
          <w:i/>
          <w:iCs/>
          <w:color w:val="1B2A4A"/>
          <w:sz w:val="22"/>
          <w:szCs w:val="22"/>
        </w:rPr>
        <w:t>Public Campaign Financing</w:t>
      </w:r>
    </w:p>
    <w:p w14:paraId="76F049D1" w14:textId="2C6B9380" w:rsidR="00F645C1" w:rsidRDefault="00F645C1">
      <w:pPr>
        <w:spacing w:after="120"/>
        <w:ind w:left="431"/>
        <w:jc w:val="both"/>
      </w:pPr>
      <w:r>
        <w:rPr>
          <w:rFonts w:ascii="Garamond" w:eastAsia="Garamond" w:hAnsi="Garamond" w:cs="Garamond"/>
          <w:color w:val="2A2A2A"/>
          <w:sz w:val="22"/>
          <w:szCs w:val="22"/>
        </w:rPr>
        <w:t>The Legislature shall by statute establish a public campaign financing system available to all qualified candidates for federal office on equal terms. The system must provide a genuine alternative to private fundraising; no candidate may be structurally disadvantaged by choosing to participate. Funding for the system must be set at no less than the average total campaign expenditure recorded in the National Record System for that office — or, where no prior cycle exists, a comparable office — across the preceding election cycle. The Elections Panel administers the system and publishes annual compliance findings to the NRS.</w:t>
      </w:r>
    </w:p>
    <w:p w14:paraId="2789283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IX — The Monitors</w:t>
      </w:r>
    </w:p>
    <w:p w14:paraId="53D85F28" w14:textId="77777777" w:rsidR="00AF3D56" w:rsidRDefault="00000000">
      <w:pPr>
        <w:spacing w:before="200" w:after="60"/>
        <w:ind w:left="431"/>
      </w:pPr>
      <w:r>
        <w:rPr>
          <w:rFonts w:ascii="Courier New" w:eastAsia="Courier New" w:hAnsi="Courier New" w:cs="Courier New"/>
          <w:b/>
          <w:bCs/>
          <w:color w:val="2A2A2A"/>
          <w:sz w:val="18"/>
          <w:szCs w:val="18"/>
        </w:rPr>
        <w:t xml:space="preserve">§9.1  </w:t>
      </w:r>
      <w:r>
        <w:rPr>
          <w:rFonts w:ascii="Garamond" w:eastAsia="Garamond" w:hAnsi="Garamond" w:cs="Garamond"/>
          <w:i/>
          <w:iCs/>
          <w:color w:val="1B2A4A"/>
          <w:sz w:val="22"/>
          <w:szCs w:val="22"/>
        </w:rPr>
        <w:t>Three Monitors</w:t>
      </w:r>
    </w:p>
    <w:p w14:paraId="2EC75C92" w14:textId="77777777" w:rsidR="00AF3D56" w:rsidRDefault="00000000">
      <w:pPr>
        <w:spacing w:after="120"/>
        <w:ind w:left="431"/>
        <w:jc w:val="both"/>
      </w:pPr>
      <w:r>
        <w:rPr>
          <w:rFonts w:ascii="Garamond" w:eastAsia="Garamond" w:hAnsi="Garamond" w:cs="Garamond"/>
          <w:color w:val="2A2A2A"/>
          <w:sz w:val="22"/>
          <w:szCs w:val="22"/>
        </w:rPr>
        <w:t>The Republic maintains three constitutionally independent Monitors — Legislative (LM), Executive (EM), and Judicial (JM) — each selected by bodies other than those it oversees. Monitors hold an information-only mandate: they observe constitutional processes, verify compliance, and publish findings to the NRS. Findings are not binding on any constitutional actor and are not a prerequisite for any legal proceeding or governmental function. Each Monitor General serves a 10-year non-renewable term with a constitutionally protected funding floor. Failure of a Monitor to act does not extinguish constitutional authority or suspend any constitutional obligation. Any constitutional officer, chamber, or body may request a focused assessment from any Monitor within that Monitor’s mandate; the Monitor publishes the assessment by the requested date where practicable; a requesting party may proceed whether or not the assessment has been published. Persistent non-responsiveness to reasonable requests may be published by the other two Monitors as a non-responsiveness finding to the NRS.</w:t>
      </w:r>
    </w:p>
    <w:p w14:paraId="31371B1E" w14:textId="77777777" w:rsidR="00AF3D56" w:rsidRDefault="00000000">
      <w:pPr>
        <w:spacing w:before="200" w:after="60"/>
        <w:ind w:left="431"/>
      </w:pPr>
      <w:r>
        <w:rPr>
          <w:rFonts w:ascii="Courier New" w:eastAsia="Courier New" w:hAnsi="Courier New" w:cs="Courier New"/>
          <w:b/>
          <w:bCs/>
          <w:color w:val="2A2A2A"/>
          <w:sz w:val="18"/>
          <w:szCs w:val="18"/>
        </w:rPr>
        <w:t xml:space="preserve">§9.1.a  </w:t>
      </w:r>
      <w:r>
        <w:rPr>
          <w:rFonts w:ascii="Garamond" w:eastAsia="Garamond" w:hAnsi="Garamond" w:cs="Garamond"/>
          <w:i/>
          <w:iCs/>
          <w:color w:val="1B2A4A"/>
          <w:sz w:val="22"/>
          <w:szCs w:val="22"/>
        </w:rPr>
        <w:t>The Legislative Monitor</w:t>
      </w:r>
    </w:p>
    <w:p w14:paraId="2A180BB7" w14:textId="77777777" w:rsidR="00AF3D56" w:rsidRDefault="00000000">
      <w:pPr>
        <w:spacing w:after="120"/>
        <w:ind w:left="431"/>
        <w:jc w:val="both"/>
      </w:pPr>
      <w:r>
        <w:rPr>
          <w:rFonts w:ascii="Garamond" w:eastAsia="Garamond" w:hAnsi="Garamond" w:cs="Garamond"/>
          <w:color w:val="2A2A2A"/>
          <w:sz w:val="22"/>
          <w:szCs w:val="22"/>
        </w:rPr>
        <w:t>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14:paraId="77863FB2" w14:textId="77777777" w:rsidR="00AF3D56" w:rsidRDefault="00000000">
      <w:pPr>
        <w:spacing w:before="200" w:after="60"/>
        <w:ind w:left="431"/>
      </w:pPr>
      <w:r>
        <w:rPr>
          <w:rFonts w:ascii="Courier New" w:eastAsia="Courier New" w:hAnsi="Courier New" w:cs="Courier New"/>
          <w:b/>
          <w:bCs/>
          <w:color w:val="2A2A2A"/>
          <w:sz w:val="18"/>
          <w:szCs w:val="18"/>
        </w:rPr>
        <w:t xml:space="preserve">§9.1.b  </w:t>
      </w:r>
      <w:r>
        <w:rPr>
          <w:rFonts w:ascii="Garamond" w:eastAsia="Garamond" w:hAnsi="Garamond" w:cs="Garamond"/>
          <w:i/>
          <w:iCs/>
          <w:color w:val="1B2A4A"/>
          <w:sz w:val="22"/>
          <w:szCs w:val="22"/>
        </w:rPr>
        <w:t>The Executive Monitor</w:t>
      </w:r>
    </w:p>
    <w:p w14:paraId="74469628" w14:textId="77777777" w:rsidR="00AF3D56" w:rsidRDefault="00000000">
      <w:pPr>
        <w:spacing w:after="120"/>
        <w:ind w:left="431"/>
        <w:jc w:val="both"/>
      </w:pPr>
      <w:r>
        <w:rPr>
          <w:rFonts w:ascii="Garamond" w:eastAsia="Garamond" w:hAnsi="Garamond" w:cs="Garamond"/>
          <w:color w:val="2A2A2A"/>
          <w:sz w:val="22"/>
          <w:szCs w:val="22"/>
        </w:rPr>
        <w:t>The EM audits both executives and the Monetary Authority. Annual responsibilities include: military compliance assessment covering whether military force was used for an authorized purpose under §14.1, whether legislative authorization and allocation requirements under §14.2 were observed, whether the §2.3 intelligence warrant requirement was maintained,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14:paraId="52FB7E88" w14:textId="77777777" w:rsidR="00AF3D56" w:rsidRDefault="00000000">
      <w:pPr>
        <w:spacing w:before="200" w:after="60"/>
        <w:ind w:left="431"/>
      </w:pPr>
      <w:r>
        <w:rPr>
          <w:rFonts w:ascii="Courier New" w:eastAsia="Courier New" w:hAnsi="Courier New" w:cs="Courier New"/>
          <w:b/>
          <w:bCs/>
          <w:color w:val="2A2A2A"/>
          <w:sz w:val="18"/>
          <w:szCs w:val="18"/>
        </w:rPr>
        <w:t xml:space="preserve">§9.1.c  </w:t>
      </w:r>
      <w:r>
        <w:rPr>
          <w:rFonts w:ascii="Garamond" w:eastAsia="Garamond" w:hAnsi="Garamond" w:cs="Garamond"/>
          <w:i/>
          <w:iCs/>
          <w:color w:val="1B2A4A"/>
          <w:sz w:val="22"/>
          <w:szCs w:val="22"/>
        </w:rPr>
        <w:t>The Judicial Monitor</w:t>
      </w:r>
    </w:p>
    <w:p w14:paraId="153206F1" w14:textId="77777777" w:rsidR="00AF3D56" w:rsidRDefault="00000000">
      <w:pPr>
        <w:spacing w:after="120"/>
        <w:ind w:left="431"/>
        <w:jc w:val="both"/>
      </w:pPr>
      <w:r>
        <w:rPr>
          <w:rFonts w:ascii="Garamond" w:eastAsia="Garamond" w:hAnsi="Garamond" w:cs="Garamond"/>
          <w:color w:val="2A2A2A"/>
          <w:sz w:val="22"/>
          <w:szCs w:val="22"/>
        </w:rPr>
        <w:t>The JM audits the courts for judicial scope and independence, and conducts annual audits of the Elections Panel for electoral integrity compliance, including the administration of the Judicial Pool and all constitutional pools. The JM reviews compliance with treaty obligations under Article XVI and Associated Community compact agreements under Article XX. The JM administers all constitutional lottery draws and candidate certification functions.</w:t>
      </w:r>
    </w:p>
    <w:p w14:paraId="3B4115BB" w14:textId="77777777" w:rsidR="00AF3D56" w:rsidRDefault="00000000">
      <w:pPr>
        <w:spacing w:before="200" w:after="60"/>
        <w:ind w:left="431"/>
      </w:pPr>
      <w:r>
        <w:rPr>
          <w:rFonts w:ascii="Courier New" w:eastAsia="Courier New" w:hAnsi="Courier New" w:cs="Courier New"/>
          <w:b/>
          <w:bCs/>
          <w:color w:val="2A2A2A"/>
          <w:sz w:val="18"/>
          <w:szCs w:val="18"/>
        </w:rPr>
        <w:t xml:space="preserve">§9.1.d  </w:t>
      </w:r>
      <w:r>
        <w:rPr>
          <w:rFonts w:ascii="Garamond" w:eastAsia="Garamond" w:hAnsi="Garamond" w:cs="Garamond"/>
          <w:i/>
          <w:iCs/>
          <w:color w:val="1B2A4A"/>
          <w:sz w:val="22"/>
          <w:szCs w:val="22"/>
        </w:rPr>
        <w:t>Monitor General Term Expiry and Incapacity</w:t>
      </w:r>
    </w:p>
    <w:p w14:paraId="4AEB7A07" w14:textId="77777777" w:rsidR="00AF3D56" w:rsidRDefault="00000000">
      <w:pPr>
        <w:spacing w:after="120"/>
        <w:ind w:left="431"/>
        <w:jc w:val="both"/>
      </w:pPr>
      <w:r>
        <w:rPr>
          <w:rFonts w:ascii="Garamond" w:eastAsia="Garamond" w:hAnsi="Garamond" w:cs="Garamond"/>
          <w:color w:val="2A2A2A"/>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where two or more pool members have equal continuous pool tenure, the tiebreaker is defined by statute. The Acting Monitor General holds full constitutional authority of the office. The Acting Monitor General is not eligible for permanent appointment to the position in which they serve; upon </w:t>
        <w:lastRenderedPageBreak/>
        <w:t>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14:paraId="46B5493E" w14:textId="77777777" w:rsidR="00AF3D56" w:rsidRDefault="00000000">
      <w:pPr>
        <w:spacing w:before="200" w:after="60"/>
        <w:ind w:left="431"/>
      </w:pPr>
      <w:r>
        <w:rPr>
          <w:rFonts w:ascii="Courier New" w:eastAsia="Courier New" w:hAnsi="Courier New" w:cs="Courier New"/>
          <w:b/>
          <w:bCs/>
          <w:color w:val="2A2A2A"/>
          <w:sz w:val="18"/>
          <w:szCs w:val="18"/>
        </w:rPr>
        <w:t xml:space="preserve">§9.2  </w:t>
      </w:r>
      <w:r>
        <w:rPr>
          <w:rFonts w:ascii="Garamond" w:eastAsia="Garamond" w:hAnsi="Garamond" w:cs="Garamond"/>
          <w:i/>
          <w:iCs/>
          <w:color w:val="1B2A4A"/>
          <w:sz w:val="22"/>
          <w:szCs w:val="22"/>
        </w:rPr>
        <w:t>Selection and Independence</w:t>
      </w:r>
    </w:p>
    <w:p w14:paraId="33C79C2D" w14:textId="77777777" w:rsidR="00AF3D56" w:rsidRDefault="00000000">
      <w:pPr>
        <w:spacing w:after="120"/>
        <w:ind w:left="431"/>
        <w:jc w:val="both"/>
      </w:pPr>
      <w:r>
        <w:rPr>
          <w:rFonts w:ascii="Garamond" w:eastAsia="Garamond" w:hAnsi="Garamond" w:cs="Garamond"/>
          <w:color w:val="2A2A2A"/>
          <w:sz w:val="22"/>
          <w:szCs w:val="22"/>
        </w:rPr>
        <w:t>Each Monitor is constituted through a process that structurally excludes the body being watched from selecting its watchers. The SC nominates the LM Monitor General, confirmed by national popular vote. The Assembly Speaker and Senate Speaker jointly nominate the EM Monitor General, confirmed by national popular vote with JM audit findings on the nominee’s disclosure record published to the NRS before the vote. The JM Monitor General is selected by public lottery from a pool of former judges audited by the LM and EM.</w:t>
      </w:r>
    </w:p>
    <w:p w14:paraId="0BBF3D39" w14:textId="77777777" w:rsidR="00AF3D56" w:rsidRDefault="00000000">
      <w:pPr>
        <w:spacing w:before="200" w:after="60"/>
        <w:ind w:left="431"/>
      </w:pPr>
      <w:r>
        <w:rPr>
          <w:rFonts w:ascii="Courier New" w:eastAsia="Courier New" w:hAnsi="Courier New" w:cs="Courier New"/>
          <w:b/>
          <w:bCs/>
          <w:color w:val="2A2A2A"/>
          <w:sz w:val="18"/>
          <w:szCs w:val="18"/>
        </w:rPr>
        <w:t xml:space="preserve">§9.3  </w:t>
      </w:r>
      <w:r>
        <w:rPr>
          <w:rFonts w:ascii="Garamond" w:eastAsia="Garamond" w:hAnsi="Garamond" w:cs="Garamond"/>
          <w:i/>
          <w:iCs/>
          <w:color w:val="1B2A4A"/>
          <w:sz w:val="22"/>
          <w:szCs w:val="22"/>
        </w:rPr>
        <w:t>Monitor General Selection</w:t>
      </w:r>
    </w:p>
    <w:p w14:paraId="429C6323" w14:textId="77777777" w:rsidR="00AF3D56" w:rsidRDefault="00000000">
      <w:pPr>
        <w:spacing w:after="120"/>
        <w:ind w:left="431"/>
        <w:jc w:val="both"/>
      </w:pPr>
      <w:r>
        <w:rPr>
          <w:rFonts w:ascii="Garamond" w:eastAsia="Garamond" w:hAnsi="Garamond" w:cs="Garamond"/>
          <w:color w:val="2A2A2A"/>
          <w:sz w:val="22"/>
          <w:szCs w:val="22"/>
        </w:rPr>
        <w:t>All Monitor General confirmations follow the same process: the nominated or lottery-selected candidate is confirmed by national popular vote at the next federal electoral period by simple majority; timing is defined by statute to ensure seamless succession; if the confirmation vote fails, the §9.1.d acting mechanism activates and a new selection must begin within 60 days. The Elections Panel administers all confirmation votes. The LM Monitor General is nominated by the SC from the pool maintained by the Elections Panel and audited jointly by the EM and JM. The EM Monitor General is nominated jointly by the Assembly Speaker and Senate Speaker from the pool maintained by the Elections Panel and audited jointly by the LM and JM, with JM audit findings on the nominee’s disclosure record published to the NRS before the vote; where the Speakers fail to jointly nominate within 60 days of a vacancy, the Senate selects from the pool by 2/3 vote. The JM Monitor General is selected by public lottery under §9.8 from the JM Candidate Pool under §9.4. A Monitor General confirmed following an unscheduled vacancy serves only the remainder of the original term. No two Monitor General full terms may be scheduled to begin within 18 months of each other; service for the remainder of a predecessor's term does not commence a new term for the purposes of this spacing requirement. The confirmed successor assumes full authority at the precise moment the incumbent’s term concludes.</w:t>
      </w:r>
    </w:p>
    <w:p w14:paraId="04940EBC" w14:textId="77777777" w:rsidR="00AF3D56" w:rsidRDefault="00000000">
      <w:pPr>
        <w:spacing w:before="200" w:after="60"/>
        <w:ind w:left="431"/>
      </w:pPr>
      <w:r>
        <w:rPr>
          <w:rFonts w:ascii="Courier New" w:eastAsia="Courier New" w:hAnsi="Courier New" w:cs="Courier New"/>
          <w:b/>
          <w:bCs/>
          <w:color w:val="2A2A2A"/>
          <w:sz w:val="18"/>
          <w:szCs w:val="18"/>
        </w:rPr>
        <w:t xml:space="preserve">§9.4  </w:t>
      </w:r>
      <w:r>
        <w:rPr>
          <w:rFonts w:ascii="Garamond" w:eastAsia="Garamond" w:hAnsi="Garamond" w:cs="Garamond"/>
          <w:i/>
          <w:iCs/>
          <w:color w:val="1B2A4A"/>
          <w:sz w:val="22"/>
          <w:szCs w:val="22"/>
        </w:rPr>
        <w:t>Judicial Monitor Audit and Lottery Administration Mandate</w:t>
      </w:r>
    </w:p>
    <w:p w14:paraId="3F05EDAE" w14:textId="77777777" w:rsidR="00AF3D56" w:rsidRDefault="00000000">
      <w:pPr>
        <w:spacing w:after="120"/>
        <w:ind w:left="431"/>
        <w:jc w:val="both"/>
      </w:pPr>
      <w:r>
        <w:rPr>
          <w:rFonts w:ascii="Garamond" w:eastAsia="Garamond" w:hAnsi="Garamond" w:cs="Garamond"/>
          <w:color w:val="2A2A2A"/>
          <w:sz w:val="22"/>
          <w:szCs w:val="22"/>
        </w:rPr>
        <w:t>The JM holds two constitutional mandates: as auditor, it monitors the court system, audits the Elections Panel’s administration of the Judicial Pool, and conducts compliance audits across compact obligations; as certification administrator, it certifies lottery draws and panel selections throughout the constitution. The audit mandate is information-only; the lottery administration mandate is ministerial — the JM administers the process and certifies the result, but cannot influence the outcome. Annual audit responsibilities include: court operations for scope compliance and independence; the Elections Panel for electoral integrity; SC independence; inferior court compliance with jurisdictional limits; and compliance under Article XIV, Article XIX, Article XVI treaty obligations, and Article XX compacts. Any candidate removed from a ballot by the Elections Panel may appeal to the Appellate Court within 14 days; the Court reviews only whether eligibility criteria were correctly applied and must rule within 21 days. 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Elections Panel applies the eligibility criteria and enters qualifying applicants into the pool. The LM's ongoing audit encompasses verification of judicial service records; the EM's ongoing audit encompasses financial disclosure review; both publish findings to the NRS. The JMC conducts the lottery in a public session; the outgoing JM Monitor General does not participate. The pool is publicly accessible at all times.</w:t>
      </w:r>
    </w:p>
    <w:p w14:paraId="617C0C91" w14:textId="77777777" w:rsidR="00AF3D56" w:rsidRDefault="00000000">
      <w:pPr>
        <w:spacing w:before="200" w:after="60"/>
        <w:ind w:left="431"/>
      </w:pPr>
      <w:r>
        <w:rPr>
          <w:rFonts w:ascii="Courier New" w:eastAsia="Courier New" w:hAnsi="Courier New" w:cs="Courier New"/>
          <w:b/>
          <w:bCs/>
          <w:color w:val="2A2A2A"/>
          <w:sz w:val="18"/>
          <w:szCs w:val="18"/>
        </w:rPr>
        <w:t xml:space="preserve">§9.4.a  </w:t>
      </w:r>
      <w:r>
        <w:rPr>
          <w:rFonts w:ascii="Garamond" w:eastAsia="Garamond" w:hAnsi="Garamond" w:cs="Garamond"/>
          <w:i/>
          <w:iCs/>
          <w:color w:val="1B2A4A"/>
          <w:sz w:val="22"/>
          <w:szCs w:val="22"/>
        </w:rPr>
        <w:t>Judicial Pool — Eligibility Criteria</w:t>
      </w:r>
    </w:p>
    <w:p w14:paraId="6EFB0724" w14:textId="77777777" w:rsidR="00AF3D56" w:rsidRDefault="00000000">
      <w:pPr>
        <w:spacing w:after="120"/>
        <w:ind w:left="431"/>
        <w:jc w:val="both"/>
      </w:pPr>
      <w:r>
        <w:rPr>
          <w:rFonts w:ascii="Garamond" w:eastAsia="Garamond" w:hAnsi="Garamond" w:cs="Garamond"/>
          <w:color w:val="2A2A2A"/>
          <w:sz w:val="22"/>
          <w:szCs w:val="22"/>
        </w:rPr>
        <w:lastRenderedPageBreak/>
        <w:t>The Elections Panel maintains the standing Judicial Pool from which all federal judicial appointments are drawn. Any citizen meeting the following eligibility criteria may apply directly to the Elections Panel: at least 15 years of legal practice or 10 years of judicial service; no current government position; no disqualifying financial interest as defined in §12.4. The Elections Panel applies the stated eligibility criteria and enters qualifying applicants into the Judicial Pool. The JM’s ongoing audit of the Elections Panel encompasses the administration of the Judicial Pool;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Judicial Pool is publicly accessible on the NRS at all times.</w:t>
      </w:r>
    </w:p>
    <w:p w14:paraId="2F4DE292" w14:textId="77777777" w:rsidR="00AF3D56" w:rsidRDefault="00000000">
      <w:pPr>
        <w:spacing w:before="200" w:after="60"/>
        <w:ind w:left="431"/>
      </w:pPr>
      <w:r>
        <w:rPr>
          <w:rFonts w:ascii="Courier New" w:eastAsia="Courier New" w:hAnsi="Courier New" w:cs="Courier New"/>
          <w:b/>
          <w:bCs/>
          <w:color w:val="2A2A2A"/>
          <w:sz w:val="18"/>
          <w:szCs w:val="18"/>
        </w:rPr>
        <w:t xml:space="preserve">§9.5  </w:t>
      </w:r>
      <w:r>
        <w:rPr>
          <w:rFonts w:ascii="Garamond" w:eastAsia="Garamond" w:hAnsi="Garamond" w:cs="Garamond"/>
          <w:i/>
          <w:iCs/>
          <w:color w:val="1B2A4A"/>
          <w:sz w:val="22"/>
          <w:szCs w:val="22"/>
        </w:rPr>
        <w:t>Monitor Operations</w:t>
      </w:r>
    </w:p>
    <w:p w14:paraId="59F9C37E" w14:textId="77777777" w:rsidR="00AF3D56" w:rsidRDefault="00000000">
      <w:pPr>
        <w:spacing w:after="120"/>
        <w:ind w:left="431"/>
        <w:jc w:val="both"/>
      </w:pPr>
      <w:r>
        <w:rPr>
          <w:rFonts w:ascii="Garamond" w:eastAsia="Garamond" w:hAnsi="Garamond" w:cs="Garamond"/>
          <w:color w:val="2A2A2A"/>
          <w:sz w:val="22"/>
          <w:szCs w:val="22"/>
        </w:rPr>
        <w:t>Every finding, report, and discrepancy notice must be published to the NRS permanently and free of charge; no official may suppress, delay, classify, or alter a Monitor report before publication. Monitor reports are permanently exempt from classification.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14:paraId="6A6B7C01" w14:textId="77777777" w:rsidR="00AF3D56" w:rsidRDefault="00000000">
      <w:pPr>
        <w:spacing w:before="200" w:after="60"/>
        <w:ind w:left="431"/>
      </w:pPr>
      <w:r>
        <w:rPr>
          <w:rFonts w:ascii="Courier New" w:eastAsia="Courier New" w:hAnsi="Courier New" w:cs="Courier New"/>
          <w:b/>
          <w:bCs/>
          <w:color w:val="2A2A2A"/>
          <w:sz w:val="18"/>
          <w:szCs w:val="18"/>
        </w:rPr>
        <w:t xml:space="preserve">§9.5.a  </w:t>
      </w:r>
      <w:r>
        <w:rPr>
          <w:rFonts w:ascii="Garamond" w:eastAsia="Garamond" w:hAnsi="Garamond" w:cs="Garamond"/>
          <w:i/>
          <w:iCs/>
          <w:color w:val="1B2A4A"/>
          <w:sz w:val="22"/>
          <w:szCs w:val="22"/>
        </w:rPr>
        <w:t>Compliance Standards and Findings</w:t>
      </w:r>
    </w:p>
    <w:p w14:paraId="6A6B7C02" w14:textId="77777777" w:rsidR="00AF3D56" w:rsidRDefault="00000000">
      <w:pPr>
        <w:spacing w:after="120"/>
        <w:ind w:left="431"/>
        <w:jc w:val="both"/>
      </w:pPr>
      <w:r>
        <w:rPr>
          <w:rFonts w:ascii="Garamond" w:eastAsia="Garamond" w:hAnsi="Garamond" w:cs="Garamond"/>
          <w:color w:val="2A2A2A"/>
          <w:sz w:val="22"/>
          <w:szCs w:val="22"/>
        </w:rPr>
        <w:t>The JMC defines and publishes to the NRS the compliance standard for each category of audit — the criteria by which each aspect of a finding is determined Pass or Fail, evaluated separately rather than as a single whole-entity judgment. No Monitor may issue a Pass or Fail finding for a category of audit for which the JMC has not yet published a standard; the underlying audit function continues, but produces no Pass or Fail determination until a standard exists. The JMC may adopt a single standard or separate standards tailored to distinct categories of audit. For each standard, the JMC publishes both the criteria and the methodology by which the criteria were developed. Where more than one standard exists, every published finding identifies which standard was applied. Each Fail is reported to the body responsible for that aspect, which publishes its own account of the matter for the public record. A change to any standard takes effect only for findings arising after the change is published. This prospective-only protection applies equally to the adoption of a new category of standard for any audit subject with a finding already pending at the time of publication. Where the JMC cannot reach consensus, each Monitor General’s proposed standard and methodology are published individually under §9.7’s dissent procedure.</w:t>
      </w:r>
    </w:p>
    <w:p w14:paraId="1C2D3E01" w14:textId="77777777" w:rsidR="00AF3D56" w:rsidRDefault="00000000">
      <w:pPr>
        <w:spacing w:before="200" w:after="60"/>
        <w:ind w:left="431"/>
      </w:pPr>
      <w:r>
        <w:rPr>
          <w:rFonts w:ascii="Courier New" w:eastAsia="Courier New" w:hAnsi="Courier New" w:cs="Courier New"/>
          <w:b/>
          <w:bCs/>
          <w:color w:val="2A2A2A"/>
          <w:sz w:val="18"/>
          <w:szCs w:val="18"/>
        </w:rPr>
        <w:t xml:space="preserve">§9.5.b  </w:t>
      </w:r>
      <w:r>
        <w:rPr>
          <w:rFonts w:ascii="Garamond" w:eastAsia="Garamond" w:hAnsi="Garamond" w:cs="Garamond"/>
          <w:i/>
          <w:iCs/>
          <w:color w:val="1B2A4A"/>
          <w:sz w:val="22"/>
          <w:szCs w:val="22"/>
        </w:rPr>
        <w:t>Agency Accountability</w:t>
      </w:r>
    </w:p>
    <w:p w14:paraId="1C2D3E02" w14:textId="77777777" w:rsidR="00AF3D56" w:rsidRDefault="00000000">
      <w:pPr>
        <w:spacing w:after="120"/>
        <w:ind w:left="431"/>
        <w:jc w:val="both"/>
      </w:pPr>
      <w:r>
        <w:rPr>
          <w:rFonts w:ascii="Garamond" w:eastAsia="Garamond" w:hAnsi="Garamond" w:cs="Garamond"/>
          <w:color w:val="2A2A2A"/>
          <w:sz w:val="22"/>
          <w:szCs w:val="22"/>
        </w:rPr>
        <w:t>Every agency the Legislature establishes is bound both by whatever this constitution specifies for it and by whatever mandate the Legislature has assigned to it by statute. A Fail reported under §9.5.a does not substitute for the responsible body’s own independent obligation to act on matters within its operational control.</w:t>
      </w:r>
    </w:p>
    <w:p w14:paraId="5DCDAB6A" w14:textId="77777777" w:rsidR="00AF3D56" w:rsidRDefault="00000000">
      <w:pPr>
        <w:spacing w:before="200" w:after="60"/>
        <w:ind w:left="431"/>
      </w:pPr>
      <w:r>
        <w:rPr>
          <w:rFonts w:ascii="Courier New" w:eastAsia="Courier New" w:hAnsi="Courier New" w:cs="Courier New"/>
          <w:b/>
          <w:bCs/>
          <w:color w:val="2A2A2A"/>
          <w:sz w:val="18"/>
          <w:szCs w:val="18"/>
        </w:rPr>
        <w:t xml:space="preserve">§9.6  </w:t>
      </w:r>
      <w:r>
        <w:rPr>
          <w:rFonts w:ascii="Garamond" w:eastAsia="Garamond" w:hAnsi="Garamond" w:cs="Garamond"/>
          <w:i/>
          <w:iCs/>
          <w:color w:val="1B2A4A"/>
          <w:sz w:val="22"/>
          <w:szCs w:val="22"/>
        </w:rPr>
        <w:t>Monitor Minimum Funding Guarantee</w:t>
      </w:r>
    </w:p>
    <w:p w14:paraId="3635D7E7" w14:textId="77777777" w:rsidR="00AF3D56" w:rsidRDefault="00000000">
      <w:pPr>
        <w:spacing w:after="120"/>
        <w:ind w:left="431"/>
        <w:jc w:val="both"/>
      </w:pPr>
      <w:r>
        <w:rPr>
          <w:rFonts w:ascii="Garamond" w:eastAsia="Garamond" w:hAnsi="Garamond" w:cs="Garamond"/>
          <w:color w:val="2A2A2A"/>
          <w:sz w:val="22"/>
          <w:szCs w:val="22"/>
        </w:rPr>
        <w:t>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14:paraId="4AA87CF4" w14:textId="77777777" w:rsidR="00AF3D56" w:rsidRDefault="00000000">
      <w:pPr>
        <w:spacing w:before="200" w:after="60"/>
        <w:ind w:left="431"/>
      </w:pPr>
      <w:r>
        <w:rPr>
          <w:rFonts w:ascii="Courier New" w:eastAsia="Courier New" w:hAnsi="Courier New" w:cs="Courier New"/>
          <w:b/>
          <w:bCs/>
          <w:color w:val="2A2A2A"/>
          <w:sz w:val="18"/>
          <w:szCs w:val="18"/>
        </w:rPr>
        <w:t xml:space="preserve">§9.7  </w:t>
      </w:r>
      <w:r>
        <w:rPr>
          <w:rFonts w:ascii="Garamond" w:eastAsia="Garamond" w:hAnsi="Garamond" w:cs="Garamond"/>
          <w:i/>
          <w:iCs/>
          <w:color w:val="1B2A4A"/>
          <w:sz w:val="22"/>
          <w:szCs w:val="22"/>
        </w:rPr>
        <w:t>Joint Monitor Council</w:t>
      </w:r>
    </w:p>
    <w:p w14:paraId="3CCE73C8" w14:textId="77777777" w:rsidR="00AF3D56" w:rsidRDefault="00000000">
      <w:pPr>
        <w:spacing w:after="120"/>
        <w:ind w:left="431"/>
        <w:jc w:val="both"/>
      </w:pPr>
      <w:r>
        <w:rPr>
          <w:rFonts w:ascii="Garamond" w:eastAsia="Garamond" w:hAnsi="Garamond" w:cs="Garamond"/>
          <w:color w:val="2A2A2A"/>
          <w:sz w:val="22"/>
          <w:szCs w:val="22"/>
        </w:rPr>
        <w:t>The three Monitor Generals jointly constitute the JMC as the standing coordination body for matters crossing Monitor jurisdictions. The JMC formally houses all jointly administered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§9.7.a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 Where this Constitution assigns a function to the JMC, the JMC exercises that function collectively by majority vote of participating Monitor Generals and publishes its determinations to the NRS; a dissenting Monitor General’s position is published alongside. The JMC may delegate operational responsibility for any assigned function to one or more individual Monitor Generals without transferring constitutional accountability for the function; it may also coordinate resource allocation across Monitor offices as needed to fulfill assigned functions, provided no Monitor’s capacity to fulfill their individual mandate is diminished.</w:t>
      </w:r>
    </w:p>
    <w:p w14:paraId="573CA303"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§9.7.a  </w:t>
      </w:r>
      <w:r>
        <w:rPr>
          <w:rFonts w:ascii="Garamond" w:eastAsia="Garamond" w:hAnsi="Garamond" w:cs="Garamond"/>
          <w:i/>
          <w:iCs/>
          <w:color w:val="1B2A4A"/>
          <w:sz w:val="22"/>
          <w:szCs w:val="22"/>
        </w:rPr>
        <w:t>Institutional Compromise Protocol</w:t>
      </w:r>
    </w:p>
    <w:p w14:paraId="4C467E62" w14:textId="77777777" w:rsidR="00AF3D56" w:rsidRDefault="00000000">
      <w:pPr>
        <w:spacing w:after="120"/>
        <w:ind w:left="431"/>
        <w:jc w:val="both"/>
      </w:pPr>
      <w:r>
        <w:rPr>
          <w:rFonts w:ascii="Garamond" w:eastAsia="Garamond" w:hAnsi="Garamond" w:cs="Garamond"/>
          <w:color w:val="2A2A2A"/>
          <w:sz w:val="22"/>
          <w:szCs w:val="22"/>
        </w:rPr>
        <w:t>Where two of the three Monitors jointly assess and report that the third is operating in demonstrable bad faith, they petition the SC directly for confirmation of the finding under its original jurisdiction in §4.5; the SC rules within 14 days. Upon filing the petition, the two petitioning Monitors jointly designate an Acting Monitor General as the most senior member of the affected Monitor’s candidate pool by continuous pool tenure who accepts the designation; both executives are notified immediately. The Acting Monitor General assumes all constitutional functions of the compromised Monitor from the moment of designation. If the SC rules that the finding is not confirmed, the Acting Monitor General stands down and all functions return immediately to the original Monitor General. Where the SC neither rules nor files an extension request within the applicable period, the Acting Monitor General stands down, all functions return to the original Monitor General, and the petition may be refiled.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14:paraId="476B5CB4" w14:textId="77777777" w:rsidR="00AF3D56" w:rsidRDefault="00000000">
      <w:pPr>
        <w:spacing w:before="200" w:after="60"/>
        <w:ind w:left="431"/>
      </w:pPr>
      <w:r>
        <w:rPr>
          <w:rFonts w:ascii="Courier New" w:eastAsia="Courier New" w:hAnsi="Courier New" w:cs="Courier New"/>
          <w:b/>
          <w:bCs/>
          <w:color w:val="2A2A2A"/>
          <w:sz w:val="18"/>
          <w:szCs w:val="18"/>
        </w:rPr>
        <w:t xml:space="preserve">§9.8  </w:t>
      </w:r>
      <w:r>
        <w:rPr>
          <w:rFonts w:ascii="Garamond" w:eastAsia="Garamond" w:hAnsi="Garamond" w:cs="Garamond"/>
          <w:i/>
          <w:iCs/>
          <w:color w:val="1B2A4A"/>
          <w:sz w:val="22"/>
          <w:szCs w:val="22"/>
        </w:rPr>
        <w:t>Constitutional Pool Framework</w:t>
      </w:r>
    </w:p>
    <w:p w14:paraId="7CD03CD4" w14:textId="77777777" w:rsidR="00AF3D56" w:rsidRDefault="00000000">
      <w:pPr>
        <w:spacing w:after="120"/>
        <w:ind w:left="431"/>
        <w:jc w:val="both"/>
      </w:pPr>
      <w:r>
        <w:rPr>
          <w:rFonts w:ascii="Garamond" w:eastAsia="Garamond" w:hAnsi="Garamond" w:cs="Garamond"/>
          <w:color w:val="2A2A2A"/>
          <w:sz w:val="22"/>
          <w:szCs w:val="22"/>
        </w:rPr>
        <w:t>The Elections Panel maintains all constitutional candidate registries and pools, including the Judicial Pool, and administers public access to their records via the NRS. Each pool is subject to ongoing Monitor audit; findings are published to the NRS. Lottery draws are conducted by the JMC in a public session and published to the NRS.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sitting State court judge by continuous service on a court of record who accepts the designation serves as Acting officer until the pool is restored; where two or more judges have equal continuous service, the oldest by age is designated first; a designee may not exercise State judicial functions while serving, and their State office is otherwise unaffected; this fallback applies only to judicial and Monitor pools. Eligibility criteria for all pools are strictly objective — years of practice or service, office status, and financial interests as defined under §12.4.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the applicant may appeal to the SC within 14 days of that publication on the sole ground that the eligibility criteria were misapplied. Changes to eligibility criteria apply prospectively only and do not affect persons already entered in a constitutional pool or registry under the criteria applicable at the time of their entry.</w:t>
      </w:r>
    </w:p>
    <w:p w14:paraId="5BBA903E" w14:textId="77777777" w:rsidR="00AF3D56" w:rsidRDefault="00000000">
      <w:pPr>
        <w:spacing w:before="200" w:after="60"/>
        <w:ind w:left="431"/>
      </w:pPr>
      <w:r>
        <w:rPr>
          <w:rFonts w:ascii="Courier New" w:eastAsia="Courier New" w:hAnsi="Courier New" w:cs="Courier New"/>
          <w:b/>
          <w:bCs/>
          <w:color w:val="2A2A2A"/>
          <w:sz w:val="18"/>
          <w:szCs w:val="18"/>
        </w:rPr>
        <w:t xml:space="preserve">§9.9  </w:t>
      </w:r>
      <w:r>
        <w:rPr>
          <w:rFonts w:ascii="Garamond" w:eastAsia="Garamond" w:hAnsi="Garamond" w:cs="Garamond"/>
          <w:i/>
          <w:iCs/>
          <w:color w:val="1B2A4A"/>
          <w:sz w:val="22"/>
          <w:szCs w:val="22"/>
        </w:rPr>
        <w:t>Constitutional Officer Removal — Standard Track</w:t>
      </w:r>
    </w:p>
    <w:p w14:paraId="1F3C84B3" w14:textId="77777777" w:rsidR="00AF3D56" w:rsidRDefault="00000000">
      <w:pPr>
        <w:spacing w:after="120"/>
        <w:ind w:left="431"/>
        <w:jc w:val="both"/>
      </w:pPr>
      <w:r>
        <w:rPr>
          <w:rFonts w:ascii="Garamond" w:eastAsia="Garamond" w:hAnsi="Garamond" w:cs="Garamond"/>
          <w:color w:val="2A2A2A"/>
          <w:sz w:val="22"/>
          <w:szCs w:val="22"/>
        </w:rPr>
        <w:t xml:space="preserve">This section governs for-cause removal of all constitutionally confirmed independent officers except Supreme Court justices under §4.3.a and elected executives. Monitor Generals are subject to for-cause removal under this section. A concurrent resolution of 1/3 of either chamber, or two of the three Monitors jointly, may initiate removal by filing stated grounds with the SC. The SC determines within 14 days whether the stated grounds constitute at least one statutory removal category for the subject office; the SC reviews constitutional category only, not factual merits. If grounds are confirmed, duty suspension activates immediately and removal requires a 2/3 concurrent vote of both chambers; no removal vote may be held within 180 days of a major national election without prior SC review within 48 hours. If grounds are not confirmed, the process closes and may not be reinitiated on the same or substantially similar grounds within six months. The SC must rule within 14 days; where the SC requires additional time, a majority of seated justices may file an extension request within the 14-day period specifying the reason and the additional period required, published to the NRS; the maximum extension period is defined by statute. Where the SC neither rules nor files an extension request within the </w:t>
        <w:lastRenderedPageBreak/>
        <w:t>applicable period, the removal proceeding lapses for that session and may be reinitiated under this section. The Legislature defines enumerated removal categories for each constitutionally confirmed office by statute.</w:t>
      </w:r>
    </w:p>
    <w:p w14:paraId="6FBB894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 — The National Record System</w:t>
      </w:r>
    </w:p>
    <w:p w14:paraId="088DBF10" w14:textId="77777777" w:rsidR="00AF3D56" w:rsidRDefault="00000000">
      <w:pPr>
        <w:spacing w:before="200" w:after="60"/>
        <w:ind w:left="431"/>
      </w:pPr>
      <w:r>
        <w:rPr>
          <w:rFonts w:ascii="Courier New" w:eastAsia="Courier New" w:hAnsi="Courier New" w:cs="Courier New"/>
          <w:b/>
          <w:bCs/>
          <w:color w:val="2A2A2A"/>
          <w:sz w:val="18"/>
          <w:szCs w:val="18"/>
        </w:rPr>
        <w:t xml:space="preserve">§10.1  </w:t>
      </w:r>
      <w:r>
        <w:rPr>
          <w:rFonts w:ascii="Garamond" w:eastAsia="Garamond" w:hAnsi="Garamond" w:cs="Garamond"/>
          <w:i/>
          <w:iCs/>
          <w:color w:val="1B2A4A"/>
          <w:sz w:val="22"/>
          <w:szCs w:val="22"/>
        </w:rPr>
        <w:t>National Record System</w:t>
      </w:r>
    </w:p>
    <w:p w14:paraId="40E775B2" w14:textId="77777777" w:rsidR="00AF3D56" w:rsidRDefault="00000000">
      <w:pPr>
        <w:spacing w:after="120"/>
        <w:ind w:left="431"/>
        <w:jc w:val="both"/>
      </w:pPr>
      <w:r>
        <w:rPr>
          <w:rFonts w:ascii="Garamond" w:eastAsia="Garamond" w:hAnsi="Garamond" w:cs="Garamond"/>
          <w:color w:val="2A2A2A"/>
          <w:sz w:val="22"/>
          <w:szCs w:val="22"/>
        </w:rPr>
        <w:t>The National Record System is the permanent, tamper-evident public record of the Republic — freely accessible to every Inhabitant at no cost. Every constitutional act, order, finding, certification, designation, declaration, and determination made under this Constitution is published to the NRS as a permanent record; no provision need state this obligation individually. All electoral records — voter registration, ballot counts, audit trails, and certification documents — must be published to the NRS within the timeframes specified by the Elections Panel's constitutional mandate under Article XI; no classification exception applies to electoral records. Where a specific publication timeline is provided it governs; otherwise publication occurs at or before the effective moment of the act. Records may not be deleted, altered, or reclassified after publication; corrections are published as new entries alongside the original. Where the NRS Panel determines by unanimous vote that a record poses an imminent, specific, and documented threat to individual safety, it may temporarily restrict access for up to 30 days pending judicial review; the reviewing court must rule within 14 days; the record is permanently restored unless the court confirms the restriction on the narrowest possible grounds; the applicable court is designated by statute. The original timestamp and the restriction record both remain as permanent NRS entries. Government acts take legal effect from the moment of issuance regardless of NRS status — the NRS is the record of government, not a condition of it. The JM maintains a continuously operating parallel authentication system, physically independent of the NRS, capable of preserving all constitutional acts with full constitutional effect from issuance; upon NRS restoration, parallel records migrate with their original timestamps. Where the NRS has not been restored within 180 days, the parallel system becomes the constitutional record; the Legislature must establish permanent restoration obligations by statute within 90 days of that threshold. The Legislature defines technical standards for both systems by statute. Records published by any Republic jurisdiction are recognized as authentic without re-certification. Monitor reports are permanently exempt from classification. Classification used to conceal a constitutional violation or illegal order is a constitutional offense.</w:t>
      </w:r>
    </w:p>
    <w:p w14:paraId="0A9AFFF0" w14:textId="77777777" w:rsidR="00AF3D56" w:rsidRDefault="00000000">
      <w:pPr>
        <w:spacing w:before="200" w:after="60"/>
        <w:ind w:left="431"/>
      </w:pPr>
      <w:r>
        <w:rPr>
          <w:rFonts w:ascii="Courier New" w:eastAsia="Courier New" w:hAnsi="Courier New" w:cs="Courier New"/>
          <w:b/>
          <w:bCs/>
          <w:color w:val="2A2A2A"/>
          <w:sz w:val="18"/>
          <w:szCs w:val="18"/>
        </w:rPr>
        <w:t xml:space="preserve">§10.2  </w:t>
      </w:r>
      <w:r>
        <w:rPr>
          <w:rFonts w:ascii="Garamond" w:eastAsia="Garamond" w:hAnsi="Garamond" w:cs="Garamond"/>
          <w:i/>
          <w:iCs/>
          <w:color w:val="1B2A4A"/>
          <w:sz w:val="22"/>
          <w:szCs w:val="22"/>
        </w:rPr>
        <w:t>Classification Criteria</w:t>
      </w:r>
    </w:p>
    <w:p w14:paraId="77595E98" w14:textId="77777777" w:rsidR="00AF3D56" w:rsidRDefault="00000000">
      <w:pPr>
        <w:spacing w:after="120"/>
        <w:ind w:left="431"/>
        <w:jc w:val="both"/>
      </w:pPr>
      <w:r>
        <w:rPr>
          <w:rFonts w:ascii="Garamond" w:eastAsia="Garamond" w:hAnsi="Garamond" w:cs="Garamond"/>
          <w:color w:val="2A2A2A"/>
          <w:sz w:val="22"/>
          <w:szCs w:val="22"/>
        </w:rPr>
        <w:t>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 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14:paraId="3A8EE734"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 — NRS Panel and Elections Panel</w:t>
      </w:r>
    </w:p>
    <w:p w14:paraId="174884A5"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NRS Panel and Elections Panel</w:t>
      </w:r>
    </w:p>
    <w:p w14:paraId="54155DBF" w14:textId="77777777" w:rsidR="00AF3D56" w:rsidRDefault="00000000">
      <w:pPr>
        <w:spacing w:after="120"/>
        <w:ind w:left="431"/>
        <w:jc w:val="both"/>
      </w:pPr>
      <w:r>
        <w:rPr>
          <w:rFonts w:ascii="Garamond" w:eastAsia="Garamond" w:hAnsi="Garamond" w:cs="Garamond"/>
          <w:color w:val="2A2A2A"/>
          <w:sz w:val="22"/>
          <w:szCs w:val="22"/>
        </w:rPr>
        <w:t>Two constitutionally independent panels — the NRS Panel and the Elections Panel — operate the Republic’s permanent record infrastructure and electoral systems respectively. The NRS Panel operates the National Record System. The Elections Panel establishes and maintains the National Voting System, sets administrative and technical standards for federal elections, certifies election equipment for state procurement, audits state compliance with federal election standards, administers referenda and confirmation votes, and certifies all federal election results. Where the Elections Panel certifies a State’s election system as non-compliant before an election, the Panel may withhold result certification for affected districts pending compliance or a special election under §7.2.a. Each panel is operationally independent of the other, of both executives, and of the Legislature in the exercise of its functions.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The Legislature must establish by statute a procedure for each panel to adopt temporary technical measures in response to imminent security threats or system failures within its domain; such measures may not change electoral rules, timelines, or NRS record permanence, and expire within 72 hours unless ratified by a majority of the panel's seated members. Where either Panel falls below the five-member floor through resignation, removal, disqualification, or any other cause, the Civic Consul may appoint a qualified civil servant employed by that Panel to serve as Acting member, not to exceed the period defined by statute, which may not exceed 180 days; the Acting member may exercise all authorities of a full member during that period and the appointment does not affect the ordinary process for filling the vacancy permanently.</w:t>
      </w:r>
    </w:p>
    <w:p w14:paraId="52BA3DE1"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NVS Properties and Voting Rights</w:t>
      </w:r>
    </w:p>
    <w:p w14:paraId="4DE4C43E" w14:textId="77777777" w:rsidR="00AF3D56" w:rsidRDefault="00000000">
      <w:pPr>
        <w:spacing w:after="120"/>
        <w:ind w:left="431"/>
        <w:jc w:val="both"/>
      </w:pPr>
      <w:r>
        <w:rPr>
          <w:rFonts w:ascii="Garamond" w:eastAsia="Garamond" w:hAnsi="Garamond" w:cs="Garamond"/>
          <w:color w:val="2A2A2A"/>
          <w:sz w:val="22"/>
          <w:szCs w:val="22"/>
        </w:rPr>
        <w:t>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14:paraId="5C4960C1"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State Election Non-Compliance</w:t>
      </w:r>
    </w:p>
    <w:p w14:paraId="0611AAFA" w14:textId="77777777" w:rsidR="00AF3D56" w:rsidRDefault="00000000">
      <w:pPr>
        <w:spacing w:after="120"/>
        <w:ind w:left="431"/>
        <w:jc w:val="both"/>
      </w:pPr>
      <w:r>
        <w:rPr>
          <w:rFonts w:ascii="Garamond" w:eastAsia="Garamond" w:hAnsi="Garamond" w:cs="Garamond"/>
          <w:color w:val="2A2A2A"/>
          <w:sz w:val="22"/>
          <w:szCs w:val="22"/>
        </w:rPr>
        <w:t xml:space="preserve">Where the Elections Panel finds through audit that a State's election administration materially fails to meet the constitutional standards required under §11.1, it publishes the finding to the NRS and notifies the State formally. The State has the period defined by statute to cure the identified failures. Where the State does not cure within that period, the Elections Panel administers the relevant federal election directly within </w:t>
        <w:lastRenderedPageBreak/>
        <w:t>that State for that electoral period only; State administration resumes automatically at the conclusion of that period. The State may petition the SC for challenge the Elections Panel’s finding under §4.5’s original jurisdiction provisions governing State-federal disputes; the process and timeline are defined by statute. A finding of non-compliance does not affect the validity of votes cast; the Elections Panel's administration obligation is to ensure constitutional standards are met going forward.</w:t>
      </w:r>
    </w:p>
    <w:p w14:paraId="6ED8EAA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 — Social State and Economic Rights</w:t>
      </w:r>
    </w:p>
    <w:p w14:paraId="12AEB42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The Social State and Monetary Authority</w:t>
      </w:r>
    </w:p>
    <w:p w14:paraId="534116F3" w14:textId="77777777" w:rsidR="00AF3D56" w:rsidRDefault="00000000">
      <w:pPr>
        <w:spacing w:after="120"/>
        <w:ind w:left="431"/>
        <w:jc w:val="both"/>
      </w:pPr>
      <w:r>
        <w:rPr>
          <w:rFonts w:ascii="Garamond" w:eastAsia="Garamond" w:hAnsi="Garamond" w:cs="Garamond"/>
          <w:color w:val="2A2A2A"/>
          <w:sz w:val="22"/>
          <w:szCs w:val="22"/>
        </w:rPr>
        <w:t>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w:t>
      </w:r>
    </w:p>
    <w:p w14:paraId="031A54A1" w14:textId="77777777" w:rsidR="00AF3D56" w:rsidRDefault="00000000">
      <w:pPr>
        <w:spacing w:before="200" w:after="60"/>
        <w:ind w:left="431"/>
      </w:pPr>
      <w:r>
        <w:rPr>
          <w:rFonts w:ascii="Courier New" w:eastAsia="Courier New" w:hAnsi="Courier New" w:cs="Courier New"/>
          <w:b/>
          <w:bCs/>
          <w:color w:val="2A2A2A"/>
          <w:sz w:val="18"/>
          <w:szCs w:val="18"/>
        </w:rPr>
        <w:t xml:space="preserve">§12.1.a  </w:t>
      </w:r>
      <w:r>
        <w:rPr>
          <w:rFonts w:ascii="Garamond" w:eastAsia="Garamond" w:hAnsi="Garamond" w:cs="Garamond"/>
          <w:i/>
          <w:iCs/>
          <w:color w:val="1B2A4A"/>
          <w:sz w:val="22"/>
          <w:szCs w:val="22"/>
        </w:rPr>
        <w:t>The Monetary Authority</w:t>
      </w:r>
    </w:p>
    <w:p w14:paraId="242D4AA1" w14:textId="77777777" w:rsidR="00AF3D56" w:rsidRDefault="00000000">
      <w:pPr>
        <w:spacing w:after="120"/>
        <w:ind w:left="431"/>
        <w:jc w:val="both"/>
      </w:pPr>
      <w:r>
        <w:rPr>
          <w:rFonts w:ascii="Garamond" w:eastAsia="Garamond" w:hAnsi="Garamond" w:cs="Garamond"/>
          <w:color w:val="2A2A2A"/>
          <w:sz w:val="22"/>
          <w:szCs w:val="22"/>
        </w:rPr>
        <w:t>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14:paraId="7B1C2D01" w14:textId="77777777" w:rsidR="00AF3D56" w:rsidRDefault="00000000">
      <w:pPr>
        <w:spacing w:before="200" w:after="60"/>
        <w:ind w:left="431"/>
      </w:pPr>
      <w:r>
        <w:rPr>
          <w:rFonts w:ascii="Courier New" w:eastAsia="Courier New" w:hAnsi="Courier New" w:cs="Courier New"/>
          <w:b/>
          <w:bCs/>
          <w:color w:val="2A2A2A"/>
          <w:sz w:val="18"/>
          <w:szCs w:val="18"/>
        </w:rPr>
        <w:t xml:space="preserve">§12.1.b  </w:t>
      </w:r>
      <w:r>
        <w:rPr>
          <w:rFonts w:ascii="Garamond" w:eastAsia="Garamond" w:hAnsi="Garamond" w:cs="Garamond"/>
          <w:i/>
          <w:iCs/>
          <w:color w:val="1B2A4A"/>
          <w:sz w:val="22"/>
          <w:szCs w:val="22"/>
        </w:rPr>
        <w:t>Monetary Authority Reporting</w:t>
      </w:r>
    </w:p>
    <w:p w14:paraId="7B1C2D02" w14:textId="77777777" w:rsidR="00AF3D56" w:rsidRDefault="00000000">
      <w:pPr>
        <w:spacing w:after="120"/>
        <w:ind w:left="431"/>
        <w:jc w:val="both"/>
      </w:pPr>
      <w:r>
        <w:rPr>
          <w:rFonts w:ascii="Garamond" w:eastAsia="Garamond" w:hAnsi="Garamond" w:cs="Garamond"/>
          <w:color w:val="2A2A2A"/>
          <w:sz w:val="22"/>
          <w:szCs w:val="22"/>
        </w:rPr>
        <w:t>The Monetary Authority publishes a State of the Economy report to the Assembly, the Legat Consul, and the Civic Consul no less than semi-annually; the Legislature may by statute require a more frequent cycle. Each report includes the Monetary Authority’s account of relevant findings from the preceding period under §9.1.b and any applicable §9.5.a compliance findings. The Monetary Authority may publish additional reports at any time circumstances warrant, addressed to the same recipients. Where a Monitor publishes a Fail the publishing Monitor identifies as relevant to the Monetary Authority’s mandate, the Monetary Authority must, within 30 days, submit a report addressing the finding to the Assembly, the Legat Consul, and the Civic Consul, published to the NRS. Submission of that report discharges the Monetary Authority’s obligation under this provision; further action is a matter for the Legislature.</w:t>
      </w:r>
    </w:p>
    <w:p w14:paraId="7894C76C" w14:textId="77777777" w:rsidR="00AF3D56" w:rsidRDefault="00000000">
      <w:pPr>
        <w:spacing w:before="200" w:after="60"/>
        <w:ind w:left="431"/>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Fiscal Accountability</w:t>
      </w:r>
    </w:p>
    <w:p w14:paraId="7EB36F45" w14:textId="77777777" w:rsidR="00AF3D56" w:rsidRDefault="00000000">
      <w:pPr>
        <w:spacing w:after="120"/>
        <w:ind w:left="431"/>
        <w:jc w:val="both"/>
      </w:pPr>
      <w:r>
        <w:rPr>
          <w:rFonts w:ascii="Garamond" w:eastAsia="Garamond" w:hAnsi="Garamond" w:cs="Garamond"/>
          <w:color w:val="2A2A2A"/>
          <w:sz w:val="22"/>
          <w:szCs w:val="22"/>
        </w:rPr>
        <w:t>The annual budget originates in the Assembly. Each Consul prepares and submits to the Assembly a proposed budget for their respective domain, published to the NRS upon submission, by the deadline defined by statute; absent a statutory deadline, no later than 120 days before the start of the fiscal year. The Assembly gives the Consuls’ proposals due consideration in preparing the annual budget and is not bound by them. A Consul’s failure to submit a domain proposal does not delay or bar the budget process; the failure is published to the NRS and the Assembly proceeds. 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judicial operations, active defense authorizations under §14.2, and social state continuity under §12.1;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14:paraId="44C09FA1" w14:textId="77777777" w:rsidR="00AF3D56" w:rsidRDefault="00000000">
      <w:pPr>
        <w:spacing w:before="200" w:after="60"/>
        <w:ind w:left="431"/>
      </w:pPr>
      <w:r>
        <w:rPr>
          <w:rFonts w:ascii="Courier New" w:eastAsia="Courier New" w:hAnsi="Courier New" w:cs="Courier New"/>
          <w:b/>
          <w:bCs/>
          <w:color w:val="2A2A2A"/>
          <w:sz w:val="18"/>
          <w:szCs w:val="18"/>
        </w:rPr>
        <w:t xml:space="preserve">§12.3  </w:t>
      </w:r>
      <w:r>
        <w:rPr>
          <w:rFonts w:ascii="Garamond" w:eastAsia="Garamond" w:hAnsi="Garamond" w:cs="Garamond"/>
          <w:i/>
          <w:iCs/>
          <w:color w:val="1B2A4A"/>
          <w:sz w:val="22"/>
          <w:szCs w:val="22"/>
        </w:rPr>
        <w:t>Taxing Power and National Revenue Fund</w:t>
      </w:r>
    </w:p>
    <w:p w14:paraId="2CB8BD2E" w14:textId="77777777" w:rsidR="00AF3D56" w:rsidRDefault="00000000">
      <w:pPr>
        <w:spacing w:after="120"/>
        <w:ind w:left="431"/>
        <w:jc w:val="both"/>
      </w:pPr>
      <w:r>
        <w:rPr>
          <w:rFonts w:ascii="Garamond" w:eastAsia="Garamond" w:hAnsi="Garamond" w:cs="Garamond"/>
          <w:color w:val="2A2A2A"/>
          <w:sz w:val="22"/>
          <w:szCs w:val="22"/>
        </w:rPr>
        <w:t>The Legislature has exclusive authority to levy taxes, duties, and tariffs by statute; no other federal body may impose a tax, duty, or levy of any kind. States, Territories, and local governments retain authority to tax within their own jurisdictions, subject to §12.7 and the non-discrimination requirements of §1.6. All public money received by the Republic — including tax revenue, fees, and other receipts — is deposited into the National Revenue Fund. No money may be withdrawn from the National Revenue Fund except by legislative appropriation. The EM audits the Fund's receipts and disbursements as part of its annual fiscal mandate and publishes findings to the NRS. No tax may discriminate on the basis of the characteristics listed in §1.6. Tariff rates established by a ratified treaty or approved trade agreement under §3.6 constitute legislatively authorized rates for the duration of that instrument; the Legislature may set tariff schedules within which the Legat Consul may negotiate specific rates.</w:t>
      </w:r>
    </w:p>
    <w:p w14:paraId="463E5172" w14:textId="77777777" w:rsidR="00AF3D56" w:rsidRDefault="00000000">
      <w:pPr>
        <w:spacing w:before="200" w:after="60"/>
        <w:ind w:left="431"/>
      </w:pPr>
      <w:r>
        <w:rPr>
          <w:rFonts w:ascii="Courier New" w:eastAsia="Courier New" w:hAnsi="Courier New" w:cs="Courier New"/>
          <w:b/>
          <w:bCs/>
          <w:color w:val="2A2A2A"/>
          <w:sz w:val="18"/>
          <w:szCs w:val="18"/>
        </w:rPr>
        <w:t xml:space="preserve">§12.4  </w:t>
      </w:r>
      <w:r>
        <w:rPr>
          <w:rFonts w:ascii="Garamond" w:eastAsia="Garamond" w:hAnsi="Garamond" w:cs="Garamond"/>
          <w:i/>
          <w:iCs/>
          <w:color w:val="1B2A4A"/>
          <w:sz w:val="22"/>
          <w:szCs w:val="22"/>
        </w:rPr>
        <w:t>Ethics and Conflict of Interest</w:t>
      </w:r>
    </w:p>
    <w:p w14:paraId="5FC7640B" w14:textId="77777777" w:rsidR="00AF3D56" w:rsidRDefault="00000000">
      <w:pPr>
        <w:spacing w:after="120"/>
        <w:ind w:left="431"/>
        <w:jc w:val="both"/>
      </w:pPr>
      <w:r>
        <w:rPr>
          <w:rFonts w:ascii="Garamond" w:eastAsia="Garamond" w:hAnsi="Garamond" w:cs="Garamond"/>
          <w:color w:val="2A2A2A"/>
          <w:sz w:val="22"/>
          <w:szCs w:val="22"/>
        </w:rPr>
        <w:t xml:space="preserve">A financial interest includes any holding, income source, liability, business relationship, or similar economic interest; a financial interest is disqualifying where it creates a direct and material conflict between </w:t>
        <w:lastRenderedPageBreak/>
        <w:t>an officer’s personal economic interest and the impartial exercise of their official duties, with statute permitted to further specify categories and thresholds consistent with this standard. All constitutional officers must disclose all financial interests, holdings, income sources, and liabilities to their respective Monitor — the LM for members of the Legislature; the EM for both Consuls, executive branch officers, and military officers; the JM for judicial officers — within the period defined by statute after taking office and annually thereafter; disclosure records are published to the NRS. Candidates for a Monitor General’s own candidate pool are audited for financial disclosure by the other two Monitors jointly rather than by the Monitor whose pool they would join, as provided in §9.3 and §9.4. Any officer with a direct financial interest in a decision within their authority must recuse themselves; recusal is self-executing. Any decision made without required recusal is voidable; the relevant chamber may void the decision by simple majority within 90 days of the conflict becoming a matter of public record on the NRS. Constitutional officers may not, for a period defined by statute after leaving office — which may not be less than two years — engage in any activity that monetizes or draws on non-public information, relationships, or access accumulated during service; the respective Monitor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their respective Monitor and deposited with the relevant treasury. All records created in the exercise of official functions are public records and may not be retained, destroyed, or removed by departing officers. Each Monitor investigates alleged violations of this section within their respective jurisdiction and publishes findings to the NRS; where findings warrant further action, the Monitor refers to the appropriate authority.</w:t>
      </w:r>
    </w:p>
    <w:p w14:paraId="7F55EDD5" w14:textId="77777777" w:rsidR="00AF3D56" w:rsidRDefault="00000000">
      <w:pPr>
        <w:spacing w:before="200" w:after="60"/>
        <w:ind w:left="431"/>
      </w:pPr>
      <w:r>
        <w:rPr>
          <w:rFonts w:ascii="Courier New" w:eastAsia="Courier New" w:hAnsi="Courier New" w:cs="Courier New"/>
          <w:b/>
          <w:bCs/>
          <w:color w:val="2A2A2A"/>
          <w:sz w:val="18"/>
          <w:szCs w:val="18"/>
        </w:rPr>
        <w:t xml:space="preserve">§12.4.a  </w:t>
      </w:r>
      <w:r>
        <w:rPr>
          <w:rFonts w:ascii="Garamond" w:eastAsia="Garamond" w:hAnsi="Garamond" w:cs="Garamond"/>
          <w:i/>
          <w:iCs/>
          <w:color w:val="1B2A4A"/>
          <w:sz w:val="22"/>
          <w:szCs w:val="22"/>
        </w:rPr>
        <w:t>Codes of Conduct and Recusal</w:t>
      </w:r>
    </w:p>
    <w:p w14:paraId="1E91FD8A" w14:textId="77777777" w:rsidR="00AF3D56" w:rsidRDefault="00000000">
      <w:pPr>
        <w:spacing w:after="120"/>
        <w:ind w:left="431"/>
        <w:jc w:val="both"/>
      </w:pPr>
      <w:r>
        <w:rPr>
          <w:rFonts w:ascii="Garamond" w:eastAsia="Garamond" w:hAnsi="Garamond" w:cs="Garamond"/>
          <w:color w:val="2A2A2A"/>
          <w:sz w:val="22"/>
          <w:szCs w:val="22"/>
        </w:rPr>
        <w:t>The Legislature may by statute establish codes of conduct and procedural rules for any constitutionally established office outside the Legislature, including standards for recusal from specific proceedings, disclosure obligations beyond those required by §12.4, and disciplinary procedures for conduct falling short of removal grounds under §9.9. Such rules must be consistent with the independence protections of the relevant office and may not be used to constrain the substantive exercise of any constitutionally assigned function. In the absence of statute establishing recusal standards for a given office, an officer must recuse where their impartiality could reasonably be questioned. An officer who fails to recuse in circumstances requiring recusal — whether defined by statute or this default standard — acts in constitutional breach; the act or determination in which they participated remains subject to challenge on that ground. No statute enacted under this provision may be amended or repealed within the legislative session immediately following the session of its enactment; thereafter, amendment or repeal requires a 2/3 majority of both chambers.</w:t>
      </w:r>
    </w:p>
    <w:p w14:paraId="61B86608" w14:textId="77777777" w:rsidR="00AF3D56" w:rsidRDefault="00000000">
      <w:pPr>
        <w:spacing w:before="200" w:after="60"/>
        <w:ind w:left="431"/>
      </w:pPr>
      <w:r>
        <w:rPr>
          <w:rFonts w:ascii="Courier New" w:eastAsia="Courier New" w:hAnsi="Courier New" w:cs="Courier New"/>
          <w:b/>
          <w:bCs/>
          <w:color w:val="2A2A2A"/>
          <w:sz w:val="18"/>
          <w:szCs w:val="18"/>
        </w:rPr>
        <w:t xml:space="preserve">§12.4.b  </w:t>
      </w:r>
      <w:r>
        <w:rPr>
          <w:rFonts w:ascii="Garamond" w:eastAsia="Garamond" w:hAnsi="Garamond" w:cs="Garamond"/>
          <w:i/>
          <w:iCs/>
          <w:color w:val="1B2A4A"/>
          <w:sz w:val="22"/>
          <w:szCs w:val="22"/>
        </w:rPr>
        <w:t>Monitor General Disclosure</w:t>
      </w:r>
    </w:p>
    <w:p w14:paraId="7A2F2502" w14:textId="77777777" w:rsidR="00AF3D56" w:rsidRDefault="00000000">
      <w:pPr>
        <w:spacing w:after="120"/>
        <w:ind w:left="431"/>
        <w:jc w:val="both"/>
      </w:pPr>
      <w:r>
        <w:rPr>
          <w:rFonts w:ascii="Garamond" w:eastAsia="Garamond" w:hAnsi="Garamond" w:cs="Garamond"/>
          <w:color w:val="2A2A2A"/>
          <w:sz w:val="22"/>
          <w:szCs w:val="22"/>
        </w:rPr>
        <w:t>Monitor Generals disclose under the same requirements and schedule as other constitutional officers under §12.4, published directly to the NRS; no Monitor reviews another Monitor’s disclosure. Self-executing recusal applies as under §12.4, but the voidable-decision remedy does not apply to Monitor General functions. The Legislature must include concealment of a disqualifying financial interest, or failure to recuse where required, among the statutory removal categories established for Monitor Generals under §9.9.</w:t>
      </w:r>
    </w:p>
    <w:p w14:paraId="7DABB156" w14:textId="77777777" w:rsidR="00AF3D56" w:rsidRDefault="00000000">
      <w:pPr>
        <w:spacing w:before="200" w:after="60"/>
        <w:ind w:left="431"/>
      </w:pPr>
      <w:r>
        <w:rPr>
          <w:rFonts w:ascii="Courier New" w:eastAsia="Courier New" w:hAnsi="Courier New" w:cs="Courier New"/>
          <w:b/>
          <w:bCs/>
          <w:color w:val="2A2A2A"/>
          <w:sz w:val="18"/>
          <w:szCs w:val="18"/>
        </w:rPr>
        <w:t xml:space="preserve">§12.4.c  </w:t>
      </w:r>
      <w:r>
        <w:rPr>
          <w:rFonts w:ascii="Garamond" w:eastAsia="Garamond" w:hAnsi="Garamond" w:cs="Garamond"/>
          <w:i/>
          <w:iCs/>
          <w:color w:val="1B2A4A"/>
          <w:sz w:val="22"/>
          <w:szCs w:val="22"/>
        </w:rPr>
        <w:t>Federal Employee and Military Disclosure</w:t>
      </w:r>
    </w:p>
    <w:p w14:paraId="3EBF3AEF" w14:textId="77777777" w:rsidR="00AF3D56" w:rsidRDefault="00000000">
      <w:pPr>
        <w:spacing w:after="120"/>
        <w:ind w:left="431"/>
        <w:jc w:val="both"/>
      </w:pPr>
      <w:r>
        <w:rPr>
          <w:rFonts w:ascii="Garamond" w:eastAsia="Garamond" w:hAnsi="Garamond" w:cs="Garamond"/>
          <w:color w:val="2A2A2A"/>
          <w:sz w:val="22"/>
          <w:szCs w:val="22"/>
        </w:rPr>
        <w:t>The Legislature must by statute establish disclosure and recusal requirements for federal government employees and military personnel whose duties create material conflict-of-interest risk, including procurement, regulatory, and senior civil service positions. The respective Monitor audits the administering agency’s compliance with this requirement and publishes findings to the NRS; this audit is systemic and does not require individual-filing review by the Monitor.</w:t>
      </w:r>
    </w:p>
    <w:p w14:paraId="4944C50E" w14:textId="77777777" w:rsidR="00AF3D56" w:rsidRDefault="00000000">
      <w:pPr>
        <w:spacing w:before="200" w:after="60"/>
        <w:ind w:left="431"/>
      </w:pPr>
      <w:r>
        <w:rPr>
          <w:rFonts w:ascii="Courier New" w:eastAsia="Courier New" w:hAnsi="Courier New" w:cs="Courier New"/>
          <w:b/>
          <w:bCs/>
          <w:color w:val="2A2A2A"/>
          <w:sz w:val="18"/>
          <w:szCs w:val="18"/>
        </w:rPr>
        <w:t xml:space="preserve">§12.5  </w:t>
      </w:r>
      <w:r>
        <w:rPr>
          <w:rFonts w:ascii="Garamond" w:eastAsia="Garamond" w:hAnsi="Garamond" w:cs="Garamond"/>
          <w:i/>
          <w:iCs/>
          <w:color w:val="1B2A4A"/>
          <w:sz w:val="22"/>
          <w:szCs w:val="22"/>
        </w:rPr>
        <w:t>National Endowment</w:t>
      </w:r>
    </w:p>
    <w:p w14:paraId="6E4888F1" w14:textId="77777777" w:rsidR="00AF3D56" w:rsidRDefault="00000000">
      <w:pPr>
        <w:spacing w:after="120"/>
        <w:ind w:left="431"/>
        <w:jc w:val="both"/>
      </w:pPr>
      <w:r>
        <w:rPr>
          <w:rFonts w:ascii="Garamond" w:eastAsia="Garamond" w:hAnsi="Garamond" w:cs="Garamond"/>
          <w:color w:val="2A2A2A"/>
          <w:sz w:val="22"/>
          <w:szCs w:val="22"/>
        </w:rPr>
        <w:lastRenderedPageBreak/>
        <w:t>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 Where a certified Severe Revenue Contraction continues beyond 12 months, continued Endowment disbursement requires authorization by statute, enacted through the ordinary legislative process and renewed at intervals not to exceed 12 months for the duration of the contraction. Where authorization is not renewed, disbursements cease and any adequacy-standard reduction under §1.16 or §1.17 lapses with them. The Monetary Authority's certification of the contraction's end terminates disbursements and any such reduction regardless of authorization status.</w:t>
      </w:r>
    </w:p>
    <w:p w14:paraId="6FBA841A" w14:textId="77777777" w:rsidR="00AF3D56" w:rsidRDefault="00000000">
      <w:pPr>
        <w:spacing w:before="200" w:after="60"/>
        <w:ind w:left="431"/>
      </w:pPr>
      <w:r>
        <w:rPr>
          <w:rFonts w:ascii="Courier New" w:eastAsia="Courier New" w:hAnsi="Courier New" w:cs="Courier New"/>
          <w:b/>
          <w:bCs/>
          <w:color w:val="2A2A2A"/>
          <w:sz w:val="18"/>
          <w:szCs w:val="18"/>
        </w:rPr>
        <w:t xml:space="preserve">§12.6  </w:t>
      </w:r>
      <w:r>
        <w:rPr>
          <w:rFonts w:ascii="Garamond" w:eastAsia="Garamond" w:hAnsi="Garamond" w:cs="Garamond"/>
          <w:i/>
          <w:iCs/>
          <w:color w:val="1B2A4A"/>
          <w:sz w:val="22"/>
          <w:szCs w:val="22"/>
        </w:rPr>
        <w:t>Compensation of Public Officials</w:t>
      </w:r>
    </w:p>
    <w:p w14:paraId="616AD1B4" w14:textId="77777777" w:rsidR="00AF3D56" w:rsidRDefault="00000000">
      <w:pPr>
        <w:spacing w:after="120"/>
        <w:ind w:left="431"/>
        <w:jc w:val="both"/>
      </w:pPr>
      <w:r>
        <w:rPr>
          <w:rFonts w:ascii="Garamond" w:eastAsia="Garamond" w:hAnsi="Garamond" w:cs="Garamond"/>
          <w:color w:val="2A2A2A"/>
          <w:sz w:val="22"/>
          <w:szCs w:val="22"/>
        </w:rPr>
        <w:t>No government official may set their own compensation or the compensation of their direct supervisors. All official compensation is set by statute and is a public record on the NRS. The Legislature may by statute set the compensation of elected constitutional officers; no such change takes effect until after the next election for the relevant office following the session in which it was enacted. Official benefits and accommodations reflect the functional requirements of the office, not the status of the officeholder; no benefit may exceed what the function genuinely requires.</w:t>
      </w:r>
    </w:p>
    <w:p w14:paraId="59FBD4C2" w14:textId="77777777" w:rsidR="00AF3D56" w:rsidRDefault="00000000">
      <w:pPr>
        <w:spacing w:before="200" w:after="60"/>
        <w:ind w:left="431"/>
      </w:pPr>
      <w:r>
        <w:rPr>
          <w:rFonts w:ascii="Courier New" w:eastAsia="Courier New" w:hAnsi="Courier New" w:cs="Courier New"/>
          <w:b/>
          <w:bCs/>
          <w:color w:val="2A2A2A"/>
          <w:sz w:val="18"/>
          <w:szCs w:val="18"/>
        </w:rPr>
        <w:t xml:space="preserve">§12.7  </w:t>
      </w:r>
      <w:r>
        <w:rPr>
          <w:rFonts w:ascii="Garamond" w:eastAsia="Garamond" w:hAnsi="Garamond" w:cs="Garamond"/>
          <w:i/>
          <w:iCs/>
          <w:color w:val="1B2A4A"/>
          <w:sz w:val="22"/>
          <w:szCs w:val="22"/>
        </w:rPr>
        <w:t>Internal Commerce</w:t>
      </w:r>
    </w:p>
    <w:p w14:paraId="2D1E05AC" w14:textId="77777777" w:rsidR="00AF3D56" w:rsidRDefault="00000000">
      <w:pPr>
        <w:spacing w:after="120"/>
        <w:ind w:left="431"/>
        <w:jc w:val="both"/>
      </w:pPr>
      <w:r>
        <w:rPr>
          <w:rFonts w:ascii="Garamond" w:eastAsia="Garamond" w:hAnsi="Garamond" w:cs="Garamond"/>
          <w:color w:val="2A2A2A"/>
          <w:sz w:val="22"/>
          <w:szCs w:val="22"/>
        </w:rPr>
        <w:t>No State or Territory may impose requirements on goods, services, or economic activity originating in another State or Territory that are more burdensome than those applied to its own. The Legislature may establish uniform internal commerce standards by statute.</w:t>
      </w:r>
    </w:p>
    <w:p w14:paraId="73CC603D" w14:textId="77777777" w:rsidR="00AF3D56" w:rsidRDefault="00000000">
      <w:pPr>
        <w:spacing w:before="200" w:after="60"/>
        <w:ind w:left="431"/>
      </w:pPr>
      <w:r>
        <w:rPr>
          <w:rFonts w:ascii="Courier New" w:eastAsia="Courier New" w:hAnsi="Courier New" w:cs="Courier New"/>
          <w:b/>
          <w:bCs/>
          <w:color w:val="2A2A2A"/>
          <w:sz w:val="18"/>
          <w:szCs w:val="18"/>
        </w:rPr>
        <w:t xml:space="preserve">§12.8  </w:t>
      </w:r>
      <w:r>
        <w:rPr>
          <w:rFonts w:ascii="Garamond" w:eastAsia="Garamond" w:hAnsi="Garamond" w:cs="Garamond"/>
          <w:i/>
          <w:iCs/>
          <w:color w:val="1B2A4A"/>
          <w:sz w:val="22"/>
          <w:szCs w:val="22"/>
        </w:rPr>
        <w:t>Fiscal Equalization</w:t>
      </w:r>
    </w:p>
    <w:p w14:paraId="0294EC51" w14:textId="77777777" w:rsidR="00AF3D56" w:rsidRDefault="00000000">
      <w:pPr>
        <w:spacing w:after="120"/>
        <w:ind w:left="431"/>
        <w:jc w:val="both"/>
      </w:pPr>
      <w:r>
        <w:rPr>
          <w:rFonts w:ascii="Garamond" w:eastAsia="Garamond" w:hAnsi="Garamond" w:cs="Garamond"/>
          <w:color w:val="2A2A2A"/>
          <w:sz w:val="22"/>
          <w:szCs w:val="22"/>
        </w:rPr>
        <w:t>The Legislature shall by statute establish a mechanism ensuring that every State and Territory has fiscal capacity reasonably sufficient to fulfill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publishes its response to the NRS within 90 days.</w:t>
      </w:r>
    </w:p>
    <w:p w14:paraId="263A7EF9"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XIII — Direct Democracy</w:t>
      </w:r>
    </w:p>
    <w:p w14:paraId="2D25DBFF" w14:textId="77777777" w:rsidR="00AF3D56" w:rsidRDefault="00000000">
      <w:pPr>
        <w:spacing w:before="200" w:after="60"/>
        <w:ind w:left="431"/>
      </w:pPr>
      <w:r>
        <w:rPr>
          <w:rFonts w:ascii="Courier New" w:eastAsia="Courier New" w:hAnsi="Courier New" w:cs="Courier New"/>
          <w:b/>
          <w:bCs/>
          <w:color w:val="2A2A2A"/>
          <w:sz w:val="18"/>
          <w:szCs w:val="18"/>
        </w:rPr>
        <w:t xml:space="preserve">§13.1  </w:t>
      </w:r>
      <w:r>
        <w:rPr>
          <w:rFonts w:ascii="Garamond" w:eastAsia="Garamond" w:hAnsi="Garamond" w:cs="Garamond"/>
          <w:i/>
          <w:iCs/>
          <w:color w:val="1B2A4A"/>
          <w:sz w:val="22"/>
          <w:szCs w:val="22"/>
        </w:rPr>
        <w:t>Optional Referendum</w:t>
      </w:r>
    </w:p>
    <w:p w14:paraId="20757F55" w14:textId="77777777" w:rsidR="00AF3D56" w:rsidRDefault="00000000">
      <w:pPr>
        <w:spacing w:after="120"/>
        <w:ind w:left="431"/>
        <w:jc w:val="both"/>
      </w:pPr>
      <w:r>
        <w:rPr>
          <w:rFonts w:ascii="Garamond" w:eastAsia="Garamond" w:hAnsi="Garamond" w:cs="Garamond"/>
          <w:color w:val="2A2A2A"/>
          <w:sz w:val="22"/>
          <w:szCs w:val="22"/>
        </w:rPr>
        <w:t>Citizens may initiate a national referendum to repeal enacted legislation. The petition process begins within 90 days of enactment and proceeds in two phases, each authenticated through the NVS using Citizen Voting Credentials. Phase One, lasting up to 8 months, requires signatures from citizens equal to a percentage of eligible voters — defined by statute at not less than 0.5% nor more than 3% — in each of at least one-third of all States and Territories. Phase Two, lasting up to 8 months following Phase One’s completion, requires signatures from 5% of eligible voters nationally; signatures gathered in Phase One carry over and count toward this threshold.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a turnout threshold defined by the Legislature of not less than 30% and not to exceed 50%, repeals the law immediately upon certification. A failed referendum may not be re-initiated on the same or substantially similar grounds; the Legislature may re-enact a repealed law, which is again subject to referendum.</w:t>
      </w:r>
    </w:p>
    <w:p w14:paraId="56A2B479" w14:textId="77777777" w:rsidR="00AF3D56" w:rsidRDefault="00000000">
      <w:pPr>
        <w:spacing w:before="200" w:after="60"/>
        <w:ind w:left="431"/>
      </w:pPr>
      <w:r>
        <w:rPr>
          <w:rFonts w:ascii="Courier New" w:eastAsia="Courier New" w:hAnsi="Courier New" w:cs="Courier New"/>
          <w:b/>
          <w:bCs/>
          <w:color w:val="2A2A2A"/>
          <w:sz w:val="18"/>
          <w:szCs w:val="18"/>
        </w:rPr>
        <w:t xml:space="preserve">§13.2  </w:t>
      </w:r>
      <w:r>
        <w:rPr>
          <w:rFonts w:ascii="Garamond" w:eastAsia="Garamond" w:hAnsi="Garamond" w:cs="Garamond"/>
          <w:i/>
          <w:iCs/>
          <w:color w:val="1B2A4A"/>
          <w:sz w:val="22"/>
          <w:szCs w:val="22"/>
        </w:rPr>
        <w:t>Citizen Legislative Initiative</w:t>
      </w:r>
    </w:p>
    <w:p w14:paraId="3AF26292" w14:textId="77777777" w:rsidR="00AF3D56" w:rsidRDefault="00000000">
      <w:pPr>
        <w:spacing w:after="120"/>
        <w:ind w:left="431"/>
        <w:jc w:val="both"/>
      </w:pPr>
      <w:r>
        <w:rPr>
          <w:rFonts w:ascii="Garamond" w:eastAsia="Garamond" w:hAnsi="Garamond" w:cs="Garamond"/>
          <w:color w:val="2A2A2A"/>
          <w:sz w:val="22"/>
          <w:szCs w:val="22"/>
        </w:rPr>
        <w:t>Citizens may propose legislation directly to the Legislature. The petition process proceeds in two phases, each authenticated through the NVS using Citizen Voting Credentials. Phase One, lasting up to 10 months, requires signatures from citizens equal to a percentage of eligible voters — defined by statute at not less than 0.5% nor more than 3% — in each of at least one-third of all States and Territories. Phase Two, lasting up to 10 months following Phase One’s completion, requires signatures from 10% of eligible voters nationally; signatures gathered in Phase One carry over and count toward this threshold. Once the threshold is met, the Legislature must vote on the proposal within 90 days; if it fails or is not voted on, the proposal proceeds to a direct citizen referendum; passage requires 60% of votes cast with at least 50% citizen participation. A failed initiative may not be re-initiated on the same or substantially similar grounds.</w:t>
      </w:r>
    </w:p>
    <w:p w14:paraId="7FBC41FE" w14:textId="77777777" w:rsidR="00AF3D56" w:rsidRDefault="00000000">
      <w:pPr>
        <w:spacing w:before="200" w:after="60"/>
        <w:ind w:left="431"/>
      </w:pPr>
      <w:r>
        <w:rPr>
          <w:rFonts w:ascii="Courier New" w:eastAsia="Courier New" w:hAnsi="Courier New" w:cs="Courier New"/>
          <w:b/>
          <w:bCs/>
          <w:color w:val="2A2A2A"/>
          <w:sz w:val="18"/>
          <w:szCs w:val="18"/>
        </w:rPr>
        <w:t xml:space="preserve">§7.3  </w:t>
      </w:r>
      <w:r>
        <w:rPr>
          <w:rFonts w:ascii="Garamond" w:eastAsia="Garamond" w:hAnsi="Garamond" w:cs="Garamond"/>
          <w:i/>
          <w:iCs/>
          <w:color w:val="1B2A4A"/>
          <w:sz w:val="22"/>
          <w:szCs w:val="22"/>
        </w:rPr>
        <w:t>Electoral Supermajority Threshold</w:t>
      </w:r>
    </w:p>
    <w:p w14:paraId="743CADFF" w14:textId="77777777" w:rsidR="00AF3D56" w:rsidRDefault="00000000">
      <w:pPr>
        <w:spacing w:after="120"/>
        <w:ind w:left="431"/>
        <w:jc w:val="both"/>
      </w:pPr>
      <w:r>
        <w:rPr>
          <w:rFonts w:ascii="Garamond" w:eastAsia="Garamond" w:hAnsi="Garamond" w:cs="Garamond"/>
          <w:color w:val="2A2A2A"/>
          <w:sz w:val="22"/>
          <w:szCs w:val="22"/>
        </w:rPr>
        <w:t>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(§7.1); public confirmation of a Supreme Court justice under the Senate bypass mechanism (§4.4.a); public recall of the Legat Consul under §2.13; and the national independence referendum under §15.9.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14:paraId="7FBC41FE" w14:textId="77777777" w:rsidR="00AF3D56" w:rsidRDefault="00000000">
      <w:pPr>
        <w:spacing w:before="200" w:after="60"/>
        <w:ind w:left="431"/>
      </w:pPr>
      <w:r>
        <w:rPr>
          <w:rFonts w:ascii="Courier New" w:eastAsia="Courier New" w:hAnsi="Courier New" w:cs="Courier New"/>
          <w:b/>
          <w:bCs/>
          <w:color w:val="2A2A2A"/>
          <w:sz w:val="18"/>
          <w:szCs w:val="18"/>
        </w:rPr>
        <w:t xml:space="preserve">§7.4  </w:t>
      </w:r>
      <w:r>
        <w:rPr>
          <w:rFonts w:ascii="Garamond" w:eastAsia="Garamond" w:hAnsi="Garamond" w:cs="Garamond"/>
          <w:i/>
          <w:iCs/>
          <w:color w:val="1B2A4A"/>
          <w:sz w:val="22"/>
          <w:szCs w:val="22"/>
        </w:rPr>
        <w:t>Eligibility and Disclosure for Federal Office</w:t>
      </w:r>
    </w:p>
    <w:p>
      <w:pPr>
        <w:spacing w:after="120"/>
        <w:ind w:left="431"/>
        <w:jc w:val="both"/>
      </w:pPr>
      <w:r>
        <w:rPr>
          <w:rFonts w:ascii="Garamond" w:eastAsia="Garamond" w:hAnsi="Garamond" w:cs="Garamond"/>
          <w:color w:val="2A2A2A"/>
          <w:sz w:val="22"/>
          <w:szCs w:val="22"/>
        </w:rPr>
        <w:t xml:space="preserve">(1) Every candidate for federal office, and every person selected or elevated to a federal office without standing for election, shall disclose their criminal history on the official candidacy or acceptance filing, under penalty of perjury; the disclosure is published to the NRS and is available to voters and to any body that selects the officeholder.</w:t>
      </w:r>
    </w:p>
    <w:p>
      <w:pPr>
        <w:spacing w:after="120"/>
        <w:ind w:left="431"/>
        <w:jc w:val="both"/>
      </w:pPr>
      <w:r>
        <w:rPr>
          <w:rFonts w:ascii="Garamond" w:eastAsia="Garamond" w:hAnsi="Garamond" w:cs="Garamond"/>
          <w:color w:val="2A2A2A"/>
          <w:sz w:val="22"/>
          <w:szCs w:val="22"/>
        </w:rPr>
        <w:t xml:space="preserve">(2) A person who has made a current disclosure for one federal office satisfies this requirement for elevation to another so long as the disclosure remains accurate.</w:t>
      </w:r>
    </w:p>
    <w:p>
      <w:pPr>
        <w:spacing w:after="120"/>
        <w:ind w:left="431"/>
        <w:jc w:val="both"/>
      </w:pPr>
      <w:r>
        <w:rPr>
          <w:rFonts w:ascii="Garamond" w:eastAsia="Garamond" w:hAnsi="Garamond" w:cs="Garamond"/>
          <w:color w:val="2A2A2A"/>
          <w:sz w:val="22"/>
          <w:szCs w:val="22"/>
        </w:rPr>
        <w:t xml:space="preserve">(3) A false or incomplete disclosure is itself a federal offense.</w:t>
      </w:r>
    </w:p>
    <w:p>
      <w:pPr>
        <w:spacing w:after="120"/>
        <w:ind w:left="431"/>
        <w:jc w:val="both"/>
      </w:pPr>
      <w:r>
        <w:rPr>
          <w:rFonts w:ascii="Garamond" w:eastAsia="Garamond" w:hAnsi="Garamond" w:cs="Garamond"/>
          <w:color w:val="2A2A2A"/>
          <w:sz w:val="22"/>
          <w:szCs w:val="22"/>
        </w:rPr>
        <w:t xml:space="preserve">(4) No criminal conviction bars a person from federal office except as provided in this section; the weight of a disclosed history is for the voters, or for the selecting body, to judge.</w:t>
      </w:r>
    </w:p>
    <w:p>
      <w:pPr>
        <w:spacing w:after="120"/>
        <w:ind w:left="431"/>
        <w:jc w:val="both"/>
      </w:pPr>
      <w:r>
        <w:rPr>
          <w:rFonts w:ascii="Garamond" w:eastAsia="Garamond" w:hAnsi="Garamond" w:cs="Garamond"/>
          <w:color w:val="2A2A2A"/>
          <w:sz w:val="22"/>
          <w:szCs w:val="22"/>
        </w:rPr>
        <w:t xml:space="preserve">(5) A person convicted of insurrection against the Republic, rebellion against the Republic, treason against the Republic, or subversion of a federal election is barred from holding any federal office. These grounds are exhaustive; no other conviction bars a person from federal office, and any change to these grounds requires constitutional amendment.</w:t>
      </w:r>
    </w:p>
    <w:p>
      <w:pPr>
        <w:spacing w:after="120"/>
        <w:ind w:left="431"/>
        <w:jc w:val="both"/>
      </w:pPr>
      <w:r>
        <w:rPr>
          <w:rFonts w:ascii="Garamond" w:eastAsia="Garamond" w:hAnsi="Garamond" w:cs="Garamond"/>
          <w:color w:val="2A2A2A"/>
          <w:sz w:val="22"/>
          <w:szCs w:val="22"/>
        </w:rPr>
        <w:t xml:space="preserve">(6) This bar requires a conviction, not an accusation or a pending charge.</w:t>
      </w:r>
    </w:p>
    <w:p>
      <w:pPr>
        <w:spacing w:after="120"/>
        <w:ind w:left="431"/>
        <w:jc w:val="both"/>
      </w:pPr>
      <w:r>
        <w:rPr>
          <w:rFonts w:ascii="Garamond" w:eastAsia="Garamond" w:hAnsi="Garamond" w:cs="Garamond"/>
          <w:color w:val="2A2A2A"/>
          <w:sz w:val="22"/>
          <w:szCs w:val="22"/>
        </w:rPr>
        <w:t xml:space="preserve">(7) A person removed from a federal office by an affirmative removal process -- including impeachment, a for-cause removal, a constructive vote of no confidence, or recall -- may not hold or seek that office until the remainder of the electoral cycle in which the removal occurred and one full electoral cycle thereafter have passed. The ordinary expiration of a term, and loss of office through an election, are not removals for purposes of this section.</w:t>
      </w:r>
    </w:p>
    <w:p w14:paraId="56EC121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XIV — Military Authorization and Accountability</w:t>
      </w:r>
    </w:p>
    <w:p w14:paraId="397EB8F9" w14:textId="77777777" w:rsidR="00AF3D56" w:rsidRDefault="00000000">
      <w:pPr>
        <w:spacing w:before="200" w:after="60"/>
        <w:ind w:left="431"/>
      </w:pPr>
      <w:r>
        <w:rPr>
          <w:rFonts w:ascii="Courier New" w:eastAsia="Courier New" w:hAnsi="Courier New" w:cs="Courier New"/>
          <w:b/>
          <w:bCs/>
          <w:color w:val="2A2A2A"/>
          <w:sz w:val="18"/>
          <w:szCs w:val="18"/>
        </w:rPr>
        <w:t xml:space="preserve">§14.1  </w:t>
      </w:r>
      <w:r>
        <w:rPr>
          <w:rFonts w:ascii="Garamond" w:eastAsia="Garamond" w:hAnsi="Garamond" w:cs="Garamond"/>
          <w:i/>
          <w:iCs/>
          <w:color w:val="1B2A4A"/>
          <w:sz w:val="22"/>
          <w:szCs w:val="22"/>
        </w:rPr>
        <w:t>Authorized Purposes for Military Force</w:t>
      </w:r>
    </w:p>
    <w:p w14:paraId="4D8B0046" w14:textId="77777777" w:rsidR="00AF3D56" w:rsidRDefault="00000000">
      <w:pPr>
        <w:spacing w:after="120"/>
        <w:ind w:left="431"/>
        <w:jc w:val="both"/>
      </w:pPr>
      <w:r>
        <w:rPr>
          <w:rFonts w:ascii="Garamond" w:eastAsia="Garamond" w:hAnsi="Garamond" w:cs="Garamond"/>
          <w:color w:val="2A2A2A"/>
          <w:sz w:val="22"/>
          <w:szCs w:val="22"/>
        </w:rPr>
        <w:t>Military force serves two authorized purposes: protection of the Republic's territory, citizens, and treaty allies; and, with legislative authorization stating the specific grounds, response to crimes against humanity as defined under international law. The Legislature applies that definition directly in each authorization; no prior international recognition or finding is required.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 The SC’s review under this section is limited to whether the Legislature linked the authorization to one of the purposes enumerated above; the SC does not review whether the underlying facts satisfy that purpose’s legal threshold.</w:t>
      </w:r>
    </w:p>
    <w:p w14:paraId="689652C5" w14:textId="77777777" w:rsidR="00AF3D56" w:rsidRDefault="00000000">
      <w:pPr>
        <w:spacing w:before="200" w:after="60"/>
        <w:ind w:left="431"/>
      </w:pPr>
      <w:r>
        <w:rPr>
          <w:rFonts w:ascii="Courier New" w:eastAsia="Courier New" w:hAnsi="Courier New" w:cs="Courier New"/>
          <w:b/>
          <w:bCs/>
          <w:color w:val="2A2A2A"/>
          <w:sz w:val="18"/>
          <w:szCs w:val="18"/>
        </w:rPr>
        <w:t xml:space="preserve">§14.2  </w:t>
      </w:r>
      <w:r>
        <w:rPr>
          <w:rFonts w:ascii="Garamond" w:eastAsia="Garamond" w:hAnsi="Garamond" w:cs="Garamond"/>
          <w:i/>
          <w:iCs/>
          <w:color w:val="1B2A4A"/>
          <w:sz w:val="22"/>
          <w:szCs w:val="22"/>
        </w:rPr>
        <w:t>Defense Authorization and Allocation</w:t>
      </w:r>
    </w:p>
    <w:p w14:paraId="69F24B7F" w14:textId="77777777" w:rsidR="00AF3D56" w:rsidRDefault="00000000">
      <w:pPr>
        <w:spacing w:after="120"/>
        <w:ind w:left="431"/>
        <w:jc w:val="both"/>
      </w:pPr>
      <w:r>
        <w:rPr>
          <w:rFonts w:ascii="Garamond" w:eastAsia="Garamond" w:hAnsi="Garamond" w:cs="Garamond"/>
          <w:color w:val="2A2A2A"/>
          <w:sz w:val="22"/>
          <w:szCs w:val="22"/>
        </w:rPr>
        <w:t>Military expenditure requires legislative authorization under §14.1 and budget passage under §12.2; the Legat Consul executes that funding. Where authorization specifies categories or amounts, the Legat Consul is bound by them; otherwise, the Legat Consul determines allocation within the authorized total. The Legat Consul answers public questions before the Senate at intervals defined by statute and provides classified briefings to the Senate during active operations. Neither obligation constitutes Senate approval or conditions the Legat Consul’s authority to act. The Legat Consul keeps the Civic Consul informed of expenditure and its budgetary implications through the Council of Ministers under §2.14. When legislative authorization expires or lapses, all expenditure ceases; contracts may wind down for up to 90 days, with no new commitments permitted after expiration. The EM audits expenditure during active operations and publishes findings to the NRS, including intelligence activities conducted in support of those operations, published in classified summary form. The EM publishes a comprehensive accountability report within 180 days of an operation’s conclusion.</w:t>
      </w:r>
    </w:p>
    <w:p w14:paraId="0F47319D" w14:textId="77777777" w:rsidR="00AF3D56" w:rsidRDefault="00000000">
      <w:pPr>
        <w:spacing w:before="200" w:after="60"/>
        <w:ind w:left="431"/>
      </w:pPr>
      <w:r>
        <w:rPr>
          <w:rFonts w:ascii="Courier New" w:eastAsia="Courier New" w:hAnsi="Courier New" w:cs="Courier New"/>
          <w:b/>
          <w:bCs/>
          <w:color w:val="2A2A2A"/>
          <w:sz w:val="18"/>
          <w:szCs w:val="18"/>
        </w:rPr>
        <w:t xml:space="preserve">§14.3  </w:t>
      </w:r>
      <w:r>
        <w:rPr>
          <w:rFonts w:ascii="Garamond" w:eastAsia="Garamond" w:hAnsi="Garamond" w:cs="Garamond"/>
          <w:i/>
          <w:iCs/>
          <w:color w:val="1B2A4A"/>
          <w:sz w:val="22"/>
          <w:szCs w:val="22"/>
        </w:rPr>
        <w:t>Military Accountability</w:t>
      </w:r>
    </w:p>
    <w:p w14:paraId="39470BC8" w14:textId="77777777" w:rsidR="00AF3D56" w:rsidRDefault="00000000">
      <w:pPr>
        <w:spacing w:after="120"/>
        <w:ind w:left="431"/>
        <w:jc w:val="both"/>
      </w:pPr>
      <w:r>
        <w:rPr>
          <w:rFonts w:ascii="Garamond" w:eastAsia="Garamond" w:hAnsi="Garamond" w:cs="Garamond"/>
          <w:color w:val="2A2A2A"/>
          <w:sz w:val="22"/>
          <w:szCs w:val="22"/>
        </w:rPr>
        <w:t>Within the period defined by statute following legislative military authorization being renewed for a second time, the Legat Consul submits a Transition and Reconstruction Plan to the Senate specifying the Republic’s post-conflict obligations: status of alliance obligations, civilian reconstruction support, transitional justice support, and withdrawal timeline. The Senate reviews and approves the Plan, and may amend it in consultation and coordination with the Legat Consul. The approved Plan is published to the NRS and is binding on both executives within their respective domains. Legislative authorization may not be renewed beyond that point unless the Senate has approved a Plan; where authorization is not renewed, expenditure ceases under §14.2.</w:t>
      </w:r>
    </w:p>
    <w:p w14:paraId="759BD6E3" w14:textId="77777777" w:rsidR="00AF3D56" w:rsidRDefault="00000000">
      <w:pPr>
        <w:spacing w:before="200" w:after="60"/>
        <w:ind w:left="431"/>
      </w:pPr>
      <w:r>
        <w:rPr>
          <w:rFonts w:ascii="Courier New" w:eastAsia="Courier New" w:hAnsi="Courier New" w:cs="Courier New"/>
          <w:b/>
          <w:bCs/>
          <w:color w:val="2A2A2A"/>
          <w:sz w:val="18"/>
          <w:szCs w:val="18"/>
        </w:rPr>
        <w:t xml:space="preserve">§14.4  </w:t>
      </w:r>
      <w:r>
        <w:rPr>
          <w:rFonts w:ascii="Garamond" w:eastAsia="Garamond" w:hAnsi="Garamond" w:cs="Garamond"/>
          <w:i/>
          <w:iCs/>
          <w:color w:val="1B2A4A"/>
          <w:sz w:val="22"/>
          <w:szCs w:val="22"/>
        </w:rPr>
        <w:t>Treaty-Based Military Authorization</w:t>
      </w:r>
    </w:p>
    <w:p w14:paraId="768FBD7E" w14:textId="77777777" w:rsidR="00AF3D56" w:rsidRDefault="00000000">
      <w:pPr>
        <w:spacing w:after="120"/>
        <w:ind w:left="431"/>
        <w:jc w:val="both"/>
      </w:pPr>
      <w:r>
        <w:rPr>
          <w:rFonts w:ascii="Garamond" w:eastAsia="Garamond" w:hAnsi="Garamond" w:cs="Garamond"/>
          <w:color w:val="2A2A2A"/>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The oversight and accountability provisions of §14.2 apply from the moment of action. Where the SC determines that a treaty’s trigger conditions were not met, military operations are limited to a defensive posture, and both chambers of the Legislature must vote on whether to authorize continuation of the action no later than 30 days after the SC’s decision is published. An affirmative vote in both chambers constitutes legislative </w:t>
        <w:lastRenderedPageBreak/>
        <w:t>authorization, and the action proceeds under the ordinary terms of this Article from that point. Absent an affirmative vote within the 30-day period, §14.2’s expiration and wind-down provisions apply.</w:t>
      </w:r>
    </w:p>
    <w:p w14:paraId="036594B8"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 — Territorial Structure and Statehood</w:t>
      </w:r>
    </w:p>
    <w:p w14:paraId="6B0719C1" w14:textId="77777777" w:rsidR="00AF3D56" w:rsidRDefault="00000000">
      <w:pPr>
        <w:spacing w:before="200" w:after="60"/>
        <w:ind w:left="431"/>
      </w:pPr>
      <w:r>
        <w:rPr>
          <w:rFonts w:ascii="Courier New" w:eastAsia="Courier New" w:hAnsi="Courier New" w:cs="Courier New"/>
          <w:b/>
          <w:bCs/>
          <w:color w:val="2A2A2A"/>
          <w:sz w:val="18"/>
          <w:szCs w:val="18"/>
        </w:rPr>
        <w:t xml:space="preserve">§15.1  </w:t>
      </w:r>
      <w:r>
        <w:rPr>
          <w:rFonts w:ascii="Garamond" w:eastAsia="Garamond" w:hAnsi="Garamond" w:cs="Garamond"/>
          <w:i/>
          <w:iCs/>
          <w:color w:val="1B2A4A"/>
          <w:sz w:val="22"/>
          <w:szCs w:val="22"/>
        </w:rPr>
        <w:t>Territorial Compact</w:t>
      </w:r>
    </w:p>
    <w:p w14:paraId="0A73E2D3" w14:textId="77777777" w:rsidR="00AF3D56" w:rsidRDefault="00000000">
      <w:pPr>
        <w:spacing w:after="120"/>
        <w:ind w:left="431"/>
        <w:jc w:val="both"/>
      </w:pPr>
      <w:r>
        <w:rPr>
          <w:rFonts w:ascii="Garamond" w:eastAsia="Garamond" w:hAnsi="Garamond" w:cs="Garamond"/>
          <w:color w:val="2A2A2A"/>
          <w:sz w:val="22"/>
          <w:szCs w:val="22"/>
        </w:rPr>
        <w:t>A Territory operates under a Territorial Compact — the restructuring agreement under §15.4 or the incorporation agreement under §15.6 where the Territory results from one of those processes, or otherwise a standard statutory framework the Legislature defines, which must provide for an elected local governing authority over matters of local concern —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14:paraId="2D3E4F01" w14:textId="77777777" w:rsidR="00AF3D56" w:rsidRDefault="00000000">
      <w:pPr>
        <w:spacing w:before="200" w:after="60"/>
        <w:ind w:left="431"/>
      </w:pPr>
      <w:r>
        <w:rPr>
          <w:rFonts w:ascii="Courier New" w:eastAsia="Courier New" w:hAnsi="Courier New" w:cs="Courier New"/>
          <w:b/>
          <w:bCs/>
          <w:color w:val="2A2A2A"/>
          <w:sz w:val="18"/>
          <w:szCs w:val="18"/>
        </w:rPr>
        <w:t xml:space="preserve">§15.1.a  </w:t>
      </w:r>
      <w:r>
        <w:rPr>
          <w:rFonts w:ascii="Garamond" w:eastAsia="Garamond" w:hAnsi="Garamond" w:cs="Garamond"/>
          <w:i/>
          <w:iCs/>
          <w:color w:val="1B2A4A"/>
          <w:sz w:val="22"/>
          <w:szCs w:val="22"/>
        </w:rPr>
        <w:t>Provisional Status</w:t>
      </w:r>
    </w:p>
    <w:p w14:paraId="2D3E4F02" w14:textId="77777777" w:rsidR="00AF3D56" w:rsidRDefault="00000000">
      <w:pPr>
        <w:spacing w:after="120"/>
        <w:ind w:left="431"/>
        <w:jc w:val="both"/>
      </w:pPr>
      <w:r>
        <w:rPr>
          <w:rFonts w:ascii="Garamond" w:eastAsia="Garamond" w:hAnsi="Garamond" w:cs="Garamond"/>
          <w:color w:val="2A2A2A"/>
          <w:sz w:val="22"/>
          <w:szCs w:val="22"/>
        </w:rPr>
        <w:t>Provisional status is the intermediate constitutional stage between Territory and full State. A jurisdiction in Provisional status retains full self-governing authority — its legislature, executive, courts, administrative functions, State-level electoral processes, social state access, and Article I protections continue without interruption. No federal Senate elections may be held for a jurisdiction in Provisional status; sitting senators complete their current terms; Senate seats are not filled upon expiry during Provisional status. Full Statehood takes effect automatically and immediately upon publication of a second consecutive clean Statehood Audit finding while in Provisional status to the NRS; no additional vote, legislative act, or executive confirmation is required. Further rules governing transition support, fiscal coordination, and administrative assistance during Provisional status are defined by statute.</w:t>
      </w:r>
    </w:p>
    <w:p w14:paraId="1AD166BC" w14:textId="77777777" w:rsidR="00AF3D56" w:rsidRDefault="00000000">
      <w:pPr>
        <w:spacing w:before="200" w:after="60"/>
        <w:ind w:left="431"/>
      </w:pPr>
      <w:r>
        <w:rPr>
          <w:rFonts w:ascii="Courier New" w:eastAsia="Courier New" w:hAnsi="Courier New" w:cs="Courier New"/>
          <w:b/>
          <w:bCs/>
          <w:color w:val="2A2A2A"/>
          <w:sz w:val="18"/>
          <w:szCs w:val="18"/>
        </w:rPr>
        <w:t xml:space="preserve">§15.2  </w:t>
      </w:r>
      <w:r>
        <w:rPr>
          <w:rFonts w:ascii="Garamond" w:eastAsia="Garamond" w:hAnsi="Garamond" w:cs="Garamond"/>
          <w:i/>
          <w:iCs/>
          <w:color w:val="1B2A4A"/>
          <w:sz w:val="22"/>
          <w:szCs w:val="22"/>
        </w:rPr>
        <w:t>The Statehood Audit</w:t>
      </w:r>
    </w:p>
    <w:p w14:paraId="6E5F08F8" w14:textId="77777777" w:rsidR="00AF3D56" w:rsidRDefault="00000000">
      <w:pPr>
        <w:spacing w:after="120"/>
        <w:ind w:left="431"/>
        <w:jc w:val="both"/>
      </w:pPr>
      <w:r>
        <w:rPr>
          <w:rFonts w:ascii="Garamond" w:eastAsia="Garamond" w:hAnsi="Garamond" w:cs="Garamond"/>
          <w:color w:val="2A2A2A"/>
          <w:sz w:val="22"/>
          <w:szCs w:val="22"/>
        </w:rPr>
        <w:t>The pathway from Territory to State proceeds through Provisional status under §15.1.a upon passing the Statehood Audit — no political vote is required. The JMC administers the Statehood Audit; the Legislature defines audit components, methodology, and resubmission timelines by statute, subject to 2/3 majority of both chambers. A jurisdiction that fails receives specific published findings and may resubmit after addressing the failures. Upon passing, the Territory enters Provisional status immediately. Every State must maintain three ongoing conditions: functioning electoral processes, basic rule of law and judicial function, and Article I rights compliance; annual audit verifies continued compliance.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14:paraId="4EE807A8" w14:textId="77777777" w:rsidR="00AF3D56" w:rsidRDefault="00000000">
      <w:pPr>
        <w:spacing w:before="200" w:after="60"/>
        <w:ind w:left="431"/>
      </w:pPr>
      <w:r>
        <w:rPr>
          <w:rFonts w:ascii="Courier New" w:eastAsia="Courier New" w:hAnsi="Courier New" w:cs="Courier New"/>
          <w:b/>
          <w:bCs/>
          <w:color w:val="2A2A2A"/>
          <w:sz w:val="18"/>
          <w:szCs w:val="18"/>
        </w:rPr>
        <w:t xml:space="preserve">§15.3  </w:t>
      </w:r>
      <w:r>
        <w:rPr>
          <w:rFonts w:ascii="Garamond" w:eastAsia="Garamond" w:hAnsi="Garamond" w:cs="Garamond"/>
          <w:i/>
          <w:iCs/>
          <w:color w:val="1B2A4A"/>
          <w:sz w:val="22"/>
          <w:szCs w:val="22"/>
        </w:rPr>
        <w:t>Mandatory Devolution</w:t>
      </w:r>
    </w:p>
    <w:p w14:paraId="367A91B9" w14:textId="77777777" w:rsidR="00AF3D56" w:rsidRDefault="00000000">
      <w:pPr>
        <w:spacing w:after="120"/>
        <w:ind w:left="431"/>
        <w:jc w:val="both"/>
      </w:pPr>
      <w:r>
        <w:rPr>
          <w:rFonts w:ascii="Garamond" w:eastAsia="Garamond" w:hAnsi="Garamond" w:cs="Garamond"/>
          <w:color w:val="2A2A2A"/>
          <w:sz w:val="22"/>
          <w:szCs w:val="22"/>
        </w:rPr>
        <w:t>A State enters Mandatory Devolution upon three consecutive annual Statehood Audit findings of failure published by the JMC. After each failing audit, the JMC publishes an Early Warning specifying compliance requirements; the State must publish a Remediation Plan within the period defined by statute. Upon three consecutive failures, the State enters Provisional status under §15.1.a. A Provisional Audit Council activates upon a State entering Provisional status under this section. The Council comprises two officers appointed by the Civic Consul through the standard executive officer appointment process and two delegates appointed by the State legislature; appointments may be changed through the same process by which they were made. The Council reviews audit findings, proposes remediation plans, and publishes its findings and recommendations to the NRS; the State must publish a formal response within the period defined by statute; the form of response and preparation process are defined by statute. The Council is advisory only — the State legislature retains full legislative authority over all remediation decisions. The Council dissolves automatically upon Statehood restoration. Upon entering Provisional status under this section, the Elections Panel administers a citizen vote on the principle of pursuing devolution on the same terms as §15.4’s voluntary process; upon each subsequent annual audit failure while in Provisional status and no §15.4 negotiation is actively underway following a prior affirmative vote under this section, the Elections Panel administers another citizen vote on the same terms. An affirmative vote proceeds through negotiation and Senate ratification under §15.4; the State remains in Provisional status throughout that process; absent an affirmative vote, the State continues in Provisional status under this section. Within 30 days of entering Provisional status under this section, the State may petition the courts on the sole ground that the audit findings are factually insufficient to establish three consecutive failures; the court reviews only the factual basis; process and timeline are defined by statute.</w:t>
      </w:r>
    </w:p>
    <w:p w14:paraId="173529F2" w14:textId="77777777" w:rsidR="00AF3D56" w:rsidRDefault="00000000">
      <w:pPr>
        <w:spacing w:before="200" w:after="60"/>
        <w:ind w:left="431"/>
      </w:pPr>
      <w:r>
        <w:rPr>
          <w:rFonts w:ascii="Courier New" w:eastAsia="Courier New" w:hAnsi="Courier New" w:cs="Courier New"/>
          <w:b/>
          <w:bCs/>
          <w:color w:val="2A2A2A"/>
          <w:sz w:val="18"/>
          <w:szCs w:val="18"/>
        </w:rPr>
        <w:t xml:space="preserve">§15.4  </w:t>
      </w:r>
      <w:r>
        <w:rPr>
          <w:rFonts w:ascii="Garamond" w:eastAsia="Garamond" w:hAnsi="Garamond" w:cs="Garamond"/>
          <w:i/>
          <w:iCs/>
          <w:color w:val="1B2A4A"/>
          <w:sz w:val="22"/>
          <w:szCs w:val="22"/>
        </w:rPr>
        <w:t>Voluntary Devolution and Merger</w:t>
      </w:r>
    </w:p>
    <w:p w14:paraId="6D96E42E" w14:textId="77777777" w:rsidR="00AF3D56" w:rsidRDefault="00000000">
      <w:pPr>
        <w:spacing w:after="120"/>
        <w:ind w:left="431"/>
        <w:jc w:val="both"/>
      </w:pPr>
      <w:r>
        <w:rPr>
          <w:rFonts w:ascii="Garamond" w:eastAsia="Garamond" w:hAnsi="Garamond" w:cs="Garamond"/>
          <w:color w:val="2A2A2A"/>
          <w:sz w:val="22"/>
          <w:szCs w:val="22"/>
        </w:rPr>
        <w:t xml:space="preserve">A State may voluntarily restructure its relationship with the Republic. The process requires, first, a State referendum achieving 60% approval of eligible voters on the principle of pursuing devolution; and second, upon approval, negotiation of a restructuring agreement between the State and the Legislature, ratified by </w:t>
        <w:lastRenderedPageBreak/>
        <w:t>Senate approval by 2/3 majority. The agreement specifies asset and liability allocation, transition timeline, constitutional status of successor jurisdictions, fiscal obligations to the Republic, and continuing obligations; it is published to the NRS and legally binding. Where devolution is initiated under this section without prior entry into Provisional status under §15.3, the State retains full State status — including Senate representation — throughout; State status is unchanged unless and until the restructuring agreement takes effect upon Senate ratification. Social state protections and Article I rights continue through the transition.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14:paraId="50BCAC8D" w14:textId="77777777" w:rsidR="00AF3D56" w:rsidRDefault="00000000">
      <w:pPr>
        <w:spacing w:before="200" w:after="60"/>
        <w:ind w:left="431"/>
      </w:pPr>
      <w:r>
        <w:rPr>
          <w:rFonts w:ascii="Courier New" w:eastAsia="Courier New" w:hAnsi="Courier New" w:cs="Courier New"/>
          <w:b/>
          <w:bCs/>
          <w:color w:val="2A2A2A"/>
          <w:sz w:val="18"/>
          <w:szCs w:val="18"/>
        </w:rPr>
        <w:t xml:space="preserve">§15.5  </w:t>
      </w:r>
      <w:r>
        <w:rPr>
          <w:rFonts w:ascii="Garamond" w:eastAsia="Garamond" w:hAnsi="Garamond" w:cs="Garamond"/>
          <w:i/>
          <w:iCs/>
          <w:color w:val="1B2A4A"/>
          <w:sz w:val="22"/>
          <w:szCs w:val="22"/>
        </w:rPr>
        <w:t>Re-Qualification Pathway</w:t>
      </w:r>
    </w:p>
    <w:p w14:paraId="71347004" w14:textId="77777777" w:rsidR="00AF3D56" w:rsidRDefault="00000000">
      <w:pPr>
        <w:spacing w:after="120"/>
        <w:ind w:left="431"/>
        <w:jc w:val="both"/>
      </w:pPr>
      <w:r>
        <w:rPr>
          <w:rFonts w:ascii="Garamond" w:eastAsia="Garamond" w:hAnsi="Garamond" w:cs="Garamond"/>
          <w:color w:val="2A2A2A"/>
          <w:sz w:val="22"/>
          <w:szCs w:val="22"/>
        </w:rPr>
        <w:t>A Territory resulting from mandatory or voluntary devolution enters the §15.2 pathway immediately upon the effective date of devolution — no additional political vote is required. Where a defined geographic subdivision of the Territory separately achieves Statehood under §15.2 or merges with an existing State under §15.4, the remainder continues as Territory without interruption.</w:t>
      </w:r>
    </w:p>
    <w:p w14:paraId="03BA3EA5" w14:textId="77777777" w:rsidR="00AF3D56" w:rsidRDefault="00000000">
      <w:pPr>
        <w:spacing w:before="200" w:after="60"/>
        <w:ind w:left="431"/>
      </w:pPr>
      <w:r>
        <w:rPr>
          <w:rFonts w:ascii="Courier New" w:eastAsia="Courier New" w:hAnsi="Courier New" w:cs="Courier New"/>
          <w:b/>
          <w:bCs/>
          <w:color w:val="2A2A2A"/>
          <w:sz w:val="18"/>
          <w:szCs w:val="18"/>
        </w:rPr>
        <w:t xml:space="preserve">§15.6  </w:t>
      </w:r>
      <w:r>
        <w:rPr>
          <w:rFonts w:ascii="Garamond" w:eastAsia="Garamond" w:hAnsi="Garamond" w:cs="Garamond"/>
          <w:i/>
          <w:iCs/>
          <w:color w:val="1B2A4A"/>
          <w:sz w:val="22"/>
          <w:szCs w:val="22"/>
        </w:rPr>
        <w:t>Voluntary Incorporation</w:t>
      </w:r>
    </w:p>
    <w:p w14:paraId="1B01F6B7" w14:textId="77777777" w:rsidR="00AF3D56" w:rsidRDefault="00000000">
      <w:pPr>
        <w:spacing w:after="120"/>
        <w:ind w:left="431"/>
        <w:jc w:val="both"/>
      </w:pPr>
      <w:r>
        <w:rPr>
          <w:rFonts w:ascii="Garamond" w:eastAsia="Garamond" w:hAnsi="Garamond" w:cs="Garamond"/>
          <w:color w:val="2A2A2A"/>
          <w:sz w:val="22"/>
          <w:szCs w:val="22"/>
        </w:rPr>
        <w:t>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Upon confirmation, the entity and the Legislature negotiate an incorporation agreement specifying a transition period not exceeding 48 months; the Legislature ratifies the agreement by 2/3 of both chambers. Under §9.1, either chamber may request a JM assessment of the entity's compliance with §1.19.a before that ratification vote; published JM findings must be given due consideration. Any person with standing may challenge the incorporation before the SC on the ground that the entity systematically violates §1.19.a. No constitutional officer may condition treaty obligations, trade relations, military cooperation, or foreign aid on any entity's decision to initiate or advance this process. During the Transition Window, a recognized indigenous nation proceeds under §16.2; thereafter, a recognized indigenous nation holding Associated Community status petitions under this provision as a sovereign entity.</w:t>
      </w:r>
    </w:p>
    <w:p w14:paraId="35629BDB" w14:textId="77777777" w:rsidR="00AF3D56" w:rsidRDefault="00000000">
      <w:pPr>
        <w:spacing w:before="200" w:after="60"/>
        <w:ind w:left="431"/>
      </w:pPr>
      <w:r>
        <w:rPr>
          <w:rFonts w:ascii="Courier New" w:eastAsia="Courier New" w:hAnsi="Courier New" w:cs="Courier New"/>
          <w:b/>
          <w:bCs/>
          <w:color w:val="2A2A2A"/>
          <w:sz w:val="18"/>
          <w:szCs w:val="18"/>
        </w:rPr>
        <w:t xml:space="preserve">§15.7  </w:t>
      </w:r>
      <w:r>
        <w:rPr>
          <w:rFonts w:ascii="Garamond" w:eastAsia="Garamond" w:hAnsi="Garamond" w:cs="Garamond"/>
          <w:i/>
          <w:iCs/>
          <w:color w:val="1B2A4A"/>
          <w:sz w:val="22"/>
          <w:szCs w:val="22"/>
        </w:rPr>
        <w:t>State Immutability and Territorial Integrity</w:t>
      </w:r>
    </w:p>
    <w:p w14:paraId="2301DE14" w14:textId="77777777" w:rsidR="00AF3D56" w:rsidRDefault="00000000">
      <w:pPr>
        <w:spacing w:after="120"/>
        <w:ind w:left="431"/>
        <w:jc w:val="both"/>
      </w:pPr>
      <w:r>
        <w:rPr>
          <w:rFonts w:ascii="Garamond" w:eastAsia="Garamond" w:hAnsi="Garamond" w:cs="Garamond"/>
          <w:color w:val="2A2A2A"/>
          <w:sz w:val="22"/>
          <w:szCs w:val="22"/>
        </w:rPr>
        <w:t>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founding status election under §16.2 constitutes the consent mechanism required by this section for indigenous territorial transitions effected during the Transition Window; no additional Popular Ratification is required. Recognition under §16.4 effects no territorial change; post-founding indigenous territorial transitions proceed under Article XVII. A completed process under §15.9, including its national referendum, constitutes the consent mechanism required by this section; no additional amendment or Popular Ratification is required.</w:t>
      </w:r>
    </w:p>
    <w:p w14:paraId="19B15D9D" w14:textId="77777777" w:rsidR="00AF3D56" w:rsidRDefault="00000000">
      <w:pPr>
        <w:spacing w:before="200" w:after="60"/>
        <w:ind w:left="431"/>
      </w:pPr>
      <w:r>
        <w:rPr>
          <w:rFonts w:ascii="Courier New" w:eastAsia="Courier New" w:hAnsi="Courier New" w:cs="Courier New"/>
          <w:b/>
          <w:bCs/>
          <w:color w:val="2A2A2A"/>
          <w:sz w:val="18"/>
          <w:szCs w:val="18"/>
        </w:rPr>
        <w:t xml:space="preserve">§15.8  </w:t>
      </w:r>
      <w:r>
        <w:rPr>
          <w:rFonts w:ascii="Garamond" w:eastAsia="Garamond" w:hAnsi="Garamond" w:cs="Garamond"/>
          <w:i/>
          <w:iCs/>
          <w:color w:val="1B2A4A"/>
          <w:sz w:val="22"/>
          <w:szCs w:val="22"/>
        </w:rPr>
        <w:t>Local Government</w:t>
      </w:r>
    </w:p>
    <w:p w14:paraId="44611A4A" w14:textId="77777777" w:rsidR="00AF3D56" w:rsidRDefault="00000000">
      <w:pPr>
        <w:spacing w:after="120"/>
        <w:ind w:left="431"/>
        <w:jc w:val="both"/>
      </w:pPr>
      <w:r>
        <w:rPr>
          <w:rFonts w:ascii="Garamond" w:eastAsia="Garamond" w:hAnsi="Garamond" w:cs="Garamond"/>
          <w:color w:val="2A2A2A"/>
          <w:sz w:val="22"/>
          <w:szCs w:val="22"/>
        </w:rPr>
        <w:t>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14:paraId="5C3A62F2" w14:textId="77777777" w:rsidR="00AF3D56" w:rsidRDefault="00000000">
      <w:pPr>
        <w:spacing w:before="200" w:after="60"/>
        <w:ind w:left="431"/>
      </w:pPr>
      <w:r>
        <w:rPr>
          <w:rFonts w:ascii="Courier New" w:eastAsia="Courier New" w:hAnsi="Courier New" w:cs="Courier New"/>
          <w:b/>
          <w:bCs/>
          <w:color w:val="2A2A2A"/>
          <w:sz w:val="18"/>
          <w:szCs w:val="18"/>
        </w:rPr>
        <w:t xml:space="preserve">§15.9  </w:t>
      </w:r>
      <w:r>
        <w:rPr>
          <w:rFonts w:ascii="Garamond" w:eastAsia="Garamond" w:hAnsi="Garamond" w:cs="Garamond"/>
          <w:i/>
          <w:iCs/>
          <w:color w:val="1B2A4A"/>
          <w:sz w:val="22"/>
          <w:szCs w:val="22"/>
        </w:rPr>
        <w:t>Voluntary State Independence</w:t>
      </w:r>
    </w:p>
    <w:p w:rsidR="00AF3D56" w:rsidRDefault="00000000">
      <w:pPr>
        <w:spacing w:after="120"/>
        <w:ind w:left="431"/>
        <w:jc w:val="both"/>
      </w:pPr>
      <w:r>
        <w:rPr>
          <w:rFonts w:ascii="Garamond" w:eastAsia="Garamond" w:hAnsi="Garamond" w:cs="Garamond"/>
          <w:color w:val="2A2A2A"/>
          <w:sz w:val="22"/>
          <w:szCs w:val="22"/>
        </w:rPr>
        <w:t>A State may seek independence from the Republic through a three-stage process. Stage One requires the State legislature to resolve by 2/3 majority to submit the independence question to the State's eligible voters; the referendum must achieve 60% of votes cast with at least 60% participation among the State's eligible voters; a failed referendum may not be reinitiated on the same or substantially similar grounds for five years. Upon certification of the referendum result, the Elections Panel publishes the independence petition to the NRS; the petition may not be withdrawn by the State while the process continues. The Republic may not prefer, discourage, or offer inducements toward any independence petition or referendum; the Republic must provide factual information about the process upon request. Stage Two requires both chambers to hold a concurrent ratification vote within 90 days of NRS publication; Assembly members elected from districts within the petitioning State and senators elected from the petitioning State are recused from this vote, and the required 60% majority and quorum for each chamber are calculated from the remaining seated members; if either chamber fails to achieve 60% or fails to vote within 90 days, the petition lapses and the State may reinitiate Stage One without restriction. Stage Three requires a national referendum administered by the Elections Panel within 180 days of the Stage Two vote, in which all eligible voters of the Republic — including those of the petitioning State — participate; independence is approved by 60% of votes cast under §7.3 with a minimum 50% citizen participation. Where the referendum fails, the petition lapses and the State may reinitiate Stage One without restriction. Upon certification of an affirmative Stage Three result, the State and the Legislature negotiate a separation agreement specifying asset and liability allocation, borders, transition timeline, fiscal obligations, and continuing obligations, ratified by the Senate by 2/3 of full seated membership and published to the NRS; independence takes effect on the date the agreement specifies.</w:t>
      </w:r>
    </w:p>
    <w:p w14:paraId="6A68E2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 — Indigenous Sovereignty</w:t>
      </w:r>
    </w:p>
    <w:p w:rsidR="00AF3D56" w:rsidRDefault="00000000">
      <w:pPr>
        <w:spacing w:before="200" w:after="60"/>
        <w:ind w:left="431"/>
      </w:pPr>
      <w:r>
        <w:rPr>
          <w:rFonts w:ascii="Courier New" w:eastAsia="Courier New" w:hAnsi="Courier New" w:cs="Courier New"/>
          <w:b/>
          <w:bCs/>
          <w:color w:val="2A2A2A"/>
          <w:sz w:val="18"/>
          <w:szCs w:val="18"/>
        </w:rPr>
        <w:t xml:space="preserve">§16.1  </w:t>
      </w:r>
      <w:r>
        <w:rPr>
          <w:rFonts w:ascii="Garamond" w:eastAsia="Garamond" w:hAnsi="Garamond" w:cs="Garamond"/>
          <w:i/>
          <w:iCs/>
          <w:color w:val="1B2A4A"/>
          <w:sz w:val="22"/>
          <w:szCs w:val="22"/>
        </w:rPr>
        <w:t>Acknowledgment of Prior Sovereignty and Recognition</w:t>
      </w:r>
    </w:p>
    <w:p w:rsidR="00AF3D56" w:rsidRDefault="00000000">
      <w:pPr>
        <w:spacing w:after="120"/>
        <w:ind w:left="431"/>
        <w:jc w:val="both"/>
      </w:pPr>
      <w:r>
        <w:rPr>
          <w:rFonts w:ascii="Garamond" w:eastAsia="Garamond" w:hAnsi="Garamond" w:cs="Garamond"/>
          <w:color w:val="2A2A2A"/>
          <w:sz w:val="22"/>
          <w:szCs w:val="22"/>
        </w:rPr>
        <w:t>Indigenous Nations hold sovereignty that precedes the Republic. This sovereignty is acknowledged, not granted — the Republic's constitutional framework does not create it and may not extinguish it. The Republic deals with recognized indigenous nations as sovereign nations. A recognized indigenous nation, wherever that term appears in this Constitution, means a nation that, as of Day Zero, held a treaty with, a compact with, or formal recognition from a predecessor government, or a nation recognized under §16.4. The joint Monitor panel under §19.3 compiles the founding register of recognized nations from the predecessor record and publishes it to the NRS before the close of Phase 1; compilation is ministerial and applies the predecessor record as it stands. A nation omitted from the founding register may appeal to the SC within the period defined by statute on the sole ground that the predecessor record was misapplied. Recognition confers no territorial rights of itself; no act of recognition alters the Article I rights, citizenship, property, or residency of any person.</w:t>
      </w:r>
    </w:p>
    <w:p w:rsidR="00AF3D56" w:rsidRDefault="00000000">
      <w:pPr>
        <w:spacing w:before="200" w:after="60"/>
        <w:ind w:left="431"/>
      </w:pPr>
      <w:r>
        <w:rPr>
          <w:rFonts w:ascii="Courier New" w:eastAsia="Courier New" w:hAnsi="Courier New" w:cs="Courier New"/>
          <w:b/>
          <w:bCs/>
          <w:color w:val="2A2A2A"/>
          <w:sz w:val="18"/>
          <w:szCs w:val="18"/>
        </w:rPr>
        <w:t xml:space="preserve">§16.2  </w:t>
      </w:r>
      <w:r>
        <w:rPr>
          <w:rFonts w:ascii="Garamond" w:eastAsia="Garamond" w:hAnsi="Garamond" w:cs="Garamond"/>
          <w:i/>
          <w:iCs/>
          <w:color w:val="1B2A4A"/>
          <w:sz w:val="22"/>
          <w:szCs w:val="22"/>
        </w:rPr>
        <w:t>Founding Status Election</w:t>
      </w:r>
    </w:p>
    <w:p w:rsidR="00AF3D56" w:rsidRDefault="00000000">
      <w:pPr>
        <w:spacing w:after="120"/>
        <w:ind w:left="431"/>
        <w:jc w:val="both"/>
      </w:pPr>
      <w:r>
        <w:rPr>
          <w:rFonts w:ascii="Garamond" w:eastAsia="Garamond" w:hAnsi="Garamond" w:cs="Garamond"/>
          <w:color w:val="2A2A2A"/>
          <w:sz w:val="22"/>
          <w:szCs w:val="22"/>
        </w:rPr>
        <w:t>At ratification, the Republic formally notifies every nation on the founding register of its rights under this section; notification is published to the NRS. From Day Zero until the close of the Transition Window under §19.2, each recognized nation may elect, by its own democratic or traditional governance process meeting the standards the nation itself defines for major governance decisions, one of the following statuses, published to the NRS: (a) Associated Community — the nation proceeds as a sovereign nation in a compact relationship with the Republic under Article XX; (b) Territorial Integration — the nation enters the Republic as a Territory under §15.1, with the standard §15.2 Statehood pathway available; the published election constitutes the petition and confirmation required by §15.6, and the nation and the Legislature proceed directly to negotiation of the incorporation agreement, ratified by 2/3 of both chambers. Associated Community status is the default: a nation that makes no election holds Associated Community status by constitutional operation at the close of the Transition Window. The Republic may not prefer, discourage, or offer inducements toward any status; it must provide factual information about each status upon request. Article I applies within the territory of each recognized nation throughout the Transition Window unless the nation, by its own governance process, positively rejects that application, published to the NRS; rejection constitutes an early assertion of the default status. While Article I so applies, any resident of the nation's territory who believes an Article I right has been violated may bring an Emergency Rights Writ directly to the SC under its original jurisdiction in §4.5; the SC must rule within 7 days; the extension and interim protective order provisions of §4.5 apply. Indigenous nation membership and Republic citizenship are compatible and independent statuses; no status under this section diminishes the Republic citizenship of any person, consistent with §5.1.</w:t>
      </w:r>
    </w:p>
    <w:p w:rsidR="00AF3D56" w:rsidRDefault="00000000">
      <w:pPr>
        <w:spacing w:before="200" w:after="60"/>
        <w:ind w:left="431"/>
      </w:pPr>
      <w:r>
        <w:rPr>
          <w:rFonts w:ascii="Courier New" w:eastAsia="Courier New" w:hAnsi="Courier New" w:cs="Courier New"/>
          <w:b/>
          <w:bCs/>
          <w:color w:val="2A2A2A"/>
          <w:sz w:val="18"/>
          <w:szCs w:val="18"/>
        </w:rPr>
        <w:t xml:space="preserve">§16.3  </w:t>
      </w:r>
      <w:r>
        <w:rPr>
          <w:rFonts w:ascii="Garamond" w:eastAsia="Garamond" w:hAnsi="Garamond" w:cs="Garamond"/>
          <w:i/>
          <w:iCs/>
          <w:color w:val="1B2A4A"/>
          <w:sz w:val="22"/>
          <w:szCs w:val="22"/>
        </w:rPr>
        <w:t>Treaty Supremacy and Continuity</w:t>
      </w:r>
    </w:p>
    <w:p w:rsidR="00AF3D56" w:rsidRDefault="00000000">
      <w:pPr>
        <w:spacing w:after="120"/>
        <w:ind w:left="431"/>
        <w:jc w:val="both"/>
      </w:pPr>
      <w:r>
        <w:rPr>
          <w:rFonts w:ascii="Garamond" w:eastAsia="Garamond" w:hAnsi="Garamond" w:cs="Garamond"/>
          <w:color w:val="2A2A2A"/>
          <w:sz w:val="22"/>
          <w:szCs w:val="22"/>
        </w:rPr>
        <w:t>All treaties entered into by predecessor governments with indigenous nations are binding obligations of the Republic, regardless of the nation's status under this Constitution. Treaty rights cannot be diminished by legislation — they must be honored, renegotiated with consent, or formally superseded by mutual agreement through negotiation between the Legat Consul and the nation, ratified by the Senate under §3.6. Where a treaty's administration depends on a predecessor-government institution or mechanism with no Republic equivalent, the treaty's substantive rights and obligations continue in full regardless; the Legat Consul and the nation must begin discussions to identify an analogous Republic institution or a negotiated substitute mechanism within the Republic's first year, and pending resolution, a ministerial counterpart designated by the Legat Consul and published to the NRS administers the treaty's institutional functions on an interim basis. The EM audits the Republic's compliance with its treaty obligations under this section annually and publishes findings to the NRS.</w:t>
      </w:r>
    </w:p>
    <w:p w:rsidR="00AF3D56" w:rsidRDefault="00000000">
      <w:pPr>
        <w:spacing w:before="200" w:after="60"/>
        <w:ind w:left="431"/>
      </w:pPr>
      <w:r>
        <w:rPr>
          <w:rFonts w:ascii="Courier New" w:eastAsia="Courier New" w:hAnsi="Courier New" w:cs="Courier New"/>
          <w:b/>
          <w:bCs/>
          <w:color w:val="2A2A2A"/>
          <w:sz w:val="18"/>
          <w:szCs w:val="18"/>
        </w:rPr>
        <w:t xml:space="preserve">§16.4  </w:t>
      </w:r>
      <w:r>
        <w:rPr>
          <w:rFonts w:ascii="Garamond" w:eastAsia="Garamond" w:hAnsi="Garamond" w:cs="Garamond"/>
          <w:i/>
          <w:iCs/>
          <w:color w:val="1B2A4A"/>
          <w:sz w:val="22"/>
          <w:szCs w:val="22"/>
        </w:rPr>
        <w:t>Post-Founding Recognition</w:t>
      </w:r>
    </w:p>
    <w:p w:rsidR="00AF3D56" w:rsidRDefault="00000000">
      <w:pPr>
        <w:spacing w:after="120"/>
        <w:ind w:left="431"/>
        <w:jc w:val="both"/>
      </w:pPr>
      <w:r>
        <w:rPr>
          <w:rFonts w:ascii="Garamond" w:eastAsia="Garamond" w:hAnsi="Garamond" w:cs="Garamond"/>
          <w:color w:val="2A2A2A"/>
          <w:sz w:val="22"/>
          <w:szCs w:val="22"/>
        </w:rPr>
        <w:t>A people asserting sovereignty preceding the Republic may submit a claim of prior sovereignty to the JMC at any time after the close of the Transition Window; the claim is published to the NRS. The JMC investigates the claim against the predecessor record and the criteria of §16.1 and publishes its findings to the NRS. The investigation is information-only: the JMC's findings bind no constitutional actor and compel no governmental act. Claimants may present the published findings in a petition for recognition to the Legat Consul, or pursue any legal remedy available under Article I. Where a petition for recognition is submitted, the Legat Consul determines it within the period defined by statute, not to exceed 180 days, with written grounds published to the NRS whether recognition is granted or declined. Recognition under this section activates the Republic's obligations under §16.3, establishes the nation as a collective legal person capable of negotiating with the Republic and entering arrangements under statute and §18.4, and constitutes the factual predicate for any subsequent constitutional amendment under Article XVII concerning the nation's territorial or sovereign status. Recognition under this section confers no territorial rights and effects no change to the Republic's territorial extent; any such change proceeds only under Article XVII, consistent with §15.7. A declined petition may be resubmitted after 5 years or upon a material change in the available record.</w:t>
      </w:r>
    </w:p>
    <w:p w:rsidR="00AF3D56" w:rsidRDefault="00000000">
      <w:pPr>
        <w:spacing w:before="200" w:after="60"/>
        <w:ind w:left="431"/>
      </w:pPr>
      <w:r>
        <w:rPr>
          <w:rFonts w:ascii="Courier New" w:eastAsia="Courier New" w:hAnsi="Courier New" w:cs="Courier New"/>
          <w:b/>
          <w:bCs/>
          <w:color w:val="2A2A2A"/>
          <w:sz w:val="18"/>
          <w:szCs w:val="18"/>
        </w:rPr>
        <w:t xml:space="preserve">§16.5  </w:t>
      </w:r>
      <w:r>
        <w:rPr>
          <w:rFonts w:ascii="Garamond" w:eastAsia="Garamond" w:hAnsi="Garamond" w:cs="Garamond"/>
          <w:i/>
          <w:iCs/>
          <w:color w:val="1B2A4A"/>
          <w:sz w:val="22"/>
          <w:szCs w:val="22"/>
        </w:rPr>
        <w:t>Transition of Existing Arrangements</w:t>
      </w:r>
    </w:p>
    <w:p w:rsidR="00AF3D56" w:rsidRDefault="00000000">
      <w:pPr>
        <w:spacing w:after="120"/>
        <w:ind w:left="431"/>
        <w:jc w:val="both"/>
      </w:pPr>
      <w:r>
        <w:rPr>
          <w:rFonts w:ascii="Garamond" w:eastAsia="Garamond" w:hAnsi="Garamond" w:cs="Garamond"/>
          <w:color w:val="2A2A2A"/>
          <w:sz w:val="22"/>
          <w:szCs w:val="22"/>
        </w:rPr>
        <w:t>Existing arrangements between a recognized nation and the predecessor government — governance, services, land use, borders, trade, and infrastructure — continue provisionally from Day Zero until replaced by an Article XX compact, an incorporation agreement under §16.2, or a treaty instrument under §16.3. For a nation holding Associated Community status, the Republic must open compact negotiations under Article XX within 90 days of the status taking effect and negotiate in good faith; either party may propose terms at any time. Citizenship arrangements follow §5.1 throughout. Either party may petition the SC to resolve specific disputes arising within the provisional framework; nothing in this section delays or conditions the obligations under §16.3.</w:t>
      </w:r>
    </w:p>
    <w:p w14:paraId="5C94506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 — Constitutional Amendments</w:t>
      </w:r>
    </w:p>
    <w:p w14:paraId="40DC85A9" w14:textId="77777777" w:rsidR="00AF3D56" w:rsidRDefault="00000000">
      <w:pPr>
        <w:spacing w:before="200" w:after="60"/>
        <w:ind w:left="431"/>
      </w:pPr>
      <w:r>
        <w:rPr>
          <w:rFonts w:ascii="Courier New" w:eastAsia="Courier New" w:hAnsi="Courier New" w:cs="Courier New"/>
          <w:b/>
          <w:bCs/>
          <w:color w:val="2A2A2A"/>
          <w:sz w:val="18"/>
          <w:szCs w:val="18"/>
        </w:rPr>
        <w:t xml:space="preserve">§17.1  </w:t>
      </w:r>
      <w:r>
        <w:rPr>
          <w:rFonts w:ascii="Garamond" w:eastAsia="Garamond" w:hAnsi="Garamond" w:cs="Garamond"/>
          <w:i/>
          <w:iCs/>
          <w:color w:val="1B2A4A"/>
          <w:sz w:val="22"/>
          <w:szCs w:val="22"/>
        </w:rPr>
        <w:t>Amendment Paths</w:t>
      </w:r>
    </w:p>
    <w:p w14:paraId="670077DD" w14:textId="77777777" w:rsidR="00AF3D56" w:rsidRDefault="00000000">
      <w:pPr>
        <w:spacing w:after="120"/>
        <w:ind w:left="431"/>
        <w:jc w:val="both"/>
      </w:pPr>
      <w:r>
        <w:rPr>
          <w:rFonts w:ascii="Garamond" w:eastAsia="Garamond" w:hAnsi="Garamond" w:cs="Garamond"/>
          <w:color w:val="2A2A2A"/>
          <w:sz w:val="22"/>
          <w:szCs w:val="22"/>
        </w:rPr>
        <w:t>This Constitution may be amended through the parliamentary path or through citizen initiative. No executive signature is required; no executive veto applies. Every member’s vote on any amendment is published to the NRS.  A parliamentary amendment requires 2/3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 proposed constitutional amendment proceeds through the same two-phase petition process as §13.2, with Phase Two requiring signatures from 15% of eligible voters nationally rather than §13.2’s 10%. Once the Phase Two threshold is met, the proposal proceeds directly to a national referendum, with no legislative or executive action required to place it on the ballot; the Elections Panel administers the referendum within 180 days of Phase Two threshold verification. Passage requires 70% of votes cast with a minimum 65% citizen participation; where the participation floor is not met the initiative fails and may not be resubmitted on the same or substantially similar grounds for five years. Citizen initiative amendments are subject to §17.3 consistency analysis by the JM, advisory only. Amendment of the following provisions requires Popular Ratification regardless of the amendment’s origin: the Monitor selection mechanisms and independence protections (§9.2–§9.4), the Monitor information-only mandate and non-dependency principle (§9.1), the Monitor funding guarantee (§9.6), the NRS architecture and permanence requirements (§10.1), and the Elections Panel and NRS Panel independence (§11.1). These provisions may not be amended by State Ratification alone; a Citizen Initiative Amendment satisfies this requirement through its own referendum under this section without separately clearing the Popular Ratification threshold.</w:t>
      </w:r>
    </w:p>
    <w:p w14:paraId="18034077" w14:textId="77777777" w:rsidR="00AF3D56" w:rsidRDefault="00000000">
      <w:pPr>
        <w:spacing w:before="200" w:after="60"/>
        <w:ind w:left="431"/>
      </w:pPr>
      <w:r>
        <w:rPr>
          <w:rFonts w:ascii="Courier New" w:eastAsia="Courier New" w:hAnsi="Courier New" w:cs="Courier New"/>
          <w:b/>
          <w:bCs/>
          <w:color w:val="2A2A2A"/>
          <w:sz w:val="18"/>
          <w:szCs w:val="18"/>
        </w:rPr>
        <w:t xml:space="preserve">§17.2  </w:t>
      </w:r>
      <w:r>
        <w:rPr>
          <w:rFonts w:ascii="Garamond" w:eastAsia="Garamond" w:hAnsi="Garamond" w:cs="Garamond"/>
          <w:i/>
          <w:iCs/>
          <w:color w:val="1B2A4A"/>
          <w:sz w:val="22"/>
          <w:szCs w:val="22"/>
        </w:rPr>
        <w:t>No Executive Veto; Amendment Takes Effect</w:t>
      </w:r>
    </w:p>
    <w:p w14:paraId="4FCCCD47" w14:textId="77777777" w:rsidR="00AF3D56" w:rsidRDefault="00000000">
      <w:pPr>
        <w:spacing w:after="120"/>
        <w:ind w:left="431"/>
        <w:jc w:val="both"/>
      </w:pPr>
      <w:r>
        <w:rPr>
          <w:rFonts w:ascii="Garamond" w:eastAsia="Garamond" w:hAnsi="Garamond" w:cs="Garamond"/>
          <w:color w:val="2A2A2A"/>
          <w:sz w:val="22"/>
          <w:szCs w:val="22"/>
        </w:rPr>
        <w:t>Neither the Legat Consul nor the Civic Consul has any role in the constitutional amendment process. No signature required. No veto available. An amendment takes effect immediately upon LM certification (State Ratification), Elections Panel certification (Popular Ratification), or Elections Panel certification (Citizen Initiative Amendment), and NRS publication — no implementation delay, no executive discretion over timing.</w:t>
      </w:r>
    </w:p>
    <w:p w14:paraId="7EEBF189" w14:textId="77777777" w:rsidR="00AF3D56" w:rsidRDefault="00000000">
      <w:pPr>
        <w:spacing w:before="200" w:after="60"/>
        <w:ind w:left="431"/>
      </w:pPr>
      <w:r>
        <w:rPr>
          <w:rFonts w:ascii="Courier New" w:eastAsia="Courier New" w:hAnsi="Courier New" w:cs="Courier New"/>
          <w:b/>
          <w:bCs/>
          <w:color w:val="2A2A2A"/>
          <w:sz w:val="18"/>
          <w:szCs w:val="18"/>
        </w:rPr>
        <w:t xml:space="preserve">§17.3  </w:t>
      </w:r>
      <w:r>
        <w:rPr>
          <w:rFonts w:ascii="Garamond" w:eastAsia="Garamond" w:hAnsi="Garamond" w:cs="Garamond"/>
          <w:i/>
          <w:iCs/>
          <w:color w:val="1B2A4A"/>
          <w:sz w:val="22"/>
          <w:szCs w:val="22"/>
        </w:rPr>
        <w:t>Amendment Consistency and Supremacy</w:t>
      </w:r>
    </w:p>
    <w:p w14:paraId="3C9DFF51" w14:textId="77777777" w:rsidR="00AF3D56" w:rsidRDefault="00000000">
      <w:pPr>
        <w:spacing w:after="120"/>
        <w:ind w:left="431"/>
        <w:jc w:val="both"/>
      </w:pPr>
      <w:r>
        <w:rPr>
          <w:rFonts w:ascii="Garamond" w:eastAsia="Garamond" w:hAnsi="Garamond" w:cs="Garamond"/>
          <w:color w:val="2A2A2A"/>
          <w:sz w:val="22"/>
          <w:szCs w:val="22"/>
        </w:rPr>
        <w:t>An amendment that is logically inconsistent with an existing provision must either explicitly repeal the inconsistent provision or the inconsistency is treated as void. The JM publishes a consistency analysis of any proposed amendment within 30 days of passage by both chambers for a parliamentary amendment, or within 30 days of Elections Panel Phase Two threshold verification for a citizen initiative amendment — advisory, but a permanent public record of what the amendment changes. If a ratified amendment's consistency with existing provisions is disputed, the SC resolves the dispute under its original jurisdiction in §4.5 on petition of any person with standing; the SC may not refuse to apply an amendment that has met its procedural thresholds, except that no constitutional amendment may extinguish a right designated non-derogable under §1.19.a; any amendment purporting to do so is void to the extent of the extinguishment, and the SC must so rule under its original jurisdiction in §4.5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14:paraId="1458AB82" w14:textId="77777777" w:rsidR="00AF3D56" w:rsidRDefault="00000000">
      <w:pPr>
        <w:spacing w:before="200" w:after="60"/>
        <w:ind w:left="431"/>
      </w:pPr>
      <w:r>
        <w:rPr>
          <w:rFonts w:ascii="Courier New" w:eastAsia="Courier New" w:hAnsi="Courier New" w:cs="Courier New"/>
          <w:b/>
          <w:bCs/>
          <w:color w:val="2A2A2A"/>
          <w:sz w:val="18"/>
          <w:szCs w:val="18"/>
        </w:rPr>
        <w:t xml:space="preserve">§17.4  </w:t>
      </w:r>
      <w:r>
        <w:rPr>
          <w:rFonts w:ascii="Garamond" w:eastAsia="Garamond" w:hAnsi="Garamond" w:cs="Garamond"/>
          <w:i/>
          <w:iCs/>
          <w:color w:val="1B2A4A"/>
          <w:sz w:val="22"/>
          <w:szCs w:val="22"/>
        </w:rPr>
        <w:t>Supremacy of This Constitution</w:t>
      </w:r>
    </w:p>
    <w:p w14:paraId="28B84EFA" w14:textId="77777777" w:rsidR="00AF3D56" w:rsidRDefault="00000000">
      <w:pPr>
        <w:spacing w:after="120"/>
        <w:ind w:left="431"/>
        <w:jc w:val="both"/>
      </w:pPr>
      <w:r>
        <w:rPr>
          <w:rFonts w:ascii="Garamond" w:eastAsia="Garamond" w:hAnsi="Garamond" w:cs="Garamond"/>
          <w:color w:val="2A2A2A"/>
          <w:sz w:val="22"/>
          <w:szCs w:val="22"/>
        </w:rPr>
        <w:lastRenderedPageBreak/>
        <w:t>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14:paraId="41BAA1D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XVIII — Federal Property and National Trust</w:t>
      </w:r>
    </w:p>
    <w:p w14:paraId="2FE07B58" w14:textId="77777777" w:rsidR="00AF3D56" w:rsidRDefault="00000000">
      <w:pPr>
        <w:spacing w:before="200" w:after="60"/>
        <w:ind w:left="431"/>
      </w:pPr>
      <w:r>
        <w:rPr>
          <w:rFonts w:ascii="Courier New" w:eastAsia="Courier New" w:hAnsi="Courier New" w:cs="Courier New"/>
          <w:b/>
          <w:bCs/>
          <w:color w:val="2A2A2A"/>
          <w:sz w:val="18"/>
          <w:szCs w:val="18"/>
        </w:rPr>
        <w:t xml:space="preserve">§18.1  </w:t>
      </w:r>
      <w:r>
        <w:rPr>
          <w:rFonts w:ascii="Garamond" w:eastAsia="Garamond" w:hAnsi="Garamond" w:cs="Garamond"/>
          <w:i/>
          <w:iCs/>
          <w:color w:val="1B2A4A"/>
          <w:sz w:val="22"/>
          <w:szCs w:val="22"/>
        </w:rPr>
        <w:t>The Use Doctrine</w:t>
      </w:r>
    </w:p>
    <w:p w14:paraId="51E8B390" w14:textId="77777777" w:rsidR="00AF3D56" w:rsidRDefault="00000000">
      <w:pPr>
        <w:spacing w:after="120"/>
        <w:ind w:left="431"/>
        <w:jc w:val="both"/>
      </w:pPr>
      <w:r>
        <w:rPr>
          <w:rFonts w:ascii="Garamond" w:eastAsia="Garamond" w:hAnsi="Garamond" w:cs="Garamond"/>
          <w:color w:val="2A2A2A"/>
          <w:sz w:val="22"/>
          <w:szCs w:val="22"/>
        </w:rPr>
        <w:t>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 disputes over registration validity are resolved under §18.3.</w:t>
      </w:r>
    </w:p>
    <w:p w14:paraId="673D77EC" w14:textId="77777777" w:rsidR="00AF3D56" w:rsidRDefault="00000000">
      <w:pPr>
        <w:spacing w:before="200" w:after="60"/>
        <w:ind w:left="431"/>
      </w:pPr>
      <w:r>
        <w:rPr>
          <w:rFonts w:ascii="Courier New" w:eastAsia="Courier New" w:hAnsi="Courier New" w:cs="Courier New"/>
          <w:b/>
          <w:bCs/>
          <w:color w:val="2A2A2A"/>
          <w:sz w:val="18"/>
          <w:szCs w:val="18"/>
        </w:rPr>
        <w:t xml:space="preserve">§18.2  </w:t>
      </w:r>
      <w:r>
        <w:rPr>
          <w:rFonts w:ascii="Garamond" w:eastAsia="Garamond" w:hAnsi="Garamond" w:cs="Garamond"/>
          <w:i/>
          <w:iCs/>
          <w:color w:val="1B2A4A"/>
          <w:sz w:val="22"/>
          <w:szCs w:val="22"/>
        </w:rPr>
        <w:t>Seat of Government</w:t>
      </w:r>
    </w:p>
    <w:p w14:paraId="3C2E860E" w14:textId="77777777" w:rsidR="00AF3D56" w:rsidRDefault="00000000">
      <w:pPr>
        <w:spacing w:after="120"/>
        <w:ind w:left="431"/>
        <w:jc w:val="both"/>
      </w:pPr>
      <w:r>
        <w:rPr>
          <w:rFonts w:ascii="Garamond" w:eastAsia="Garamond" w:hAnsi="Garamond" w:cs="Garamond"/>
          <w:color w:val="2A2A2A"/>
          <w:sz w:val="22"/>
          <w:szCs w:val="22"/>
        </w:rPr>
        <w:t>The Republic holds no territorial sovereignty at its Seat of Government. The Seat is hosted by a State or Territory selected through a competitive process defined by statute; any State or Territory may submit a bid, and the selected host must satisfy minimum requirements published to the NRS in advance of the selection. A State or Territory whose bid is rejected may challenge the selection before the SC on the ground that the selected bid did not satisfy the published requirements. The hosting arrangement grants the federal government Operational Use Rights over the designated footprint under §18.1;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host selection must be reconsidered through a new competitive process no less often than every 20 years; the Legislature may not suspend or indefinitely extend this requirement by statute. Absent a qualifying new selection, the existing arrangement continues.</w:t>
      </w:r>
    </w:p>
    <w:p w14:paraId="5FD9A173" w14:textId="77777777" w:rsidR="00AF3D56" w:rsidRDefault="00000000">
      <w:pPr>
        <w:spacing w:before="200" w:after="60"/>
        <w:ind w:left="431"/>
      </w:pPr>
      <w:r>
        <w:rPr>
          <w:rFonts w:ascii="Courier New" w:eastAsia="Courier New" w:hAnsi="Courier New" w:cs="Courier New"/>
          <w:b/>
          <w:bCs/>
          <w:color w:val="2A2A2A"/>
          <w:sz w:val="18"/>
          <w:szCs w:val="18"/>
        </w:rPr>
        <w:t xml:space="preserve">§18.3  </w:t>
      </w:r>
      <w:r>
        <w:rPr>
          <w:rFonts w:ascii="Garamond" w:eastAsia="Garamond" w:hAnsi="Garamond" w:cs="Garamond"/>
          <w:i/>
          <w:iCs/>
          <w:color w:val="1B2A4A"/>
          <w:sz w:val="22"/>
          <w:szCs w:val="22"/>
        </w:rPr>
        <w:t>Operational Use Rights</w:t>
      </w:r>
    </w:p>
    <w:p w14:paraId="3B1394DD" w14:textId="77777777" w:rsidR="00AF3D56" w:rsidRDefault="00000000">
      <w:pPr>
        <w:spacing w:after="120"/>
        <w:ind w:left="431"/>
        <w:jc w:val="both"/>
      </w:pPr>
      <w:r>
        <w:rPr>
          <w:rFonts w:ascii="Garamond" w:eastAsia="Garamond" w:hAnsi="Garamond" w:cs="Garamond"/>
          <w:color w:val="2A2A2A"/>
          <w:sz w:val="22"/>
          <w:szCs w:val="22"/>
        </w:rPr>
        <w:t>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registration validity, or improvement valuation go to the SC on an expedited track; neither party may occupy or alter disputed land during pending resolution.</w:t>
      </w:r>
    </w:p>
    <w:p w14:paraId="7942C530" w14:textId="77777777" w:rsidR="00AF3D56" w:rsidRDefault="00000000">
      <w:pPr>
        <w:spacing w:before="200" w:after="60"/>
        <w:ind w:left="431"/>
      </w:pPr>
      <w:r>
        <w:rPr>
          <w:rFonts w:ascii="Courier New" w:eastAsia="Courier New" w:hAnsi="Courier New" w:cs="Courier New"/>
          <w:b/>
          <w:bCs/>
          <w:color w:val="2A2A2A"/>
          <w:sz w:val="18"/>
          <w:szCs w:val="18"/>
        </w:rPr>
        <w:t xml:space="preserve">§18.4  </w:t>
      </w:r>
      <w:r>
        <w:rPr>
          <w:rFonts w:ascii="Garamond" w:eastAsia="Garamond" w:hAnsi="Garamond" w:cs="Garamond"/>
          <w:i/>
          <w:iCs/>
          <w:color w:val="1B2A4A"/>
          <w:sz w:val="22"/>
          <w:szCs w:val="22"/>
        </w:rPr>
        <w:t>The National Trust</w:t>
      </w:r>
    </w:p>
    <w:p w14:paraId="1193B9A7" w14:textId="77777777" w:rsidR="00AF3D56" w:rsidRDefault="00000000">
      <w:pPr>
        <w:spacing w:after="120"/>
        <w:ind w:left="431"/>
        <w:jc w:val="both"/>
      </w:pPr>
      <w:r>
        <w:rPr>
          <w:rFonts w:ascii="Garamond" w:eastAsia="Garamond" w:hAnsi="Garamond" w:cs="Garamond"/>
          <w:color w:val="2A2A2A"/>
          <w:sz w:val="22"/>
          <w:szCs w:val="22"/>
        </w:rPr>
        <w:t>The National Trust holds all federal land not conveyed by statute to States, recognized indigenous nations, or private parties. Land disposal requires statute — the executive cannot convey or encumber public land unilaterally. National Trust designation requires a 2/3 vote of both chambers with host State consent; removal from Trust designation requires the same 2/3 legislative threshold plus a national referendum administered by the Elections Panel within 180 days of the legislative vote, achieving 60% of votes cast with a minimum 50% citizen participation, and must comply with existing treaties and other obligations established in this article.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14:paraId="6B45EED7" w14:textId="77777777" w:rsidR="00AF3D56" w:rsidRDefault="00000000">
      <w:pPr>
        <w:spacing w:before="200" w:after="60"/>
        <w:ind w:left="431"/>
      </w:pPr>
      <w:r>
        <w:rPr>
          <w:rFonts w:ascii="Courier New" w:eastAsia="Courier New" w:hAnsi="Courier New" w:cs="Courier New"/>
          <w:b/>
          <w:bCs/>
          <w:color w:val="2A2A2A"/>
          <w:sz w:val="18"/>
          <w:szCs w:val="18"/>
        </w:rPr>
        <w:t xml:space="preserve">§18.5  </w:t>
      </w:r>
      <w:r>
        <w:rPr>
          <w:rFonts w:ascii="Garamond" w:eastAsia="Garamond" w:hAnsi="Garamond" w:cs="Garamond"/>
          <w:i/>
          <w:iCs/>
          <w:color w:val="1B2A4A"/>
          <w:sz w:val="22"/>
          <w:szCs w:val="22"/>
        </w:rPr>
        <w:t>Federal Property in Territories</w:t>
      </w:r>
    </w:p>
    <w:p w14:paraId="74E8B0A1" w14:textId="77777777" w:rsidR="00AF3D56" w:rsidRDefault="00000000">
      <w:pPr>
        <w:spacing w:after="120"/>
        <w:ind w:left="431"/>
        <w:jc w:val="both"/>
      </w:pPr>
      <w:r>
        <w:rPr>
          <w:rFonts w:ascii="Garamond" w:eastAsia="Garamond" w:hAnsi="Garamond" w:cs="Garamond"/>
          <w:color w:val="2A2A2A"/>
          <w:sz w:val="22"/>
          <w:szCs w:val="22"/>
        </w:rPr>
        <w:lastRenderedPageBreak/>
        <w:t>Federal operational use rights in Territories follow the same framework as in States under §18.3 and §18.4. Where §18.4 requires host State legislative consent, that consent is not required for a Territory because Territories have no State legislature; instead,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14:paraId="1DCCFA5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XIX — Transition and Ratification</w:t>
      </w:r>
    </w:p>
    <w:p w14:paraId="5BAD8E96" w14:textId="77777777" w:rsidR="00AF3D56" w:rsidRDefault="00000000">
      <w:pPr>
        <w:spacing w:before="200" w:after="60"/>
        <w:ind w:left="431"/>
      </w:pPr>
      <w:r>
        <w:rPr>
          <w:rFonts w:ascii="Courier New" w:eastAsia="Courier New" w:hAnsi="Courier New" w:cs="Courier New"/>
          <w:b/>
          <w:bCs/>
          <w:color w:val="2A2A2A"/>
          <w:sz w:val="18"/>
          <w:szCs w:val="18"/>
        </w:rPr>
        <w:t xml:space="preserve">§19.1  </w:t>
      </w:r>
      <w:r>
        <w:rPr>
          <w:rFonts w:ascii="Garamond" w:eastAsia="Garamond" w:hAnsi="Garamond" w:cs="Garamond"/>
          <w:i/>
          <w:iCs/>
          <w:color w:val="1B2A4A"/>
          <w:sz w:val="22"/>
          <w:szCs w:val="22"/>
        </w:rPr>
        <w:t>Activation Threshold and Ratification</w:t>
      </w:r>
    </w:p>
    <w:p w14:paraId="2C43F14D" w14:textId="77777777" w:rsidR="00AF3D56" w:rsidRDefault="00000000">
      <w:pPr>
        <w:spacing w:after="120"/>
        <w:ind w:left="431"/>
        <w:jc w:val="both"/>
      </w:pPr>
      <w:r>
        <w:rPr>
          <w:rFonts w:ascii="Garamond" w:eastAsia="Garamond" w:hAnsi="Garamond" w:cs="Garamond"/>
          <w:color w:val="2A2A2A"/>
          <w:sz w:val="22"/>
          <w:szCs w:val="22"/>
        </w:rPr>
        <w:t>This constitution takes effect upon: (1) interim Elections Panel certification that the NVS is operational and meets §11.2; and (2) a national ratification vote achieving 60% of votes cast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 Where the Legislature fails to meet this deadline, the LM publishes a compliance finding to the NRS, and the LM's ongoing audit encompasses the unresolved relationship until the statute is passed.</w:t>
      </w:r>
    </w:p>
    <w:p w14:paraId="458CE486" w14:textId="77777777" w:rsidR="00AF3D56" w:rsidRDefault="00000000">
      <w:pPr>
        <w:spacing w:before="200" w:after="60"/>
        <w:ind w:left="431"/>
      </w:pPr>
      <w:r>
        <w:rPr>
          <w:rFonts w:ascii="Courier New" w:eastAsia="Courier New" w:hAnsi="Courier New" w:cs="Courier New"/>
          <w:b/>
          <w:bCs/>
          <w:color w:val="2A2A2A"/>
          <w:sz w:val="18"/>
          <w:szCs w:val="18"/>
        </w:rPr>
        <w:t xml:space="preserve">§19.2  </w:t>
      </w:r>
      <w:r>
        <w:rPr>
          <w:rFonts w:ascii="Garamond" w:eastAsia="Garamond" w:hAnsi="Garamond" w:cs="Garamond"/>
          <w:i/>
          <w:iCs/>
          <w:color w:val="1B2A4A"/>
          <w:sz w:val="22"/>
          <w:szCs w:val="22"/>
        </w:rPr>
        <w:t>Day Zero and Transition</w:t>
      </w:r>
    </w:p>
    <w:p w14:paraId="4927C272" w14:textId="77777777" w:rsidR="00AF3D56" w:rsidRDefault="00000000">
      <w:pPr>
        <w:spacing w:after="120"/>
        <w:ind w:left="431"/>
        <w:jc w:val="both"/>
      </w:pPr>
      <w:r>
        <w:rPr>
          <w:rFonts w:ascii="Garamond" w:eastAsia="Garamond" w:hAnsi="Garamond" w:cs="Garamond"/>
          <w:color w:val="2A2A2A"/>
          <w:sz w:val="22"/>
          <w:szCs w:val="22"/>
        </w:rPr>
        <w:t>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14:paraId="155B5A1F" w14:textId="77777777" w:rsidR="00AF3D56" w:rsidRDefault="00000000">
      <w:pPr>
        <w:spacing w:before="200" w:after="60"/>
        <w:ind w:left="431"/>
      </w:pPr>
      <w:r>
        <w:rPr>
          <w:rFonts w:ascii="Courier New" w:eastAsia="Courier New" w:hAnsi="Courier New" w:cs="Courier New"/>
          <w:b/>
          <w:bCs/>
          <w:color w:val="2A2A2A"/>
          <w:sz w:val="18"/>
          <w:szCs w:val="18"/>
        </w:rPr>
        <w:t xml:space="preserve">§19.3  </w:t>
      </w:r>
      <w:r>
        <w:rPr>
          <w:rFonts w:ascii="Garamond" w:eastAsia="Garamond" w:hAnsi="Garamond" w:cs="Garamond"/>
          <w:i/>
          <w:iCs/>
          <w:color w:val="1B2A4A"/>
          <w:sz w:val="22"/>
          <w:szCs w:val="22"/>
        </w:rPr>
        <w:t>Caretaker Status</w:t>
      </w:r>
    </w:p>
    <w:p w14:paraId="6C9D0E68" w14:textId="77777777" w:rsidR="00AF3D56" w:rsidRDefault="00000000">
      <w:pPr>
        <w:spacing w:after="120"/>
        <w:ind w:left="431"/>
        <w:jc w:val="both"/>
      </w:pPr>
      <w:r>
        <w:rPr>
          <w:rFonts w:ascii="Garamond" w:eastAsia="Garamond" w:hAnsi="Garamond" w:cs="Garamond"/>
          <w:color w:val="2A2A2A"/>
          <w:sz w:val="22"/>
          <w:szCs w:val="22"/>
        </w:rPr>
        <w:t>All existing government officials serve as caretakers during the Transition Window — restricted to maintaining existing services only; no new permanent legislation. Legislation enacted in violation of this restriction is void; the joint Monitor panel's supervision includes monitoring for such violations and publishing findings to the NRS; any Inhabitant may challenge such legislation before a court of competent jurisdiction.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14:paraId="603E9FFE" w14:textId="77777777" w:rsidR="00AF3D56" w:rsidRDefault="00000000">
      <w:pPr>
        <w:spacing w:before="200" w:after="60"/>
        <w:ind w:left="431"/>
      </w:pPr>
      <w:r>
        <w:rPr>
          <w:rFonts w:ascii="Courier New" w:eastAsia="Courier New" w:hAnsi="Courier New" w:cs="Courier New"/>
          <w:b/>
          <w:bCs/>
          <w:color w:val="2A2A2A"/>
          <w:sz w:val="18"/>
          <w:szCs w:val="18"/>
        </w:rPr>
        <w:t xml:space="preserve">§19.4  </w:t>
      </w:r>
      <w:r>
        <w:rPr>
          <w:rFonts w:ascii="Garamond" w:eastAsia="Garamond" w:hAnsi="Garamond" w:cs="Garamond"/>
          <w:i/>
          <w:iCs/>
          <w:color w:val="1B2A4A"/>
          <w:sz w:val="22"/>
          <w:szCs w:val="22"/>
        </w:rPr>
        <w:t>Pre-Constitutional Classified Documents</w:t>
      </w:r>
    </w:p>
    <w:p w14:paraId="5D8CC8FC" w14:textId="77777777" w:rsidR="00AF3D56" w:rsidRDefault="00000000">
      <w:pPr>
        <w:spacing w:after="120"/>
        <w:ind w:left="431"/>
        <w:jc w:val="both"/>
      </w:pPr>
      <w:r>
        <w:rPr>
          <w:rFonts w:ascii="Garamond" w:eastAsia="Garamond" w:hAnsi="Garamond" w:cs="Garamond"/>
          <w:color w:val="2A2A2A"/>
          <w:sz w:val="22"/>
          <w:szCs w:val="22"/>
        </w:rPr>
        <w:t>The Legislature must establish a Classification Review Commission within 90 days of Phase 4 activation. Where the Legislature fails to meet this deadline, the LM publishes a compliance finding to the NRS, and the LM's ongoing audit encompasses the unestablished Commission until it is created.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14:paraId="7D07531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§19.5  </w:t>
      </w:r>
      <w:r>
        <w:rPr>
          <w:rFonts w:ascii="Garamond" w:eastAsia="Garamond" w:hAnsi="Garamond" w:cs="Garamond"/>
          <w:i/>
          <w:iCs/>
          <w:color w:val="1B2A4A"/>
          <w:sz w:val="22"/>
          <w:szCs w:val="22"/>
        </w:rPr>
        <w:t>Pre-Existing Obligations</w:t>
      </w:r>
    </w:p>
    <w:p w14:paraId="1D0BC0F9" w14:textId="77777777" w:rsidR="00AF3D56" w:rsidRDefault="00000000">
      <w:pPr>
        <w:spacing w:after="120"/>
        <w:ind w:left="431"/>
        <w:jc w:val="both"/>
      </w:pPr>
      <w:r>
        <w:rPr>
          <w:rFonts w:ascii="Garamond" w:eastAsia="Garamond" w:hAnsi="Garamond" w:cs="Garamond"/>
          <w:color w:val="2A2A2A"/>
          <w:sz w:val="22"/>
          <w:szCs w:val="22"/>
        </w:rPr>
        <w:t>The Republic assumes the public debt obligations of its predecessor government as a constitutional matter — it does not inherit a clean slate. Active military operations of the prior government continue under existing authorization until the §2.2 military authorization framework can apply; the Legat Consul, once inaugurated, must assess each active operation against the authorized purposes under §14.1 and either link it to legislative authorization within 14 days or begin orderly cessation; operations not so linked within 60 days cease unless the Legislature grants a one-time authorization.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§1.19.a.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14:paraId="66F6D0AB" w14:textId="77777777" w:rsidR="00AF3D56" w:rsidRDefault="00000000">
      <w:pPr>
        <w:spacing w:before="200" w:after="60"/>
        <w:ind w:left="431"/>
      </w:pPr>
      <w:r>
        <w:rPr>
          <w:rFonts w:ascii="Courier New" w:eastAsia="Courier New" w:hAnsi="Courier New" w:cs="Courier New"/>
          <w:b/>
          <w:bCs/>
          <w:color w:val="2A2A2A"/>
          <w:sz w:val="18"/>
          <w:szCs w:val="18"/>
        </w:rPr>
        <w:t xml:space="preserve">§19.6  </w:t>
      </w:r>
      <w:r>
        <w:rPr>
          <w:rFonts w:ascii="Garamond" w:eastAsia="Garamond" w:hAnsi="Garamond" w:cs="Garamond"/>
          <w:i/>
          <w:iCs/>
          <w:color w:val="1B2A4A"/>
          <w:sz w:val="22"/>
          <w:szCs w:val="22"/>
        </w:rPr>
        <w:t>Transition Territories</w:t>
      </w:r>
    </w:p>
    <w:p w14:paraId="25B02383" w14:textId="77777777" w:rsidR="00AF3D56" w:rsidRDefault="00000000">
      <w:pPr>
        <w:spacing w:after="120"/>
        <w:ind w:left="431"/>
        <w:jc w:val="both"/>
      </w:pPr>
      <w:r>
        <w:rPr>
          <w:rFonts w:ascii="Garamond" w:eastAsia="Garamond" w:hAnsi="Garamond" w:cs="Garamond"/>
          <w:color w:val="2A2A2A"/>
          <w:sz w:val="22"/>
          <w:szCs w:val="22"/>
        </w:rPr>
        <w:t>Territories or subdivisions meeting the Statehood Audit by Phase 2 end may petition to enter as State or Territory. Those failing the Statehood Audit enter as Territory and may begin the Statehood Audit immediately. Any territory may choose Territory status by simple legislative vote regardless of whether it meets the Statehood Audit.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 Political entities that held recognized State or equivalent status immediately prior to ratification and choose to enter the Republic as States do so as full States from Day Zero for the purpose of constituting the Senate and seating their legislators. The annual Statehood Audit under §15.2 applies to all States from the first full audit cycle following Phase 4 activation; no founding status confers exemption from ongoing audit obligations or the consequences of audit failure. All other status determinations — Territory entry, Statehood qualification during the transition window, and post-founding pathways — follow §15.2.</w:t>
      </w:r>
    </w:p>
    <w:p w14:paraId="714F27F0" w14:textId="77777777" w:rsidR="00AF3D56" w:rsidRDefault="00000000">
      <w:pPr>
        <w:spacing w:before="200" w:after="60"/>
        <w:ind w:left="431"/>
      </w:pPr>
      <w:r>
        <w:rPr>
          <w:rFonts w:ascii="Courier New" w:eastAsia="Courier New" w:hAnsi="Courier New" w:cs="Courier New"/>
          <w:b/>
          <w:bCs/>
          <w:color w:val="2A2A2A"/>
          <w:sz w:val="18"/>
          <w:szCs w:val="18"/>
        </w:rPr>
        <w:t xml:space="preserve">§19.7  </w:t>
      </w:r>
      <w:r>
        <w:rPr>
          <w:rFonts w:ascii="Garamond" w:eastAsia="Garamond" w:hAnsi="Garamond" w:cs="Garamond"/>
          <w:i/>
          <w:iCs/>
          <w:color w:val="1B2A4A"/>
          <w:sz w:val="22"/>
          <w:szCs w:val="22"/>
        </w:rPr>
        <w:t>Transition Candidate Registers</w:t>
      </w:r>
    </w:p>
    <w:p w14:paraId="04BC09BE" w14:textId="77777777" w:rsidR="00AF3D56" w:rsidRDefault="00000000">
      <w:pPr>
        <w:spacing w:after="120"/>
        <w:ind w:left="431"/>
        <w:jc w:val="both"/>
      </w:pPr>
      <w:r>
        <w:rPr>
          <w:rFonts w:ascii="Garamond" w:eastAsia="Garamond" w:hAnsi="Garamond" w:cs="Garamond"/>
          <w:color w:val="2A2A2A"/>
          <w:sz w:val="22"/>
          <w:szCs w:val="22"/>
        </w:rPr>
        <w:t>The joint Monitor panel assembles the initial Candidate Registers for all constitutionally established positions before Phase 3 elections can occur. The panel performs the register-assembly and qualification review function that permanent Monitors will assume after Phase 4; the panel compiles the founding register of recognized indigenous nations under §16.1 and publishes it to the NRS before the close of Phase 1;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the MA Director within 90 days of Phase 4 activation. Where the Civic Consul fails to meet this deadline, the LM publishes a compliance finding to the NRS, and the LM's ongoing audit encompasses the unfilled nomination until it is made.</w:t>
      </w:r>
    </w:p>
    <w:p w14:paraId="3CCE728C" w14:textId="77777777" w:rsidR="00AF3D56" w:rsidRDefault="00000000">
      <w:pPr>
        <w:spacing w:before="200" w:after="60"/>
        <w:ind w:left="431"/>
      </w:pPr>
      <w:r>
        <w:rPr>
          <w:rFonts w:ascii="Courier New" w:eastAsia="Courier New" w:hAnsi="Courier New" w:cs="Courier New"/>
          <w:b/>
          <w:bCs/>
          <w:color w:val="2A2A2A"/>
          <w:sz w:val="18"/>
          <w:szCs w:val="18"/>
        </w:rPr>
        <w:t xml:space="preserve">§19.8  </w:t>
      </w:r>
      <w:r>
        <w:rPr>
          <w:rFonts w:ascii="Garamond" w:eastAsia="Garamond" w:hAnsi="Garamond" w:cs="Garamond"/>
          <w:i/>
          <w:iCs/>
          <w:color w:val="1B2A4A"/>
          <w:sz w:val="22"/>
          <w:szCs w:val="22"/>
        </w:rPr>
        <w:t>Transitional Accountability Mechanism</w:t>
      </w:r>
    </w:p>
    <w:p w14:paraId="570D4B5C" w14:textId="77777777" w:rsidR="00AF3D56" w:rsidRDefault="00000000">
      <w:pPr>
        <w:spacing w:after="120"/>
        <w:ind w:left="431"/>
        <w:jc w:val="both"/>
      </w:pPr>
      <w:r>
        <w:rPr>
          <w:rFonts w:ascii="Garamond" w:eastAsia="Garamond" w:hAnsi="Garamond" w:cs="Garamond"/>
          <w:color w:val="2A2A2A"/>
          <w:sz w:val="22"/>
          <w:szCs w:val="22"/>
        </w:rPr>
        <w:t>Where a ratifying polity’s predecessor government has documented constitutional violations, the Legislature may by statute passed by 2/3 of both chambers establish a Transitional Accountability Mechanism. Such a mechanism must be time-limited — not to exceed ten years in duration —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14:paraId="3410F4D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§19.9  </w:t>
      </w:r>
      <w:r>
        <w:rPr>
          <w:rFonts w:ascii="Garamond" w:eastAsia="Garamond" w:hAnsi="Garamond" w:cs="Garamond"/>
          <w:i/>
          <w:iCs/>
          <w:color w:val="1B2A4A"/>
          <w:sz w:val="22"/>
          <w:szCs w:val="22"/>
        </w:rPr>
        <w:t>Required Statutory Agency Establishment</w:t>
      </w:r>
    </w:p>
    <w:p w14:paraId="098DD5F1" w14:textId="77777777" w:rsidR="00AF3D56" w:rsidRDefault="00000000">
      <w:pPr>
        <w:spacing w:after="120"/>
        <w:ind w:left="431"/>
        <w:jc w:val="both"/>
      </w:pPr>
      <w:r>
        <w:rPr>
          <w:rFonts w:ascii="Garamond" w:eastAsia="Garamond" w:hAnsi="Garamond" w:cs="Garamond"/>
          <w:color w:val="2A2A2A"/>
          <w:sz w:val="22"/>
          <w:szCs w:val="22"/>
        </w:rPr>
        <w:t>Where this Constitution assigns a specific function to a statutory independent agency under §3.9, the Legislature must establish that agency within the following timeframes from Phase 4 activation: the civic proficiency assessment administrator under §5.1, within 180 days; the census agency under §3.2, within 18 months; the Monetary Authority under §12.1.a,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 Monitor in lieu of establishing the required agency. The Legislature must by statute establish the transition from any predecessor voting infrastructure to the constitutionally required NVS, ensuring no gap in democratic participation.</w:t>
      </w:r>
    </w:p>
    <w:p w14:paraId="21553F5E"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XX — Associated Communities</w:t>
      </w:r>
    </w:p>
    <w:p w14:paraId="5E6CB131" w14:textId="77777777" w:rsidR="00AF3D56" w:rsidRDefault="00000000">
      <w:pPr>
        <w:spacing w:before="200" w:after="60"/>
        <w:ind w:left="431"/>
      </w:pPr>
      <w:r>
        <w:rPr>
          <w:rFonts w:ascii="Courier New" w:eastAsia="Courier New" w:hAnsi="Courier New" w:cs="Courier New"/>
          <w:b/>
          <w:bCs/>
          <w:color w:val="2A2A2A"/>
          <w:sz w:val="18"/>
          <w:szCs w:val="18"/>
        </w:rPr>
        <w:t xml:space="preserve">§20.1  </w:t>
      </w:r>
      <w:r>
        <w:rPr>
          <w:rFonts w:ascii="Garamond" w:eastAsia="Garamond" w:hAnsi="Garamond" w:cs="Garamond"/>
          <w:i/>
          <w:iCs/>
          <w:color w:val="1B2A4A"/>
          <w:sz w:val="22"/>
          <w:szCs w:val="22"/>
        </w:rPr>
        <w:t>Associated Community Status</w:t>
      </w:r>
    </w:p>
    <w:p w14:paraId="0AD69FE9" w14:textId="77777777" w:rsidR="00AF3D56" w:rsidRDefault="00000000">
      <w:pPr>
        <w:spacing w:after="120"/>
        <w:ind w:left="431"/>
        <w:jc w:val="both"/>
      </w:pPr>
      <w:r>
        <w:rPr>
          <w:rFonts w:ascii="Garamond" w:eastAsia="Garamond" w:hAnsi="Garamond" w:cs="Garamond"/>
          <w:color w:val="2A2A2A"/>
          <w:sz w:val="22"/>
          <w:szCs w:val="22"/>
        </w:rPr>
        <w:t>Exclusively for sovereign entities — not a form of State or Territory status, not transitional, not incorporation. Available to recognized indigenous nations holding Associated Community status under §16.2, to sovereign nations that have achieved full sovereignty through the constitutional amendment process, and to independent nations outside the Republic seeking a defined relationship.</w:t>
      </w:r>
    </w:p>
    <w:p w14:paraId="66C171D4" w14:textId="77777777" w:rsidR="00AF3D56" w:rsidRDefault="00000000">
      <w:pPr>
        <w:spacing w:before="200" w:after="60"/>
        <w:ind w:left="431"/>
      </w:pPr>
      <w:r>
        <w:rPr>
          <w:rFonts w:ascii="Courier New" w:eastAsia="Courier New" w:hAnsi="Courier New" w:cs="Courier New"/>
          <w:b/>
          <w:bCs/>
          <w:color w:val="2A2A2A"/>
          <w:sz w:val="18"/>
          <w:szCs w:val="18"/>
        </w:rPr>
        <w:t xml:space="preserve">§20.2  </w:t>
      </w:r>
      <w:r>
        <w:rPr>
          <w:rFonts w:ascii="Garamond" w:eastAsia="Garamond" w:hAnsi="Garamond" w:cs="Garamond"/>
          <w:i/>
          <w:iCs/>
          <w:color w:val="1B2A4A"/>
          <w:sz w:val="22"/>
          <w:szCs w:val="22"/>
        </w:rPr>
        <w:t>Compact Terms and Equal Sovereignty</w:t>
      </w:r>
    </w:p>
    <w:p w14:paraId="2638B719" w14:textId="77777777" w:rsidR="00AF3D56" w:rsidRDefault="00000000">
      <w:pPr>
        <w:spacing w:after="120"/>
        <w:ind w:left="431"/>
        <w:jc w:val="both"/>
      </w:pPr>
      <w:r>
        <w:rPr>
          <w:rFonts w:ascii="Garamond" w:eastAsia="Garamond" w:hAnsi="Garamond" w:cs="Garamond"/>
          <w:color w:val="2A2A2A"/>
          <w:sz w:val="22"/>
          <w:szCs w:val="22"/>
        </w:rPr>
        <w:t>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14:paraId="68D4EED4" w14:textId="77777777" w:rsidR="00AF3D56" w:rsidRDefault="00000000">
      <w:pPr>
        <w:spacing w:before="200" w:after="60"/>
        <w:ind w:left="431"/>
      </w:pPr>
      <w:r>
        <w:rPr>
          <w:rFonts w:ascii="Courier New" w:eastAsia="Courier New" w:hAnsi="Courier New" w:cs="Courier New"/>
          <w:b/>
          <w:bCs/>
          <w:color w:val="2A2A2A"/>
          <w:sz w:val="18"/>
          <w:szCs w:val="18"/>
        </w:rPr>
        <w:t xml:space="preserve">§20.3  </w:t>
      </w:r>
      <w:r>
        <w:rPr>
          <w:rFonts w:ascii="Garamond" w:eastAsia="Garamond" w:hAnsi="Garamond" w:cs="Garamond"/>
          <w:i/>
          <w:iCs/>
          <w:color w:val="1B2A4A"/>
          <w:sz w:val="22"/>
          <w:szCs w:val="22"/>
        </w:rPr>
        <w:t>Compact Conditions and Compliance</w:t>
      </w:r>
    </w:p>
    <w:p w14:paraId="4BDB366C" w14:textId="77777777" w:rsidR="00AF3D56" w:rsidRDefault="00000000">
      <w:pPr>
        <w:spacing w:after="120"/>
        <w:ind w:left="431"/>
        <w:jc w:val="both"/>
      </w:pPr>
      <w:r>
        <w:rPr>
          <w:rFonts w:ascii="Garamond" w:eastAsia="Garamond" w:hAnsi="Garamond" w:cs="Garamond"/>
          <w:color w:val="2A2A2A"/>
          <w:sz w:val="22"/>
          <w:szCs w:val="22"/>
        </w:rPr>
        <w:t>No compact may be entered or ratified with any entity whose governance practices include, authorize, or systematically permit violations of any of the non-derogable rights established in §1.19.a, committed against any person within its jurisdiction. The JM conducts annual compliance reviews and publishes findings to the NRS. Where the JM finds systematic violations of §1.19.a rights or any party challenges a compact on those grounds, the compact is suspended pending review through the compact’s independent arbitration mechanism; the arbitration panel must issue a preliminary determination within 90 days of suspension; where no preliminary determination is issued within that period, the suspension lifts and the compact resumes pending the panel’s final determination. The arbitration panel may determine compact termination on confirmed violations without remediation within the period the compact specifies. Economic value of the compact relationship is not a factor in JM assessment or arbitration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Compact suspension means the Associated Community's observer delegate participation rights are suspended for the duration of the review; all other compact obligations of both parties continue in effect pending the arbitration panel's final determination.</w:t>
      </w:r>
    </w:p>
    <w:p w14:paraId="33C3AD4B" w14:textId="77777777" w:rsidR="00AF3D56" w:rsidRDefault="00000000">
      <w:pPr>
        <w:spacing w:before="200" w:after="60"/>
        <w:ind w:left="431"/>
      </w:pPr>
      <w:r>
        <w:rPr>
          <w:rFonts w:ascii="Courier New" w:eastAsia="Courier New" w:hAnsi="Courier New" w:cs="Courier New"/>
          <w:b/>
          <w:bCs/>
          <w:color w:val="2A2A2A"/>
          <w:sz w:val="18"/>
          <w:szCs w:val="18"/>
        </w:rPr>
        <w:t xml:space="preserve">§20.4  </w:t>
      </w:r>
      <w:r>
        <w:rPr>
          <w:rFonts w:ascii="Garamond" w:eastAsia="Garamond" w:hAnsi="Garamond" w:cs="Garamond"/>
          <w:i/>
          <w:iCs/>
          <w:color w:val="1B2A4A"/>
          <w:sz w:val="22"/>
          <w:szCs w:val="22"/>
        </w:rPr>
        <w:t>Sovereign Mobility</w:t>
      </w:r>
    </w:p>
    <w:p w14:paraId="74DBEAD6" w14:textId="77777777" w:rsidR="00AF3D56" w:rsidRDefault="00000000">
      <w:pPr>
        <w:spacing w:after="120"/>
        <w:ind w:left="431"/>
        <w:jc w:val="both"/>
      </w:pPr>
      <w:r>
        <w:rPr>
          <w:rFonts w:ascii="Garamond" w:eastAsia="Garamond" w:hAnsi="Garamond" w:cs="Garamond"/>
          <w:color w:val="2A2A2A"/>
          <w:sz w:val="22"/>
          <w:szCs w:val="22"/>
        </w:rPr>
        <w:t>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14:paraId="33CD16B8" w14:textId="77777777" w:rsidR="00AF3D56" w:rsidRDefault="00000000">
      <w:pPr>
        <w:spacing w:before="200" w:after="60"/>
        <w:ind w:left="431"/>
      </w:pPr>
      <w:r>
        <w:rPr>
          <w:rFonts w:ascii="Courier New" w:eastAsia="Courier New" w:hAnsi="Courier New" w:cs="Courier New"/>
          <w:b/>
          <w:bCs/>
          <w:color w:val="2A2A2A"/>
          <w:sz w:val="18"/>
          <w:szCs w:val="18"/>
        </w:rPr>
        <w:t xml:space="preserve">§20.5  </w:t>
      </w:r>
      <w:r>
        <w:rPr>
          <w:rFonts w:ascii="Garamond" w:eastAsia="Garamond" w:hAnsi="Garamond" w:cs="Garamond"/>
          <w:i/>
          <w:iCs/>
          <w:color w:val="1B2A4A"/>
          <w:sz w:val="22"/>
          <w:szCs w:val="22"/>
        </w:rPr>
        <w:t>Reciprocal Obligations and Review</w:t>
      </w:r>
    </w:p>
    <w:p w14:paraId="5DED57CD" w14:textId="77777777" w:rsidR="00AF3D56" w:rsidRDefault="00000000">
      <w:pPr>
        <w:spacing w:after="120"/>
        <w:ind w:left="431"/>
        <w:jc w:val="both"/>
      </w:pPr>
      <w:r>
        <w:rPr>
          <w:rFonts w:ascii="Garamond" w:eastAsia="Garamond" w:hAnsi="Garamond" w:cs="Garamond"/>
          <w:color w:val="2A2A2A"/>
          <w:sz w:val="22"/>
          <w:szCs w:val="22"/>
        </w:rPr>
        <w:t xml:space="preserve">The compact must specify with particularity the reciprocal obligations of both parties and the review mechanism. The Associated Community holds obligations to the Republic as well as rights from it. Review </w:t>
        <w:lastRenderedPageBreak/>
        <w:t>must be scheduled at regular intervals defined in the compact; either party may request a review outside the schedule by providing written notice to the NRS.</w:t>
      </w:r>
    </w:p>
    <w:p w14:paraId="754E2DD5" w14:textId="77777777" w:rsidR="00AF3D56" w:rsidRDefault="00000000">
      <w:pPr>
        <w:spacing w:before="200" w:after="60"/>
        <w:ind w:left="431"/>
      </w:pPr>
      <w:r>
        <w:rPr>
          <w:rFonts w:ascii="Courier New" w:eastAsia="Courier New" w:hAnsi="Courier New" w:cs="Courier New"/>
          <w:b/>
          <w:bCs/>
          <w:color w:val="2A2A2A"/>
          <w:sz w:val="18"/>
          <w:szCs w:val="18"/>
        </w:rPr>
        <w:t xml:space="preserve">§20.6  </w:t>
      </w:r>
      <w:r>
        <w:rPr>
          <w:rFonts w:ascii="Garamond" w:eastAsia="Garamond" w:hAnsi="Garamond" w:cs="Garamond"/>
          <w:i/>
          <w:iCs/>
          <w:color w:val="1B2A4A"/>
          <w:sz w:val="22"/>
          <w:szCs w:val="22"/>
        </w:rPr>
        <w:t>Compact Ratification</w:t>
      </w:r>
    </w:p>
    <w:p w14:paraId="534146D4" w14:textId="77777777" w:rsidR="00AF3D56" w:rsidRDefault="00000000">
      <w:pPr>
        <w:spacing w:after="120"/>
        <w:ind w:left="431"/>
        <w:jc w:val="both"/>
      </w:pPr>
      <w:r>
        <w:rPr>
          <w:rFonts w:ascii="Garamond" w:eastAsia="Garamond" w:hAnsi="Garamond" w:cs="Garamond"/>
          <w:color w:val="2A2A2A"/>
          <w:sz w:val="22"/>
          <w:szCs w:val="22"/>
        </w:rPr>
        <w:t>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14:paraId="0A471600" w14:textId="77777777" w:rsidR="00AF3D56" w:rsidRDefault="00000000">
      <w:pPr>
        <w:spacing w:before="200" w:after="60"/>
        <w:ind w:left="431"/>
      </w:pPr>
      <w:r>
        <w:rPr>
          <w:rFonts w:ascii="Courier New" w:eastAsia="Courier New" w:hAnsi="Courier New" w:cs="Courier New"/>
          <w:b/>
          <w:bCs/>
          <w:color w:val="2A2A2A"/>
          <w:sz w:val="18"/>
          <w:szCs w:val="18"/>
        </w:rPr>
        <w:t xml:space="preserve">§20.7  </w:t>
      </w:r>
      <w:r>
        <w:rPr>
          <w:rFonts w:ascii="Garamond" w:eastAsia="Garamond" w:hAnsi="Garamond" w:cs="Garamond"/>
          <w:i/>
          <w:iCs/>
          <w:color w:val="1B2A4A"/>
          <w:sz w:val="22"/>
          <w:szCs w:val="22"/>
        </w:rPr>
        <w:t>Compact Continuity</w:t>
      </w:r>
    </w:p>
    <w:p w14:paraId="6423AF73" w14:textId="77777777" w:rsidR="00AF3D56" w:rsidRDefault="00000000">
      <w:pPr>
        <w:spacing w:after="120"/>
        <w:ind w:left="431"/>
        <w:jc w:val="both"/>
      </w:pPr>
      <w:r>
        <w:rPr>
          <w:rFonts w:ascii="Garamond" w:eastAsia="Garamond" w:hAnsi="Garamond" w:cs="Garamond"/>
          <w:color w:val="2A2A2A"/>
          <w:sz w:val="22"/>
          <w:szCs w:val="22"/>
        </w:rPr>
        <w:t>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rsidR="00AF3D5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0C42F1"/>
    <w:multiLevelType w:val="hybridMultilevel"/>
    <w:tmpl w:val="C396EB00"/>
    <w:lvl w:ilvl="0" w:tplc="E8E0725A">
      <w:start w:val="1"/>
      <w:numFmt w:val="bullet"/>
      <w:lvlText w:val="●"/>
      <w:lvlJc w:val="left"/>
      <w:pPr>
        <w:ind w:left="720" w:hanging="360"/>
      </w:pPr>
    </w:lvl>
    <w:lvl w:ilvl="1" w:tplc="597C5D9C">
      <w:start w:val="1"/>
      <w:numFmt w:val="bullet"/>
      <w:lvlText w:val="○"/>
      <w:lvlJc w:val="left"/>
      <w:pPr>
        <w:ind w:left="1440" w:hanging="360"/>
      </w:pPr>
    </w:lvl>
    <w:lvl w:ilvl="2" w:tplc="A88A5B24">
      <w:start w:val="1"/>
      <w:numFmt w:val="bullet"/>
      <w:lvlText w:val="■"/>
      <w:lvlJc w:val="left"/>
      <w:pPr>
        <w:ind w:left="2160" w:hanging="360"/>
      </w:pPr>
    </w:lvl>
    <w:lvl w:ilvl="3" w:tplc="060C78B4">
      <w:start w:val="1"/>
      <w:numFmt w:val="bullet"/>
      <w:lvlText w:val="●"/>
      <w:lvlJc w:val="left"/>
      <w:pPr>
        <w:ind w:left="2880" w:hanging="360"/>
      </w:pPr>
    </w:lvl>
    <w:lvl w:ilvl="4" w:tplc="01B4AB26">
      <w:start w:val="1"/>
      <w:numFmt w:val="bullet"/>
      <w:lvlText w:val="○"/>
      <w:lvlJc w:val="left"/>
      <w:pPr>
        <w:ind w:left="3600" w:hanging="360"/>
      </w:pPr>
    </w:lvl>
    <w:lvl w:ilvl="5" w:tplc="5CFA4890">
      <w:start w:val="1"/>
      <w:numFmt w:val="bullet"/>
      <w:lvlText w:val="■"/>
      <w:lvlJc w:val="left"/>
      <w:pPr>
        <w:ind w:left="4320" w:hanging="360"/>
      </w:pPr>
    </w:lvl>
    <w:lvl w:ilvl="6" w:tplc="25DA88DC">
      <w:start w:val="1"/>
      <w:numFmt w:val="bullet"/>
      <w:lvlText w:val="●"/>
      <w:lvlJc w:val="left"/>
      <w:pPr>
        <w:ind w:left="5040" w:hanging="360"/>
      </w:pPr>
    </w:lvl>
    <w:lvl w:ilvl="7" w:tplc="DD8868E6">
      <w:start w:val="1"/>
      <w:numFmt w:val="bullet"/>
      <w:lvlText w:val="●"/>
      <w:lvlJc w:val="left"/>
      <w:pPr>
        <w:ind w:left="5760" w:hanging="360"/>
      </w:pPr>
    </w:lvl>
    <w:lvl w:ilvl="8" w:tplc="AFEC6070">
      <w:start w:val="1"/>
      <w:numFmt w:val="bullet"/>
      <w:lvlText w:val="●"/>
      <w:lvlJc w:val="left"/>
      <w:pPr>
        <w:ind w:left="6480" w:hanging="360"/>
      </w:pPr>
    </w:lvl>
  </w:abstractNum>
  <w:num w:numId="1" w16cid:durableId="194399557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3D56"/>
    <w:rsid w:val="00123DDD"/>
    <w:rsid w:val="005F487F"/>
    <w:rsid w:val="0088569E"/>
    <w:rsid w:val="00940D3B"/>
    <w:rsid w:val="00AD76A6"/>
    <w:rsid w:val="00AF3D56"/>
    <w:rsid w:val="00CD141D"/>
    <w:rsid w:val="00F645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7299269"/>
  <w15:docId w15:val="{E08E9D2D-9B22-1A48-A6CD-56DD032E4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52</Pages>
  <Words>24570</Words>
  <Characters>140050</Characters>
  <Application>Microsoft Office Word</Application>
  <DocSecurity>0</DocSecurity>
  <Lines>1167</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John Reickert</cp:lastModifiedBy>
  <cp:revision>4</cp:revision>
  <dcterms:created xsi:type="dcterms:W3CDTF">2026-07-06T19:02:00Z</dcterms:created>
  <dcterms:modified xsi:type="dcterms:W3CDTF">2026-07-07T12:40:00Z</dcterms:modified>
</cp:coreProperties>
</file>