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2.7 Constitutional Non-Compliance Reporting: </w:t>
      </w:r>
      <w:r>
        <w:rPr>
          <w:rFonts w:ascii="Times New Roman" w:cs="Times New Roman" w:eastAsia="Times New Roman" w:hAnsi="Times New Roman"/>
          <w:color w:val="000000"/>
          <w:sz w:val="22"/>
          <w:szCs w:val="22"/>
        </w:rPr>
        <w:t xml:space="preserve">The Inspectorates publish findings of constitutional non-compliance to the National Record System. These findings are factually grounded, publicly accessible, and do not constitute legal determinations — only courts may make legal conclusions from Inspectorate findings. Constitutional violations are addressed through the ordinary courts and through the political accountability mechanisms established by this Constitution: elections, recall, the constructive no-confidence mechanism, chamber expulsion under §3.6, and criminal prosecution where conduct is criminal. No automatic consequence flows from an Inspectorate finding. The permanent public record on the National Record System is the primary accountability instrument.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2.7 — Constitutional Violations and Automatic Consequences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2.9.a Judicial Review of Grants: </w:t>
      </w:r>
      <w:r>
        <w:rPr>
          <w:rFonts w:ascii="Times New Roman" w:cs="Times New Roman" w:eastAsia="Times New Roman" w:hAnsi="Times New Roman"/>
          <w:color w:val="000000"/>
          <w:sz w:val="22"/>
          <w:szCs w:val="22"/>
        </w:rPr>
        <w:t xml:space="preserve">Any clemency grant may be challenged before the Supreme Court within 30 days by any person with a concrete injury, on grounds of: violation of the conduct-exclusion grounds; violation of the co-conspirator or official-misconduct exclusion; or violation of §1.8 equal protection. The Court reviews constitutional compliance only — not the merits of the decision. A grant found unconstitutional is void and the original sentence reinstated.</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runs concurrently with any judicial review period under §2.9.a.</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may be removed through two political tracks independent of Inspectorate reporting and political accountability mechanisms.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§12.5.a.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exclusively to executive and judicial officers of the Republic. Legislative members of the House and Senate are not subject to this section — their removal is governed exclusively by §3.6 as the specific provision for legislative self-governance, and by the Inspectorate reporting provisions of §2.7.</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Supreme Court Nomination: </w:t>
      </w:r>
      <w:r>
        <w:rPr>
          <w:rFonts w:ascii="Times New Roman" w:cs="Times New Roman" w:eastAsia="Times New Roman" w:hAnsi="Times New Roman"/>
          <w:color w:val="000000"/>
          <w:sz w:val="22"/>
          <w:szCs w:val="22"/>
        </w:rPr>
        <w:t xml:space="preserve">Where the PM fails to nominate within 90 days and the Supreme Court nominates directly from the Qualified Jurist Registry, the Judicial Inspectorate's existing vetting of that Registry record under §8.4.a serves as the equivalent disclosure review for that nomination — no separate EI review is required for SC-originated nominations. If the PM fails to nominate within 90 days of a vacancy, the Supreme Court nominates directly from the Qualified Jurist Registry;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three-track removal system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The Triad: </w:t>
      </w:r>
      <w:r>
        <w:rPr>
          <w:rFonts w:ascii="Times New Roman" w:cs="Times New Roman" w:eastAsia="Times New Roman" w:hAnsi="Times New Roman"/>
          <w:color w:val="000000"/>
          <w:sz w:val="22"/>
          <w:szCs w:val="22"/>
        </w:rPr>
        <w:t xml:space="preserve">Each open Supreme Court seat is filled through a three-party nomination process. The three Triad nominators are the Senate, the Prime Minister, and the President, each submitting one candidate per vacancy from the Qualified Jurist Registry maintained by the Judicial Inspectorate. All three nominations must be submitted before the citizen election proceeds. This three-party structure — Senate, PM, and President — is referred to as the Triad throughout this Constitution. The Senate replaces the House as a Triad nominator because the Senate's closer institutional relationship with the President — through treaty ratification, judicial confirmations, and constitutional violation trials — produces genuinely distinct institutional perspective from both the PM and the President, while the House's nomination would effectively double the PM's voice given the PM's confidence relationship with the House.</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Triad Nomination: </w:t>
      </w:r>
      <w:r>
        <w:rPr>
          <w:rFonts w:ascii="Times New Roman" w:cs="Times New Roman" w:eastAsia="Times New Roman" w:hAnsi="Times New Roman"/>
          <w:color w:val="000000"/>
          <w:sz w:val="22"/>
          <w:szCs w:val="22"/>
        </w:rPr>
        <w:t xml:space="preserve">The Senate, the PM, and the President each nominate one candidate per open seat from the Qualified Jurist Registry. The Judicial Inspectorate maintains the Registry and certifies that each nominee meets the eligibility criteria of §8.4.a before the public election proceeds. All three nominations must be submitted and certified before any public election is scheduled. A Triad nominator who fails to submit a nomination within the Legislature-defined statutory period commits a constitutional dereliction, published to the National Record System; the remaining two nominees proceed to the public election without the missing nomination. No separate Senate eligibility confirmation vote is required — the Judicial Inspectorate's Registry certification is the sole eligibility filter. The Electoral Commission administers all elections including those for Supreme Court seats and may not exclude any Triad-nominated and Registry-certified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Mid-Term Vacancy Process: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President and PM each nominate one candidate from the Qualified Jurist Registry within a Legislature-defined period. The Senate has 90 days from the date of vacancy to nominate a third candidate from the Registry. If the Senate nominates within 90 days, all three candidates proceed to the public special election. If the Senate fails to nominate within 90 days, the President's and PM's two nominees proceed to a head-to-head public special election without a Senate nominee — the Senate's failure to nominate is published to the National Record System and is the Senate's constitutional consequence. The replacement justice serves only the remainder of the original term, not a new 12-year term. All other Triad nomination and Registry certification requirements of §4.2.a apply to mid-term vacancies.</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Vetting: </w:t>
      </w:r>
      <w:r>
        <w:rPr>
          <w:rFonts w:ascii="Times New Roman" w:cs="Times New Roman" w:eastAsia="Times New Roman" w:hAnsi="Times New Roman"/>
          <w:color w:val="000000"/>
          <w:sz w:val="22"/>
          <w:szCs w:val="22"/>
        </w:rPr>
        <w:t xml:space="preserve">Before any Triad nomination may proceed to the public election, the Judicial Inspectorate vets each nominee against the Qualified Jurist Registry criteria. The nominee's Registry registration record — submitted at the time of Registry admission — serves as the disclosure record for vetting purposes. The JI does not generate a new independent assessment; it confirms that the nominee remains in the Registry, that no disqualifying change in circumstances has occurred since Registry admission, and that the specific eligibility criteria continue to be met. A nominee who fails vetting may not proceed to the public election. The nominating Triad member whose nominee fails vetting must submit a replacement nominee within a Legislature-defined statutory period. Any nominee may petition the Supreme Court within 14 days of a vetting determination to challenge it on technical grounds; the nominee continues to be listed as pending during the review period. All vetting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Judicial Inspectorate vetting, all certified nominees are placed on the ballot for a national direct election by Ranked Choice Voting on the next National Election Day, or by special election within 90 days for mid-term vacancies under §4.2.b. The winner is the nominee who achieves a national RCV majority. The Electoral Commission administers the election and certifies the result to the National Record System. No institution may remove a certified nominee from the ballot after JI vetting is complete.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4.2.f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4.2.g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Qualified Jurist Registry;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The Qualified Jurist Pool: </w:t>
      </w:r>
      <w:r>
        <w:rPr>
          <w:rFonts w:ascii="Times New Roman" w:cs="Times New Roman" w:eastAsia="Times New Roman" w:hAnsi="Times New Roman"/>
          <w:color w:val="000000"/>
          <w:sz w:val="22"/>
          <w:szCs w:val="22"/>
        </w:rPr>
        <w:t xml:space="preserve">Maintained by the outgoing Judicial IG. A candidate seeking Registry inclusion must submit a registration record to the Judicial Inspectorate. The record must include professional background, credentials in constitutional law, financial disclosures, and the candidate's complete prior government position history. The JI reviews the submitted record for factual accuracy, applies the Registry criteria — knowledge of constitutional law, no government position in the prior 10 years, no financial conflicts of interest, no prior disqualifying conduct — and publishes the record together with its recommendation to the National Record System. These criteria are fixed and may only be altered by constitutional amendment. The existing appeals process under §8.9.d applies to any Registry exclusion determination. Any citizen who identifies a discrepancy in a published registration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Republic provides standardized housing for officials in session — no luxury stipends. All officials use the same healthcare, retirement, and public infrastructure as the citizens they serve. Compensation is defined by House statute under §10.6. 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Authorization Tiers</w:t>
      </w:r>
    </w:p>
    <w:p>
      <w:pPr>
        <w:spacing w:after="60" w:before="60" w:line="280" w:lineRule="auto"/>
        <w:jc w:val="both"/>
      </w:pPr>
      <w:r>
        <w:rPr>
          <w:rFonts w:ascii="Times New Roman" w:cs="Times New Roman" w:eastAsia="Times New Roman" w:hAnsi="Times New Roman"/>
          <w:color w:val="000000"/>
          <w:sz w:val="22"/>
          <w:szCs w:val="22"/>
        </w:rPr>
        <w:t xml:space="preserve">All military operations are authorized under one of three tiers as defined in §2.1.a through §2.1.c. This section governs the Legislative Declaration of Defense — Tier 3, the highest level of military authorization, requiring a 2/3 majority of both chambers and used for operations extending beyond 30 days — and its duration, renewal, and limitations.</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A Legislative Declaration of Defense — passed by a 2/3 concurrent majority of both chambers — authorizes extended military operations and triggers the Emergency Defense Allocation. The Declaration must be re-voted every 180 days. Failure to re-authorize automatically terminates the operation and the allocation.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Five-Year Maximum: </w:t>
      </w:r>
      <w:r>
        <w:rPr>
          <w:rFonts w:ascii="Times New Roman" w:cs="Times New Roman" w:eastAsia="Times New Roman" w:hAnsi="Times New Roman"/>
          <w:color w:val="000000"/>
          <w:sz w:val="22"/>
          <w:szCs w:val="22"/>
        </w:rPr>
        <w:t xml:space="preserve">A Legislative Declaration of Defense may be renewed for a maximum of 10 consecutive 180-day periods — five years total — without a mandatory cessation. After five years of continuous Declaration, a 90-day full cessation is required before a new Declaration may be issued. During cessation, all emergency powers revert to normal constitutional operation. Tier 1 defensive authority remains available during cessation if a genuine immediate threat arises.</w:t>
      </w:r>
    </w:p>
    <w:p>
      <w:pPr>
        <w:spacing w:after="60" w:before="60" w:line="280" w:lineRule="auto"/>
        <w:jc w:val="both"/>
      </w:pPr>
      <w:r>
        <w:rPr>
          <w:rFonts w:ascii="Times New Roman" w:cs="Times New Roman" w:eastAsia="Times New Roman" w:hAnsi="Times New Roman"/>
          <w:b/>
          <w:bCs/>
          <w:color w:val="1B2A4A"/>
          <w:sz w:val="22"/>
          <w:szCs w:val="22"/>
        </w:rPr>
        <w:t xml:space="preserve">12.2.c Successive Declaration Standard: </w:t>
      </w:r>
      <w:r>
        <w:rPr>
          <w:rFonts w:ascii="Times New Roman" w:cs="Times New Roman" w:eastAsia="Times New Roman" w:hAnsi="Times New Roman"/>
          <w:color w:val="000000"/>
          <w:sz w:val="22"/>
          <w:szCs w:val="22"/>
        </w:rPr>
        <w:t xml:space="preserve">A new Legislative Declaration of Defense issued within 12 months of a mandatory cessation must be based on a materially different threat from that which justified the prior Declaration — meaning a distinct adversary, a different geographic theater, or a qualitatively different form of attack, not a resumption of the same conflict under a different pretext. The Legislative Inspectorate reviews any such Declaration within 15 days of passage and publishes a factual finding on whether the stated threat meets this standard. A finding that the threat does not meet the standard is published to the NRS and transmitted to the Legislature standing oversight committees; the Legislature may initiate proceedings within 60 days. This provision does not prevent genuine re-declarations where circumstances have materially changed.</w:t>
      </w:r>
    </w:p>
    <w:p>
      <w:pPr>
        <w:spacing w:after="60" w:before="60" w:line="280" w:lineRule="auto"/>
        <w:jc w:val="both"/>
      </w:pPr>
      <w:r>
        <w:rPr>
          <w:rFonts w:ascii="Times New Roman" w:cs="Times New Roman" w:eastAsia="Times New Roman" w:hAnsi="Times New Roman"/>
          <w:b/>
          <w:bCs/>
          <w:color w:val="1B2A4A"/>
          <w:sz w:val="22"/>
          <w:szCs w:val="22"/>
        </w:rPr>
        <w:t xml:space="preserve">12.2.d Senate Armed Services Committee: </w:t>
      </w:r>
      <w:r>
        <w:rPr>
          <w:rFonts w:ascii="Times New Roman" w:cs="Times New Roman" w:eastAsia="Times New Roman" w:hAnsi="Times New Roman"/>
          <w:color w:val="000000"/>
          <w:sz w:val="22"/>
          <w:szCs w:val="22"/>
        </w:rPr>
        <w:t xml:space="preserve">The Senate Armed Services Committee exercises the Tier 2 military authorization function of §2.1.b. Its composition and procedures are defined by Senate statute, subject to the following constitutional minimums: the Committee must include both majority and minority Senate representation; its composition may not be altered during any active Tier 2 or Tier 3 military authorization period; and it must be capable of convening within 48 hours at any time. Committee members hold their positions for the duration of their Senate terms. Authorization decisions are published to the National Record System within 24 hours of the vote. Where the Senate Speaker or other constitutional successor assumes presidential defense functions under §2.6.a, the Senate Armed Services Committee may review but may not unilaterally pause, modify, or terminate ongoing operations already authorized by a Legislative Declaration without a new Senate vote meeting the threshold that authorized the original Declaration. This provision protects the operational continuity of constitutionally authorized military commitments during presidential succession events. Where two or more persons simultaneously claim presidential authority and the Supreme Court has issued a ruling identifying the constitutional President, all military commands must recognize the Court-identified President as the lawful Commander-in-Chief within 6 hours of the ruling's publication to the National Record System. Failure to transfer military command recognition within 6 hours of a Supreme Court ruling on presidential succession constitutes insubordination under military law and a constitutional violation for any commissioned officer who issues or follows orders from the non-Court-identified claimant after that 6-hour period.</w:t>
      </w:r>
    </w:p>
    <w:p>
      <w:pPr>
        <w:spacing w:after="60" w:before="60" w:line="280" w:lineRule="auto"/>
        <w:jc w:val="both"/>
      </w:pPr>
      <w:r>
        <w:rPr>
          <w:rFonts w:ascii="Times New Roman" w:cs="Times New Roman" w:eastAsia="Times New Roman" w:hAnsi="Times New Roman"/>
          <w:b/>
          <w:bCs/>
          <w:color w:val="1B2A4A"/>
          <w:sz w:val="22"/>
          <w:szCs w:val="22"/>
        </w:rPr>
        <w:t xml:space="preserve">12.2.e Military Authority During Presidential Succession Vacuum: </w:t>
      </w:r>
      <w:r>
        <w:rPr>
          <w:rFonts w:ascii="Times New Roman" w:cs="Times New Roman" w:eastAsia="Times New Roman" w:hAnsi="Times New Roman"/>
          <w:color w:val="000000"/>
          <w:sz w:val="22"/>
          <w:szCs w:val="22"/>
        </w:rPr>
        <w:t xml:space="preserve">Where the presidential succession line under §2.6.a is fully exhausted and no living constitutional officer has presidential authority, the Chairman of the Joint Chiefs of Staff is constitutionally authorized to continue military operations already underway at the precise moment the succession vacuum begins, and to issue orders strictly necessary to protect Republic forces from active, immediate attack — meaning return fire and immediate defensive maneuvering only. The Chairman may not initiate, reposition, or escalate beyond ongoing operations. All orders issued under this provision are published to the National Record System within one hour of issuance and are subject to immediate Supreme Court review on petition. This authority terminates after 14 days. During this period, the Chairman may not initiate offensive operations, commit forces to new theaters, or conduct foreign diplomatic communications constituting treaty obligations. All actions taken under this provision are published to the National Record System as they occur and are subject to full legislative review upon reconstitution of civilian authority. This authority terminates immediately and automatically upon any constitutional successor assuming presidential authority under §2.6.a or by expedited §2.8 Senate emergency resolution.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color w:val="000000"/>
          <w:sz w:val="22"/>
          <w:szCs w:val="22"/>
        </w:rPr>
        <w:t xml:space="preserve">All domestic intelligence operations against Republic citizens are permanently prohibited. Any such order is reported to the National Record System by the relevant Inspectorate against the President and Director of Intelligence, triggering immediate suspension and a Senate trial within a period the Legislature defines by statute, not to exceed 7 days.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which must be fulfilled through constitutional means.</w:t>
      </w:r>
    </w:p>
    <w:p>
      <w:pPr>
        <w:spacing w:after="60" w:before="60" w:line="280" w:lineRule="auto"/>
        <w:jc w:val="both"/>
      </w:pPr>
      <w:r>
        <w:rPr>
          <w:rFonts w:ascii="Times New Roman" w:cs="Times New Roman" w:eastAsia="Times New Roman" w:hAnsi="Times New Roman"/>
          <w:b/>
          <w:bCs/>
          <w:color w:val="1B2A4A"/>
          <w:sz w:val="22"/>
          <w:szCs w:val="22"/>
        </w:rPr>
        <w:t xml:space="preserve">12.5.a Treaty Emergency Certification: </w:t>
      </w:r>
      <w:r>
        <w:rPr>
          <w:rFonts w:ascii="Times New Roman" w:cs="Times New Roman" w:eastAsia="Times New Roman" w:hAnsi="Times New Roman"/>
          <w:color w:val="000000"/>
          <w:sz w:val="22"/>
          <w:szCs w:val="22"/>
        </w:rPr>
        <w:t xml:space="preserve">When a ratified mutual defense treaty is triggered, the Prime Minister may issue a Treaty Emergency Certification of funds for treaty-obligated military operations, valid for 30 days, without prior parliamentary appropriation. This is available only where: a ratified mutual defense treaty is triggered; the President has invoked at least Tier 1 authority; and the Legislature is being convened for an emergency session. The PM must notify both chambers in writing within 12 hours of issuing the Certification. Within 14 days of issuance, the Legislative and Executive Inspectorates jointly review and publish a factual finding on whether the triggering incident is an attack on a treaty ally under the terms of the treaty. This finding is advisory and does not invalidate the Certification, but is published before the Legislature votes on ratification so the Legislature acts with full public information.</w:t>
      </w:r>
    </w:p>
    <w:p>
      <w:pPr>
        <w:spacing w:after="60" w:before="60" w:line="280" w:lineRule="auto"/>
        <w:jc w:val="both"/>
      </w:pPr>
      <w:r>
        <w:rPr>
          <w:rFonts w:ascii="Times New Roman" w:cs="Times New Roman" w:eastAsia="Times New Roman" w:hAnsi="Times New Roman"/>
          <w:b/>
          <w:bCs/>
          <w:color w:val="1B2A4A"/>
          <w:sz w:val="22"/>
          <w:szCs w:val="22"/>
        </w:rPr>
        <w:t xml:space="preserve">12.5.b Legislative Ratification: </w:t>
      </w:r>
      <w:r>
        <w:rPr>
          <w:rFonts w:ascii="Times New Roman" w:cs="Times New Roman" w:eastAsia="Times New Roman" w:hAnsi="Times New Roman"/>
          <w:color w:val="000000"/>
          <w:sz w:val="22"/>
          <w:szCs w:val="22"/>
        </w:rPr>
        <w:t xml:space="preserve">the Legislature must ratify the Treaty Emergency Certification by a simple majority of both chambers within a period the Legislature defines by statute, or the Certification expires. the Legislature may not schedule a ratification vote until the LI/EI joint review under §12.5.a has been published, or until the statutory waiting period has elapsed without publication. the Legislature may ratify before the review is published by an elevated majority the Legislature defines by statute, acknowledging it acts without the advisory review. Ratification of the Certification does not constitute a Legislative Declaration of Defense under §2.1.c; a separate Declaration is required if operations extend beyond 30 days. the Legislature must by statute establish the waiting period before ratification, the elevated majority for early ratification, and the content requirements for the ratification resolution. Constitutional Default: In the absence of a statute defining the ratification period, the Legislature may not vote on Treaty Emergency Certification ratification until the joint LI/EI review under §12.5.a has been published to the NRS, or 14 days have elapsed from the Certification filing date, whichever occurs first. This default applies automatically.</w:t>
      </w:r>
    </w:p>
    <w:p>
      <w:pPr>
        <w:spacing w:after="60" w:before="60" w:line="280" w:lineRule="auto"/>
        <w:jc w:val="both"/>
      </w:pPr>
      <w:r>
        <w:rPr>
          <w:rFonts w:ascii="Times New Roman" w:cs="Times New Roman" w:eastAsia="Times New Roman" w:hAnsi="Times New Roman"/>
          <w:b/>
          <w:bCs/>
          <w:color w:val="1B2A4A"/>
          <w:sz w:val="22"/>
          <w:szCs w:val="22"/>
        </w:rPr>
        <w:t xml:space="preserve">12.5.c No Blank Check: </w:t>
      </w:r>
      <w:r>
        <w:rPr>
          <w:rFonts w:ascii="Times New Roman" w:cs="Times New Roman" w:eastAsia="Times New Roman" w:hAnsi="Times New Roman"/>
          <w:color w:val="000000"/>
          <w:sz w:val="22"/>
          <w:szCs w:val="22"/>
        </w:rPr>
        <w:t xml:space="preserve">The Treaty Emergency Certification covers operational costs for the initial response period only. It may not be used to fund force structure changes, new weapons systems acquisition, or operations not directly connected to the specific treaty obligation that triggered it. The Executive Inspectorate audits all Treaty Emergency Certification expenditures and publishes findings within 60 days of the Certification's expiration or ratification.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Offensive Military Operations</w:t>
      </w:r>
    </w:p>
    <w:p>
      <w:pPr>
        <w:spacing w:after="60" w:before="60" w:line="280" w:lineRule="auto"/>
        <w:jc w:val="both"/>
      </w:pPr>
      <w:r>
        <w:rPr>
          <w:rFonts w:ascii="Times New Roman" w:cs="Times New Roman" w:eastAsia="Times New Roman" w:hAnsi="Times New Roman"/>
          <w:b/>
          <w:bCs/>
          <w:color w:val="1B2A4A"/>
          <w:sz w:val="22"/>
          <w:szCs w:val="22"/>
        </w:rPr>
        <w:t xml:space="preserve">12.6.a Prohibition on Wars of Aggression: </w:t>
      </w:r>
      <w:r>
        <w:rPr>
          <w:rFonts w:ascii="Times New Roman" w:cs="Times New Roman" w:eastAsia="Times New Roman" w:hAnsi="Times New Roman"/>
          <w:color w:val="000000"/>
          <w:sz w:val="22"/>
          <w:szCs w:val="22"/>
        </w:rPr>
        <w:t xml:space="preserve">The Republic may not initiate or sustain offensive military operations for the purpose of territorial acquisition, resource extraction, political control over a foreign population, or ideological imposition. Any Legislative Declaration or executive order purporting to authorize an operation for a prohibited purpose is void. §12.1's three authorized purposes — border protection and territorial integrity, defense of treaty allies, and systemic intervention to prevent genocide or civilizational collapse — are the exhaustive grounds on which offensive operations may be authorized. Purposes not enumerated in §12.1 do not qualify.</w:t>
      </w:r>
    </w:p>
    <w:p>
      <w:pPr>
        <w:spacing w:after="60" w:before="60" w:line="280" w:lineRule="auto"/>
        <w:jc w:val="both"/>
      </w:pPr>
      <w:r>
        <w:rPr>
          <w:rFonts w:ascii="Times New Roman" w:cs="Times New Roman" w:eastAsia="Times New Roman" w:hAnsi="Times New Roman"/>
          <w:b/>
          <w:bCs/>
          <w:color w:val="1B2A4A"/>
          <w:sz w:val="22"/>
          <w:szCs w:val="22"/>
        </w:rPr>
        <w:t xml:space="preserve">12.6.b Definition — Offensive Operation: </w:t>
      </w:r>
      <w:r>
        <w:rPr>
          <w:rFonts w:ascii="Times New Roman" w:cs="Times New Roman" w:eastAsia="Times New Roman" w:hAnsi="Times New Roman"/>
          <w:color w:val="000000"/>
          <w:sz w:val="22"/>
          <w:szCs w:val="22"/>
        </w:rPr>
        <w:t xml:space="preserve">An offensive military operation is any sustained military operation in which Republic armed forces cross into foreign sovereign territory for purposes extending beyond the immediate repulsion of an active attack on Republic territory, Republic forces, or the territory of a treaty ally under §12.5. Hot-pursuit operations lasting less than 72 hours in response to an attack originating from foreign territory are not offensive operations for purposes of this section.</w:t>
      </w:r>
    </w:p>
    <w:p>
      <w:pPr>
        <w:spacing w:after="60" w:before="60" w:line="280" w:lineRule="auto"/>
        <w:jc w:val="both"/>
      </w:pPr>
      <w:r>
        <w:rPr>
          <w:rFonts w:ascii="Times New Roman" w:cs="Times New Roman" w:eastAsia="Times New Roman" w:hAnsi="Times New Roman"/>
          <w:b/>
          <w:bCs/>
          <w:color w:val="1B2A4A"/>
          <w:sz w:val="22"/>
          <w:szCs w:val="22"/>
        </w:rPr>
        <w:t xml:space="preserve">12.6.c Offensive Operations Declaration: </w:t>
      </w:r>
      <w:r>
        <w:rPr>
          <w:rFonts w:ascii="Times New Roman" w:cs="Times New Roman" w:eastAsia="Times New Roman" w:hAnsi="Times New Roman"/>
          <w:color w:val="000000"/>
          <w:sz w:val="22"/>
          <w:szCs w:val="22"/>
        </w:rPr>
        <w:t xml:space="preserve">Offensive military operations require an Offensive Operations Declaration — a Legislative Declaration passed by a 2/3 concurrent supermajority of both chambers. In addition to the requirements of §12.2.a, the Declaration must specify: (1) which of the three §12.1 purposes the operation serves, with supporting factual findings; (2) the specific foreign state or territory in which operations will be conducted and the geographic boundaries of the authorized theater; (3) the operational objectives whose achievement constitutes the primary condition for cessation; (4) the conditions under which the Republic will accept a negotiated resolution short of full operational objectives; (5) a maximum authorized duration not exceeding 3 years — shorter than the defensive war maximum of 5 years under §12.2.b, reflecting the higher constitutional burden of offensive action; and (6) a preliminary transition plan as required by §12.4, even where planning is necessarily incomplete. The Declaration is renewed every 180 days under §12.2.a. Failure to renew terminates offensive operations; Republic forces must withdraw to defensive positions within Republic or treaty-ally territory within 30 days of termination.</w:t>
      </w:r>
    </w:p>
    <w:p>
      <w:pPr>
        <w:spacing w:after="60" w:before="60" w:line="280" w:lineRule="auto"/>
        <w:jc w:val="both"/>
      </w:pPr>
      <w:r>
        <w:rPr>
          <w:rFonts w:ascii="Times New Roman" w:cs="Times New Roman" w:eastAsia="Times New Roman" w:hAnsi="Times New Roman"/>
          <w:b/>
          <w:bCs/>
          <w:color w:val="1B2A4A"/>
          <w:sz w:val="22"/>
          <w:szCs w:val="22"/>
        </w:rPr>
        <w:t xml:space="preserve">12.6.d Inspectorate Review: </w:t>
      </w:r>
      <w:r>
        <w:rPr>
          <w:rFonts w:ascii="Times New Roman" w:cs="Times New Roman" w:eastAsia="Times New Roman" w:hAnsi="Times New Roman"/>
          <w:color w:val="000000"/>
          <w:sz w:val="22"/>
          <w:szCs w:val="22"/>
        </w:rPr>
        <w:t xml:space="preserve">Within 21 days of an Offensive Operations Declaration's passage, the Legislative Inspectorate publishes a factual assessment addressing: whether the stated operational objectives are consistent with the §12.1 purpose declared; whether the geographic scope is proportionate to those objectives; and whether the preliminary transition plan is adequate under §12.4. The assessment is advisory — it does not invalidate the Declaration — but is published before the first 180-day renewal vote, ensuring the Legislature renews with full public information. Where the LI finds the declared purpose is not supported by the available factual record, that finding is published to the National Record System and transmitted to the Legislature's standing oversight committees, who may initiate proceedings within 30 days.</w:t>
      </w:r>
    </w:p>
    <w:p>
      <w:pPr>
        <w:spacing w:after="60" w:before="60" w:line="280" w:lineRule="auto"/>
        <w:jc w:val="both"/>
      </w:pPr>
      <w:r>
        <w:rPr>
          <w:rFonts w:ascii="Times New Roman" w:cs="Times New Roman" w:eastAsia="Times New Roman" w:hAnsi="Times New Roman"/>
          <w:b/>
          <w:bCs/>
          <w:color w:val="1B2A4A"/>
          <w:sz w:val="22"/>
          <w:szCs w:val="22"/>
        </w:rPr>
        <w:t xml:space="preserve">12.6.e Preemptive Operations — Interim Authority: </w:t>
      </w:r>
      <w:r>
        <w:rPr>
          <w:rFonts w:ascii="Times New Roman" w:cs="Times New Roman" w:eastAsia="Times New Roman" w:hAnsi="Times New Roman"/>
          <w:color w:val="000000"/>
          <w:sz w:val="22"/>
          <w:szCs w:val="22"/>
        </w:rPr>
        <w:t xml:space="preserve">Where the President has reasonable grounds, supported by intelligence shared in full with the Senate Armed Services Committee, to believe that a foreign state is in active preparation for an imminent attack on the Republic and the operational window for effective defensive response will close within 14 days, the President may invoke Tier 2 authority under §2.1.b for preemptive offensive operations. The Senate Armed Services Committee must convene within 24 hours of invocation. Preemptive authority under this provision lasts a maximum of 14 days. If an Offensive Operations Declaration has not been enacted within that period, all offensive operations beyond Republic territory must cease and forces must return to defensive posture. This authority may not be invoked on the basis of intelligence withheld from the Committee, and the President's intelligence certification is published to the National Record System within 48 hours of invocation.</w:t>
      </w:r>
    </w:p>
    <w:p>
      <w:pPr>
        <w:spacing w:after="60" w:before="60" w:line="280" w:lineRule="auto"/>
        <w:jc w:val="both"/>
      </w:pPr>
      <w:r>
        <w:rPr>
          <w:rFonts w:ascii="Times New Roman" w:cs="Times New Roman" w:eastAsia="Times New Roman" w:hAnsi="Times New Roman"/>
          <w:b/>
          <w:bCs/>
          <w:color w:val="1B2A4A"/>
          <w:sz w:val="22"/>
          <w:szCs w:val="22"/>
        </w:rPr>
        <w:t xml:space="preserve">12.6.f NRS Accountability: </w:t>
      </w:r>
      <w:r>
        <w:rPr>
          <w:rFonts w:ascii="Times New Roman" w:cs="Times New Roman" w:eastAsia="Times New Roman" w:hAnsi="Times New Roman"/>
          <w:color w:val="000000"/>
          <w:sz w:val="22"/>
          <w:szCs w:val="22"/>
        </w:rPr>
        <w:t xml:space="preserve">All Offensive Operations Declarations, fund certifications, 180-day renewal votes, operational objective assessments, stand-down orders, and transition plan submissions are published to the National Record System within 24 hours of their occurrence. The Executive Inspectorate's annual military constitutional compliance assessment includes a dedicated section on offensive operations: whether ongoing operations are conducted within the declared geographic scope; whether fund certifications correspond to authorized operational purposes; and whether the non-aggression prohibition of §12.6.a is being observed. Any EI finding that operations have exceeded their authorized scope or purpose constitutes a published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12.6.g Relationship to §12.1: </w:t>
      </w:r>
      <w:r>
        <w:rPr>
          <w:rFonts w:ascii="Times New Roman" w:cs="Times New Roman" w:eastAsia="Times New Roman" w:hAnsi="Times New Roman"/>
          <w:color w:val="000000"/>
          <w:sz w:val="22"/>
          <w:szCs w:val="22"/>
        </w:rPr>
        <w:t xml:space="preserve">§12.1's three authorized purposes define the substantive grounds for military force; §12.6 defines the procedural authorization required when those purposes require offensive operations in foreign territory. A Legislature may not invoke §12.1's purposes to authorize offensive operations without the specific findings and enhanced threshold of §12.6.c — the purpose authorization and the operational authorization are both constitutionally required. §12.1 is amended to add at its conclusion: Where §12.1 purposes require offensive military operations as defined in §12.6.b, the authorization mechanism of §12.6 applies.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18-month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18-month,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Triad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18-month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18-month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2026-05-11T03:07:42.361Z</dcterms:created>
  <dcterms:modified xsi:type="dcterms:W3CDTF">2026-05-11T03:07:42.385Z</dcterms:modified>
</cp:coreProperties>
</file>

<file path=docProps/custom.xml><?xml version="1.0" encoding="utf-8"?>
<Properties xmlns="http://schemas.openxmlformats.org/officeDocument/2006/custom-properties" xmlns:vt="http://schemas.openxmlformats.org/officeDocument/2006/docPropsVTypes"/>
</file>